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60C9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3B4168A3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N</w:t>
      </w:r>
      <w:r>
        <w:rPr>
          <w:rFonts w:ascii="Times New Roman" w:hAnsi="Times New Roman" w:cs="Times New Roman"/>
          <w:b/>
          <w:sz w:val="36"/>
          <w:szCs w:val="36"/>
        </w:rPr>
        <w:t>etwork-structured</w:t>
      </w:r>
      <w:r>
        <w:rPr>
          <w:rFonts w:hint="eastAsia"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Ru/RuO</w:t>
      </w:r>
      <w:r>
        <w:rPr>
          <w:rFonts w:ascii="Times New Roman" w:hAnsi="Times New Roman" w:cs="Times New Roman"/>
          <w:b/>
          <w:sz w:val="36"/>
          <w:szCs w:val="36"/>
          <w:vertAlign w:val="subscript"/>
        </w:rPr>
        <w:t>2</w:t>
      </w:r>
      <w:r>
        <w:rPr>
          <w:rFonts w:hint="eastAsia" w:ascii="Times New Roman" w:hAnsi="Times New Roman" w:cs="Times New Roman"/>
          <w:b/>
          <w:sz w:val="36"/>
          <w:szCs w:val="36"/>
        </w:rPr>
        <w:t>-</w:t>
      </w:r>
      <w:r>
        <w:rPr>
          <w:rFonts w:ascii="Times New Roman" w:hAnsi="Times New Roman" w:cs="Times New Roman"/>
          <w:b/>
          <w:sz w:val="36"/>
          <w:szCs w:val="36"/>
        </w:rPr>
        <w:t>FeNiCo-LDH</w:t>
      </w:r>
      <w:r>
        <w:rPr>
          <w:rFonts w:hint="eastAsia" w:ascii="Times New Roman" w:hAnsi="Times New Roman" w:cs="Times New Roman"/>
          <w:b/>
          <w:sz w:val="36"/>
          <w:szCs w:val="36"/>
        </w:rPr>
        <w:t xml:space="preserve"> as a high-performance bifunctional electrocatalyst for </w:t>
      </w:r>
      <w:r>
        <w:rPr>
          <w:rFonts w:ascii="Times New Roman" w:hAnsi="Times New Roman" w:cs="Times New Roman"/>
          <w:b/>
          <w:sz w:val="36"/>
          <w:szCs w:val="36"/>
        </w:rPr>
        <w:t>overall water splitting</w:t>
      </w:r>
    </w:p>
    <w:p w14:paraId="62C27B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Aoxing Zhao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Sibei 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Shun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Zhe Jia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002A"/>
      </w:r>
      <w:r>
        <w:rPr>
          <w:rFonts w:ascii="Times New Roman" w:hAnsi="Times New Roman" w:cs="Times New Roman"/>
          <w:sz w:val="24"/>
          <w:szCs w:val="24"/>
        </w:rPr>
        <w:t>, Zhengxi Guo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11" w:name="_GoBack"/>
      <w:bookmarkEnd w:id="11"/>
      <w:r>
        <w:rPr>
          <w:rFonts w:ascii="Times New Roman" w:hAnsi="Times New Roman" w:cs="Times New Roman"/>
          <w:bCs/>
          <w:sz w:val="24"/>
          <w:szCs w:val="24"/>
        </w:rPr>
        <w:t>Miao Zhang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Lei Yang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Jianguo Lv</w:t>
      </w:r>
      <w:r>
        <w:rPr>
          <w:rStyle w:val="7"/>
          <w:rFonts w:ascii="Times New Roman" w:hAnsi="Times New Roman" w:cs="Times New Roman"/>
          <w:bCs/>
          <w:sz w:val="24"/>
          <w:szCs w:val="24"/>
          <w:lang w:val="el-GR"/>
        </w:rPr>
        <w:footnoteReference w:id="0"/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l-GR"/>
        </w:rPr>
        <w:t>,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002A"/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002A"/>
      </w:r>
    </w:p>
    <w:p w14:paraId="2FC27A62">
      <w:pPr>
        <w:spacing w:line="360" w:lineRule="auto"/>
        <w:rPr>
          <w:rFonts w:ascii="Times New Roman" w:hAnsi="Times New Roman" w:cs="Times New Roman"/>
          <w:bCs/>
          <w:sz w:val="24"/>
          <w:lang w:bidi="ar"/>
        </w:rPr>
      </w:pPr>
      <w:r>
        <w:rPr>
          <w:rFonts w:ascii="Times New Roman" w:hAnsi="Times New Roman" w:cs="Times New Roman"/>
          <w:bCs/>
          <w:sz w:val="24"/>
          <w:vertAlign w:val="superscript"/>
          <w:lang w:bidi="ar"/>
        </w:rPr>
        <w:t>1</w:t>
      </w:r>
      <w:r>
        <w:rPr>
          <w:rFonts w:ascii="Times New Roman" w:hAnsi="Times New Roman" w:cs="Times New Roman"/>
          <w:bCs/>
          <w:sz w:val="24"/>
          <w:lang w:bidi="ar"/>
        </w:rPr>
        <w:t xml:space="preserve"> School of Physics and Materials Engineering</w:t>
      </w:r>
      <w:r>
        <w:rPr>
          <w:rFonts w:hint="eastAsia" w:ascii="Times New Roman" w:hAnsi="Times New Roman" w:cs="Times New Roman"/>
          <w:bCs/>
          <w:sz w:val="24"/>
          <w:lang w:bidi="ar"/>
        </w:rPr>
        <w:t xml:space="preserve"> and</w:t>
      </w:r>
      <w:r>
        <w:rPr>
          <w:rFonts w:ascii="Times New Roman" w:hAnsi="Times New Roman" w:cs="Times New Roman"/>
          <w:bCs/>
          <w:sz w:val="24"/>
          <w:lang w:bidi="ar"/>
        </w:rPr>
        <w:t xml:space="preserve"> </w:t>
      </w:r>
      <w:r>
        <w:rPr>
          <w:rFonts w:hint="eastAsia" w:ascii="Times New Roman" w:hAnsi="Times New Roman" w:cs="Times New Roman"/>
          <w:bCs/>
          <w:sz w:val="24"/>
          <w:lang w:bidi="ar"/>
        </w:rPr>
        <w:t>Anhui Province Key Laboratory of Simulation Calculation and Design for Electronic Information System</w:t>
      </w:r>
      <w:r>
        <w:rPr>
          <w:rFonts w:ascii="Times New Roman" w:hAnsi="Times New Roman" w:cs="Times New Roman"/>
          <w:bCs/>
          <w:sz w:val="24"/>
          <w:lang w:bidi="ar"/>
        </w:rPr>
        <w:t>, Hefei Normal University, Hefei 230601, China</w:t>
      </w:r>
    </w:p>
    <w:p w14:paraId="5EA2DDBC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  <w:vertAlign w:val="superscript"/>
          <w:lang w:bidi="ar"/>
        </w:rPr>
        <w:t>2</w:t>
      </w:r>
      <w:r>
        <w:rPr>
          <w:rFonts w:ascii="Times New Roman" w:hAnsi="Times New Roman" w:cs="Times New Roman"/>
          <w:bCs/>
          <w:sz w:val="24"/>
          <w:lang w:bidi="ar"/>
        </w:rPr>
        <w:t xml:space="preserve"> </w:t>
      </w:r>
      <w:r>
        <w:rPr>
          <w:rFonts w:ascii="Times New Roman" w:hAnsi="Times New Roman" w:cs="Times New Roman"/>
          <w:bCs/>
          <w:sz w:val="24"/>
        </w:rPr>
        <w:t>School of Materials Science and Engineering, Southeast University, Nanjing, China</w:t>
      </w:r>
    </w:p>
    <w:p w14:paraId="5E62C2D9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  <w:vertAlign w:val="superscript"/>
          <w:lang w:bidi="ar"/>
        </w:rPr>
        <w:t>3</w:t>
      </w:r>
      <w:r>
        <w:rPr>
          <w:rFonts w:ascii="Times New Roman" w:hAnsi="Times New Roman" w:cs="Times New Roman"/>
          <w:bCs/>
          <w:sz w:val="24"/>
          <w:lang w:bidi="ar"/>
        </w:rPr>
        <w:t xml:space="preserve"> School of Physics and Material Science, Anhui University, Hefei 230039, China</w:t>
      </w:r>
    </w:p>
    <w:p w14:paraId="6C252CDC">
      <w:pPr>
        <w:spacing w:line="360" w:lineRule="auto"/>
        <w:rPr>
          <w:rFonts w:ascii="Times New Roman" w:hAnsi="Times New Roman" w:cs="Times New Roman"/>
          <w:bCs/>
          <w:sz w:val="24"/>
          <w:lang w:bidi="ar"/>
        </w:rPr>
      </w:pPr>
      <w:r>
        <w:rPr>
          <w:rFonts w:ascii="Times New Roman" w:hAnsi="Times New Roman" w:cs="Times New Roman"/>
          <w:bCs/>
          <w:sz w:val="24"/>
          <w:vertAlign w:val="superscript"/>
          <w:lang w:bidi="ar"/>
        </w:rPr>
        <w:t xml:space="preserve">4 </w:t>
      </w:r>
      <w:r>
        <w:rPr>
          <w:rFonts w:ascii="Times New Roman" w:hAnsi="Times New Roman" w:cs="Times New Roman"/>
          <w:bCs/>
          <w:sz w:val="24"/>
          <w:lang w:bidi="ar"/>
        </w:rPr>
        <w:t>Department of Chemistry and Materials Engineering, Hefei University, Hefei 230601, China</w:t>
      </w:r>
    </w:p>
    <w:p w14:paraId="294AB5B8">
      <w:pPr>
        <w:spacing w:line="360" w:lineRule="auto"/>
        <w:rPr>
          <w:rFonts w:ascii="Times New Roman" w:hAnsi="Times New Roman" w:cs="Times New Roman"/>
          <w:bCs/>
          <w:sz w:val="24"/>
          <w:lang w:bidi="ar"/>
        </w:rPr>
      </w:pPr>
    </w:p>
    <w:p w14:paraId="6636EEFA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5B3257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1D4FBE4C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4D48B13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7E95D8F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21FDE1E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0EBFA6D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7A4D1A8C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3C2754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09FE2C6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br w:type="page"/>
      </w:r>
    </w:p>
    <w:p w14:paraId="284167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Characterization </w:t>
      </w:r>
    </w:p>
    <w:p w14:paraId="6F36C69B">
      <w:pPr>
        <w:spacing w:line="360" w:lineRule="auto"/>
        <w:ind w:firstLine="566" w:firstLineChars="236"/>
      </w:pPr>
      <w:r>
        <w:rPr>
          <w:rFonts w:ascii="Times New Roman" w:hAnsi="Times New Roman" w:cs="Times New Roman"/>
          <w:sz w:val="24"/>
          <w:szCs w:val="24"/>
        </w:rPr>
        <w:t>XRD patterns were tested using a SmartLab X-ray diffractometer. The morphology was determined by SEM (Thermo Scientific Apera2), TEM and HRTEM (JEOL- F200). The elemental distribution was characterized via EDS elemental mapping. X-ray photoelectron spectroscopy (XPS, Thermo Scientific K-Alpha) was utilized to investigate the surface elemental composition and valence states.</w:t>
      </w:r>
    </w:p>
    <w:p w14:paraId="3F60F5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Electrochemical Measurements</w:t>
      </w:r>
    </w:p>
    <w:p w14:paraId="7E1A801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Electrochemical measurements of the samples were performed in a 1 M KOH aqueous solution using a standard three-electrode system. Linear sweep voltammetry (LSV) curves for HER and OER were recorded at a scan rate of 5 mV s. The Tafel slopes were derived by fitting the linear segments of the Tafel plots according to the equation </w:t>
      </w:r>
      <m:oMath>
        <m:r>
          <m:rPr>
            <m:nor/>
          </m:rPr>
          <w:rPr>
            <w:rFonts w:ascii="Times New Roman" w:hAnsi="Times New Roman" w:cs="Times New Roman"/>
            <w:i/>
            <w:sz w:val="24"/>
            <w:szCs w:val="24"/>
          </w:rPr>
          <m:t>η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 xml:space="preserve">= </m:t>
        </m:r>
        <m:r>
          <m:rPr>
            <m:nor/>
          </m:rPr>
          <w:rPr>
            <w:rFonts w:ascii="Times New Roman" w:hAnsi="Times New Roman" w:cs="Times New Roman"/>
            <w:i/>
            <w:iCs/>
            <w:sz w:val="24"/>
            <w:szCs w:val="24"/>
          </w:rPr>
          <m:t>b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iCs/>
            <w:sz w:val="24"/>
            <w:szCs w:val="24"/>
          </w:rPr>
          <m:t xml:space="preserve"> 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log</m:t>
        </m:r>
        <m:r>
          <m:rPr>
            <m:nor/>
          </m:rPr>
          <w:rPr>
            <w:rFonts w:ascii="Times New Roman" w:hAnsi="Times New Roman" w:cs="Times New Roman"/>
            <w:i/>
            <w:iCs/>
            <w:sz w:val="24"/>
            <w:szCs w:val="24"/>
          </w:rPr>
          <m:t>j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+</m:t>
        </m:r>
        <m:r>
          <m:rPr>
            <m:nor/>
          </m:rPr>
          <w:rPr>
            <w:rFonts w:ascii="Times New Roman" w:hAnsi="Times New Roman" w:cs="Times New Roman"/>
            <w:i/>
            <w:iCs/>
            <w:sz w:val="24"/>
            <w:szCs w:val="24"/>
          </w:rPr>
          <m:t>a</m:t>
        </m:r>
      </m:oMath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Electrochemical impedance spectroscopy (EIS) tests were conducted over a frequency range of 100 kHz to 0.01 Hz. CV measurements at various scan rates (40, 80, 120, 160, and 200 mV s) were implemented in the non-Faradaic region to determine the double-layer capacitance (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dl</w:t>
      </w:r>
      <w:r>
        <w:rPr>
          <w:rFonts w:ascii="Times New Roman" w:hAnsi="Times New Roman" w:cs="Times New Roman"/>
          <w:sz w:val="24"/>
          <w:szCs w:val="24"/>
        </w:rPr>
        <w:t xml:space="preserve">). The electrochemical active surface area (ECSA) was calculated from the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dl </w:t>
      </w:r>
      <w:r>
        <w:rPr>
          <w:rFonts w:ascii="Times New Roman" w:hAnsi="Times New Roman" w:cs="Times New Roman"/>
          <w:sz w:val="24"/>
          <w:szCs w:val="24"/>
        </w:rPr>
        <w:t>values using the formula:</w:t>
      </w:r>
      <m:oMath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iCs/>
            <w:sz w:val="24"/>
            <w:szCs w:val="24"/>
          </w:rPr>
          <m:t>ECSA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4"/>
                <w:szCs w:val="24"/>
              </w:rPr>
              <m:t>C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4"/>
                <w:szCs w:val="24"/>
              </w:rPr>
              <m:t>dl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i/>
                <w:sz w:val="24"/>
                <w:szCs w:val="24"/>
              </w:rPr>
              <m:t>C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>
                <m:nor/>
              </m:rPr>
              <w:rPr>
                <w:rFonts w:ascii="Times New Roman" w:hAnsi="Times New Roman" w:cs="Times New Roman"/>
                <w:i/>
                <w:sz w:val="24"/>
                <w:szCs w:val="24"/>
              </w:rPr>
              <m:t>s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, where a specific capacitance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0.040 mF cm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was adopted for calculation . All potentials calibrated versus the Ag/AgCl electrode were converted to the reversible hydrogen electrode (RHE) using the following equation:</w:t>
      </w:r>
      <m:oMath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i/>
            <w:iCs/>
            <w:sz w:val="24"/>
            <w:szCs w:val="24"/>
          </w:rPr>
          <m:t>E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iCs/>
            <w:sz w:val="24"/>
            <w:szCs w:val="24"/>
          </w:rPr>
          <m:t xml:space="preserve"> 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(RHE)=</m:t>
        </m:r>
        <m:r>
          <m:rPr>
            <m:nor/>
          </m:rPr>
          <w:rPr>
            <w:rFonts w:ascii="Times New Roman" w:hAnsi="Times New Roman" w:cs="Times New Roman"/>
            <w:i/>
            <w:iCs/>
            <w:sz w:val="24"/>
            <w:szCs w:val="24"/>
          </w:rPr>
          <m:t>E</m:t>
        </m:r>
        <m:r>
          <m:rPr>
            <m:nor/>
            <m:sty m:val="p"/>
          </m:rPr>
          <w:rPr>
            <w:rFonts w:ascii="Times New Roman" w:hAnsi="Times New Roman" w:cs="Times New Roman"/>
            <w:b w:val="0"/>
            <w:i w:val="0"/>
            <w:sz w:val="24"/>
            <w:szCs w:val="24"/>
          </w:rPr>
          <m:t>(Ag/AgCl)+0.059×pH+0.197V</m:t>
        </m:r>
      </m:oMath>
      <w:r>
        <w:rPr>
          <w:rFonts w:ascii="Times New Roman" w:hAnsi="Times New Roman" w:cs="Times New Roman"/>
          <w:sz w:val="24"/>
          <w:szCs w:val="24"/>
        </w:rPr>
        <w:t>.</w:t>
      </w:r>
    </w:p>
    <w:p w14:paraId="48ECF70C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3056255" cy="4509135"/>
            <wp:effectExtent l="0" t="0" r="10795" b="5715"/>
            <wp:docPr id="6" name="图片 6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450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EDC20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</w:rPr>
        <w:t>Fig. S1 XRD patterns</w:t>
      </w:r>
      <w:r>
        <w:rPr>
          <w:rFonts w:ascii="Times New Roman" w:hAnsi="Times New Roman" w:cs="Times New Roman"/>
          <w:sz w:val="24"/>
        </w:rPr>
        <w:t xml:space="preserve"> of </w:t>
      </w:r>
      <w:r>
        <w:rPr>
          <w:rFonts w:hint="eastAsia" w:ascii="Times New Roman" w:hAnsi="Times New Roman" w:cs="Times New Roman"/>
          <w:sz w:val="24"/>
          <w:szCs w:val="24"/>
        </w:rPr>
        <w:t>Co-0.05-LDH/NF, Co-0.1-LDH/NF, Co-0.25-LDH/NF and Fe-0.1-Co-0.1-LDH/NF</w:t>
      </w:r>
    </w:p>
    <w:p w14:paraId="283992AD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197350" cy="3239770"/>
            <wp:effectExtent l="0" t="0" r="12700" b="17780"/>
            <wp:docPr id="4" name="图片 4" descr="Co-0.05-NF-2.5V-6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o-0.05-NF-2.5V-600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1B07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Fig. S2 </w:t>
      </w:r>
      <w:r>
        <w:rPr>
          <w:rFonts w:hint="eastAsia" w:ascii="Times New Roman" w:hAnsi="Times New Roman" w:cs="Times New Roman"/>
          <w:sz w:val="24"/>
        </w:rPr>
        <w:t xml:space="preserve">CV curves in the non-Faraday region of </w:t>
      </w:r>
      <w:r>
        <w:rPr>
          <w:rFonts w:hint="eastAsia" w:ascii="Times New Roman" w:hAnsi="Times New Roman" w:eastAsia="宋体" w:cs="Times New Roman"/>
          <w:sz w:val="24"/>
          <w:szCs w:val="24"/>
        </w:rPr>
        <w:t>Co-0.05-LDH/NF</w:t>
      </w:r>
    </w:p>
    <w:p w14:paraId="6E1FCDE3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173855" cy="3239770"/>
            <wp:effectExtent l="0" t="0" r="17145" b="17780"/>
            <wp:docPr id="3" name="图片 3" descr="Co-0.1-NF-2.5V-6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o-0.1-NF-2.5V-600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385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C5387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Fig. S3 </w:t>
      </w:r>
      <w:r>
        <w:rPr>
          <w:rFonts w:hint="eastAsia" w:ascii="Times New Roman" w:hAnsi="Times New Roman" w:cs="Times New Roman"/>
          <w:sz w:val="24"/>
        </w:rPr>
        <w:t xml:space="preserve">CV curves in the non-Faraday region of </w:t>
      </w:r>
      <w:r>
        <w:rPr>
          <w:rFonts w:hint="eastAsia" w:ascii="Times New Roman" w:hAnsi="Times New Roman" w:eastAsia="宋体" w:cs="Times New Roman"/>
          <w:sz w:val="24"/>
          <w:szCs w:val="24"/>
        </w:rPr>
        <w:t>Co-0.1-LDH/NF</w:t>
      </w:r>
    </w:p>
    <w:p w14:paraId="5521FED6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2DD9A4A5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137660" cy="3239770"/>
            <wp:effectExtent l="0" t="0" r="15240" b="17780"/>
            <wp:docPr id="2" name="图片 2" descr="Co-0.25-NF-2.5V-6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-0.25-NF-2.5V-600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946F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Fig. S4 </w:t>
      </w:r>
      <w:r>
        <w:rPr>
          <w:rFonts w:hint="eastAsia" w:ascii="Times New Roman" w:hAnsi="Times New Roman" w:cs="Times New Roman"/>
          <w:sz w:val="24"/>
        </w:rPr>
        <w:t xml:space="preserve">CV curves in the non-Faraday region of </w:t>
      </w:r>
      <w:r>
        <w:rPr>
          <w:rFonts w:hint="eastAsia" w:ascii="Times New Roman" w:hAnsi="Times New Roman" w:eastAsia="宋体" w:cs="Times New Roman"/>
          <w:sz w:val="24"/>
          <w:szCs w:val="24"/>
        </w:rPr>
        <w:t>Co-0.25-LDH/NF</w:t>
      </w:r>
    </w:p>
    <w:p w14:paraId="51DC2230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143375" cy="3239770"/>
            <wp:effectExtent l="0" t="0" r="9525" b="17780"/>
            <wp:docPr id="1" name="图片 1" descr="Fe-0.1-Co-0.1-NF-2.5V-6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e-0.1-Co-0.1-NF-2.5V-600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8DB80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Fig. S5 </w:t>
      </w:r>
      <w:r>
        <w:rPr>
          <w:rFonts w:hint="eastAsia" w:ascii="Times New Roman" w:hAnsi="Times New Roman" w:cs="Times New Roman"/>
          <w:sz w:val="24"/>
        </w:rPr>
        <w:t xml:space="preserve">CV curves in the non-Faraday region of </w:t>
      </w:r>
      <w:r>
        <w:rPr>
          <w:rFonts w:hint="eastAsia" w:ascii="Times New Roman" w:hAnsi="Times New Roman" w:eastAsia="宋体" w:cs="Times New Roman"/>
          <w:sz w:val="24"/>
          <w:szCs w:val="24"/>
        </w:rPr>
        <w:t>Fe-0.1-Co-0.1-LDH/NF</w:t>
      </w:r>
    </w:p>
    <w:p w14:paraId="0E4678CB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4051300" cy="3239770"/>
            <wp:effectExtent l="0" t="0" r="6350" b="17780"/>
            <wp:docPr id="5" name="图片 5" descr="Ru-RuO2-Fe-0.1-Co-0.1-NF-2.5V-60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u-RuO2-Fe-0.1-Co-0.1-NF-2.5V-600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E0E6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Fig. S6 </w:t>
      </w:r>
      <w:r>
        <w:rPr>
          <w:rFonts w:hint="eastAsia" w:ascii="Times New Roman" w:hAnsi="Times New Roman" w:cs="Times New Roman"/>
          <w:sz w:val="24"/>
        </w:rPr>
        <w:t xml:space="preserve">CV curves in the non-Faraday region of </w:t>
      </w:r>
      <w:r>
        <w:rPr>
          <w:rFonts w:hint="eastAsia" w:ascii="Times New Roman" w:hAnsi="Times New Roman" w:eastAsia="宋体" w:cs="Times New Roman"/>
          <w:sz w:val="24"/>
          <w:szCs w:val="24"/>
        </w:rPr>
        <w:t>Ru/RuO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-Fe-0.1-Co-0.1-LDH/NF</w:t>
      </w:r>
    </w:p>
    <w:p w14:paraId="126068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harge transfer resistance (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</w:rPr>
        <w:t>ct</w:t>
      </w:r>
      <w:r>
        <w:rPr>
          <w:rFonts w:ascii="Times New Roman" w:hAnsi="Times New Roman" w:cs="Times New Roman"/>
          <w:sz w:val="24"/>
          <w:szCs w:val="24"/>
        </w:rPr>
        <w:t xml:space="preserve">) of </w:t>
      </w:r>
      <w:r>
        <w:rPr>
          <w:rFonts w:hint="eastAsia"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lectrocatalysts.</w:t>
      </w:r>
    </w:p>
    <w:tbl>
      <w:tblPr>
        <w:tblStyle w:val="4"/>
        <w:tblW w:w="992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440"/>
        <w:gridCol w:w="1650"/>
        <w:gridCol w:w="1630"/>
        <w:gridCol w:w="1460"/>
        <w:gridCol w:w="1896"/>
      </w:tblGrid>
      <w:tr w14:paraId="65BD6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853" w:type="dxa"/>
            <w:vAlign w:val="center"/>
          </w:tcPr>
          <w:p w14:paraId="3F212E70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Electrocatalysts</w:t>
            </w:r>
          </w:p>
        </w:tc>
        <w:tc>
          <w:tcPr>
            <w:tcW w:w="1440" w:type="dxa"/>
            <w:vAlign w:val="center"/>
          </w:tcPr>
          <w:p w14:paraId="529565AF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Co-0.05-LDH/NF</w:t>
            </w:r>
          </w:p>
        </w:tc>
        <w:tc>
          <w:tcPr>
            <w:tcW w:w="1650" w:type="dxa"/>
            <w:vAlign w:val="center"/>
          </w:tcPr>
          <w:p w14:paraId="32DD82C4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Co-0.1-LDH/NF</w:t>
            </w:r>
          </w:p>
        </w:tc>
        <w:tc>
          <w:tcPr>
            <w:tcW w:w="1630" w:type="dxa"/>
            <w:vAlign w:val="center"/>
          </w:tcPr>
          <w:p w14:paraId="1D6AF173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Co-0.25-LDH/NF</w:t>
            </w:r>
          </w:p>
        </w:tc>
        <w:tc>
          <w:tcPr>
            <w:tcW w:w="1460" w:type="dxa"/>
            <w:vAlign w:val="center"/>
          </w:tcPr>
          <w:p w14:paraId="5CED2845">
            <w:pPr>
              <w:topLinePunc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Fe-0.1-Co-0.1-LDH/NF</w:t>
            </w:r>
          </w:p>
        </w:tc>
        <w:tc>
          <w:tcPr>
            <w:tcW w:w="1896" w:type="dxa"/>
            <w:vAlign w:val="center"/>
          </w:tcPr>
          <w:p w14:paraId="195541B6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Ru/RuO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-Fe-0.1-Co-0.1-LDH/NF</w:t>
            </w:r>
          </w:p>
        </w:tc>
      </w:tr>
      <w:tr w14:paraId="1129AD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53" w:type="dxa"/>
            <w:vAlign w:val="center"/>
          </w:tcPr>
          <w:p w14:paraId="69EC8B1F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ct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(Ω)</w:t>
            </w:r>
          </w:p>
        </w:tc>
        <w:tc>
          <w:tcPr>
            <w:tcW w:w="1440" w:type="dxa"/>
            <w:vAlign w:val="center"/>
          </w:tcPr>
          <w:p w14:paraId="399621DD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</w:p>
        </w:tc>
        <w:tc>
          <w:tcPr>
            <w:tcW w:w="1650" w:type="dxa"/>
            <w:vAlign w:val="center"/>
          </w:tcPr>
          <w:p w14:paraId="73F78383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1630" w:type="dxa"/>
            <w:vAlign w:val="center"/>
          </w:tcPr>
          <w:p w14:paraId="402D4846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28.4</w:t>
            </w:r>
          </w:p>
        </w:tc>
        <w:tc>
          <w:tcPr>
            <w:tcW w:w="1460" w:type="dxa"/>
            <w:vAlign w:val="center"/>
          </w:tcPr>
          <w:p w14:paraId="3977C629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1896" w:type="dxa"/>
            <w:vAlign w:val="center"/>
          </w:tcPr>
          <w:p w14:paraId="36F0CCBB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</w:tr>
    </w:tbl>
    <w:p w14:paraId="4C0EE990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17EB1169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C</w:t>
      </w:r>
      <w:r>
        <w:rPr>
          <w:rFonts w:hint="eastAsia" w:ascii="Times New Roman" w:hAnsi="Times New Roman" w:cs="Times New Roman"/>
          <w:sz w:val="24"/>
          <w:szCs w:val="24"/>
          <w:vertAlign w:val="subscript"/>
        </w:rPr>
        <w:t>dl</w:t>
      </w:r>
      <w:r>
        <w:rPr>
          <w:rFonts w:hint="eastAsia" w:ascii="Times New Roman" w:hAnsi="Times New Roman" w:cs="Times New Roman"/>
          <w:sz w:val="24"/>
          <w:szCs w:val="24"/>
        </w:rPr>
        <w:t xml:space="preserve"> and ECSA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lectrocatalysts.</w:t>
      </w:r>
    </w:p>
    <w:tbl>
      <w:tblPr>
        <w:tblStyle w:val="4"/>
        <w:tblW w:w="992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440"/>
        <w:gridCol w:w="1650"/>
        <w:gridCol w:w="1630"/>
        <w:gridCol w:w="1460"/>
        <w:gridCol w:w="1896"/>
      </w:tblGrid>
      <w:tr w14:paraId="724D40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853" w:type="dxa"/>
            <w:vAlign w:val="center"/>
          </w:tcPr>
          <w:p w14:paraId="01C7D257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Electrocatalysts</w:t>
            </w:r>
          </w:p>
        </w:tc>
        <w:tc>
          <w:tcPr>
            <w:tcW w:w="1440" w:type="dxa"/>
            <w:vAlign w:val="center"/>
          </w:tcPr>
          <w:p w14:paraId="3B878A09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Co-0.05-LDH/NF</w:t>
            </w:r>
          </w:p>
        </w:tc>
        <w:tc>
          <w:tcPr>
            <w:tcW w:w="1650" w:type="dxa"/>
            <w:vAlign w:val="center"/>
          </w:tcPr>
          <w:p w14:paraId="52DED9EF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Co-0.1-LDH/NF</w:t>
            </w:r>
          </w:p>
        </w:tc>
        <w:tc>
          <w:tcPr>
            <w:tcW w:w="1630" w:type="dxa"/>
            <w:vAlign w:val="center"/>
          </w:tcPr>
          <w:p w14:paraId="4513C5DF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Co-0.25-LDH/NF</w:t>
            </w:r>
          </w:p>
        </w:tc>
        <w:tc>
          <w:tcPr>
            <w:tcW w:w="1460" w:type="dxa"/>
            <w:vAlign w:val="center"/>
          </w:tcPr>
          <w:p w14:paraId="368E4142">
            <w:pPr>
              <w:topLinePunct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Fe-0.1-Co-0.1-LDH/NF</w:t>
            </w:r>
          </w:p>
        </w:tc>
        <w:tc>
          <w:tcPr>
            <w:tcW w:w="1896" w:type="dxa"/>
            <w:vAlign w:val="center"/>
          </w:tcPr>
          <w:p w14:paraId="7D7B3FB7">
            <w:pPr>
              <w:topLinePunct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Ru/RuO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-Fe-0.1-Co-0.1-LDH/NF</w:t>
            </w:r>
          </w:p>
        </w:tc>
      </w:tr>
      <w:tr w14:paraId="08DBFD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53" w:type="dxa"/>
            <w:tcBorders>
              <w:bottom w:val="nil"/>
            </w:tcBorders>
            <w:vAlign w:val="center"/>
          </w:tcPr>
          <w:p w14:paraId="3680F9A2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dl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mF cm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14:paraId="42AE75E3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4.93</w:t>
            </w:r>
          </w:p>
        </w:tc>
        <w:tc>
          <w:tcPr>
            <w:tcW w:w="1650" w:type="dxa"/>
            <w:tcBorders>
              <w:bottom w:val="nil"/>
            </w:tcBorders>
            <w:vAlign w:val="center"/>
          </w:tcPr>
          <w:p w14:paraId="14326060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1630" w:type="dxa"/>
            <w:tcBorders>
              <w:bottom w:val="nil"/>
            </w:tcBorders>
            <w:vAlign w:val="center"/>
          </w:tcPr>
          <w:p w14:paraId="3E507373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460" w:type="dxa"/>
            <w:tcBorders>
              <w:bottom w:val="nil"/>
            </w:tcBorders>
            <w:vAlign w:val="center"/>
          </w:tcPr>
          <w:p w14:paraId="5A31521C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8.86</w:t>
            </w:r>
          </w:p>
        </w:tc>
        <w:tc>
          <w:tcPr>
            <w:tcW w:w="1896" w:type="dxa"/>
            <w:tcBorders>
              <w:bottom w:val="nil"/>
            </w:tcBorders>
            <w:vAlign w:val="center"/>
          </w:tcPr>
          <w:p w14:paraId="4705CA17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28.18</w:t>
            </w:r>
          </w:p>
        </w:tc>
      </w:tr>
      <w:tr w14:paraId="30AB34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53" w:type="dxa"/>
            <w:tcBorders>
              <w:top w:val="nil"/>
            </w:tcBorders>
            <w:vAlign w:val="center"/>
          </w:tcPr>
          <w:p w14:paraId="7909C385">
            <w:pPr>
              <w:topLinePunct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ECSA (cm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E170D3E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123.3</w:t>
            </w:r>
          </w:p>
        </w:tc>
        <w:tc>
          <w:tcPr>
            <w:tcW w:w="1650" w:type="dxa"/>
            <w:tcBorders>
              <w:top w:val="nil"/>
            </w:tcBorders>
            <w:vAlign w:val="center"/>
          </w:tcPr>
          <w:p w14:paraId="67173C18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630" w:type="dxa"/>
            <w:tcBorders>
              <w:top w:val="nil"/>
            </w:tcBorders>
            <w:vAlign w:val="center"/>
          </w:tcPr>
          <w:p w14:paraId="3391DC24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111.5</w:t>
            </w:r>
          </w:p>
        </w:tc>
        <w:tc>
          <w:tcPr>
            <w:tcW w:w="1460" w:type="dxa"/>
            <w:tcBorders>
              <w:top w:val="nil"/>
            </w:tcBorders>
            <w:vAlign w:val="center"/>
          </w:tcPr>
          <w:p w14:paraId="6E9F7015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221.5</w:t>
            </w:r>
          </w:p>
        </w:tc>
        <w:tc>
          <w:tcPr>
            <w:tcW w:w="1896" w:type="dxa"/>
            <w:tcBorders>
              <w:top w:val="nil"/>
            </w:tcBorders>
            <w:vAlign w:val="center"/>
          </w:tcPr>
          <w:p w14:paraId="51AF6E8A">
            <w:pPr>
              <w:topLinePunc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704.5</w:t>
            </w:r>
          </w:p>
        </w:tc>
      </w:tr>
    </w:tbl>
    <w:p w14:paraId="1C4EC5A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2BDB1EC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Table S3 </w:t>
      </w:r>
      <w:r>
        <w:rPr>
          <w:rFonts w:ascii="Times New Roman" w:hAnsi="Times New Roman" w:cs="Times New Roman"/>
          <w:sz w:val="24"/>
          <w:szCs w:val="24"/>
        </w:rPr>
        <w:t>Comparison of OWS p</w:t>
      </w:r>
      <w:r>
        <w:rPr>
          <w:rFonts w:hint="eastAsia" w:ascii="Times New Roman" w:hAnsi="Times New Roman" w:cs="Times New Roman"/>
          <w:sz w:val="24"/>
          <w:szCs w:val="24"/>
        </w:rPr>
        <w:t>erformances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sz w:val="24"/>
          <w:szCs w:val="24"/>
        </w:rPr>
        <w:t>Ru/RuO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-Fe-0.1-Co-0.1-LDH/NF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hint="eastAsia" w:ascii="Times New Roman" w:hAnsi="Times New Roman" w:cs="Times New Roman"/>
          <w:sz w:val="24"/>
          <w:szCs w:val="24"/>
        </w:rPr>
        <w:t xml:space="preserve">other </w:t>
      </w:r>
      <w:r>
        <w:rPr>
          <w:rFonts w:ascii="Times New Roman" w:hAnsi="Times New Roman" w:cs="Times New Roman"/>
          <w:sz w:val="24"/>
          <w:szCs w:val="24"/>
        </w:rPr>
        <w:t>recently reported</w:t>
      </w:r>
      <w:r>
        <w:rPr>
          <w:rFonts w:hint="eastAsia" w:ascii="Times New Roman" w:hAnsi="Times New Roman" w:cs="Times New Roman"/>
          <w:sz w:val="24"/>
          <w:szCs w:val="24"/>
        </w:rPr>
        <w:t xml:space="preserve"> bi</w:t>
      </w:r>
      <w:r>
        <w:rPr>
          <w:rFonts w:ascii="Times New Roman" w:hAnsi="Times New Roman" w:cs="Times New Roman"/>
          <w:sz w:val="24"/>
          <w:szCs w:val="24"/>
        </w:rPr>
        <w:t>functional electrocatalysts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tbl>
      <w:tblPr>
        <w:tblStyle w:val="3"/>
        <w:tblW w:w="85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430"/>
        <w:gridCol w:w="3345"/>
      </w:tblGrid>
      <w:tr w14:paraId="3C77C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80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538D71D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Catalysts</w:t>
            </w:r>
          </w:p>
        </w:tc>
        <w:tc>
          <w:tcPr>
            <w:tcW w:w="243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6F8F47C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Cell voltage (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14:paraId="74ED4FB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at 10 mA cm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334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0E533725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References</w:t>
            </w:r>
          </w:p>
        </w:tc>
      </w:tr>
      <w:tr w14:paraId="279BF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0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1AE4D2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NiFe-NCs/NF</w:t>
            </w:r>
          </w:p>
        </w:tc>
        <w:tc>
          <w:tcPr>
            <w:tcW w:w="24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701051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33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F08DD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instrText xml:space="preserve"> ADDIN EN.CITE &lt;EndNote&gt;&lt;Cite&gt;&lt;Author&gt;Kumar&lt;/Author&gt;&lt;Year&gt;2017&lt;/Year&gt;&lt;RecNum&gt;2391&lt;/RecNum&gt;&lt;DisplayText&gt;[1]&lt;/DisplayText&gt;&lt;record&gt;&lt;rec-number&gt;2391&lt;/rec-number&gt;&lt;foreign-keys&gt;&lt;key app="EN" db-id="50wxdpzd9vd5r7e9t5b595djrfpttrxw9avp"&gt;2391&lt;/key&gt;&lt;/foreign-keys&gt;&lt;ref-type name="Journal Article"&gt;17&lt;/ref-type&gt;&lt;contributors&gt;&lt;authors&gt;&lt;author&gt;Kumar, Ashwani&lt;/author&gt;&lt;author&gt;Bhattacharyy, Sayan&lt;/author&gt;&lt;/authors&gt;&lt;/contributors&gt;&lt;titles&gt;&lt;title&gt;Porous NiFe-Oxide Nanocubes as Bifunctional Electrocatalysts for Efficient Water-Splitting&lt;/title&gt;&lt;secondary-title&gt;ACS Applied Materials &amp;amp; Interfaces&lt;/secondary-title&gt;&lt;/titles&gt;&lt;periodical&gt;&lt;full-title&gt;ACS Applied Materials &amp;amp; Interfaces&lt;/full-title&gt;&lt;/periodical&gt;&lt;dates&gt;&lt;year&gt;2017&lt;/year&gt;&lt;/dates&gt;&lt;urls&gt;&lt;/urls&gt;&lt;/record&gt;&lt;/Cite&gt;&lt;/EndNote&gt;</w:instrTex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"_ENREF_1" \o "Kumar, 2017 #2391"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342E2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5D755FED">
            <w:pPr>
              <w:tabs>
                <w:tab w:val="left" w:pos="1379"/>
              </w:tabs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Pt-NiCo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3F0BA4A2">
            <w:pPr>
              <w:tabs>
                <w:tab w:val="left" w:pos="1379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.62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2DDC5C6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&lt;EndNote&gt;&lt;Cite&gt;&lt;Author&gt;Cheng&lt;/Author&gt;&lt;Year&gt;2025&lt;/Year&gt;&lt;RecNum&gt;2382&lt;/RecNum&gt;&lt;DisplayText&gt;[2]&lt;/DisplayText&gt;&lt;record&gt;&lt;rec-number&gt;2382&lt;/rec-number&gt;&lt;foreign-keys&gt;&lt;key app="EN" db-id="50wxdpzd9vd5r7e9t5b595djrfpttrxw9avp"&gt;2382&lt;/key&gt;&lt;/foreign-keys&gt;&lt;ref-type name="Journal Article"&gt;17&lt;/ref-type&gt;&lt;contributors&gt;&lt;authors&gt;&lt;author&gt;Cheng, Wei&lt;/author&gt;&lt;author&gt;Cui, Zheng&lt;/author&gt;&lt;author&gt;Xu, Siyu&lt;/author&gt;&lt;author&gt;Cheng, Shaoheng&lt;/author&gt;&lt;author&gt;Gao, Nan&lt;/author&gt;&lt;author&gt;Yang, Min&lt;/author&gt;&lt;author&gt;Li, Hongdong&lt;/author&gt;&lt;/authors&gt;&lt;/contributors&gt;&lt;titles&gt;&lt;title&gt;Pt doped NiCo2O4 electrolysis for achieving highly efficient overall water splitting in alkaline condition&lt;/title&gt;&lt;secondary-title&gt;Journal of Power Sources&lt;/secondary-title&gt;&lt;/titles&gt;&lt;periodical&gt;&lt;full-title&gt;Journal of Power Sources&lt;/full-title&gt;&lt;/periodical&gt;&lt;pages&gt;236891&lt;/pages&gt;&lt;volume&gt;641&lt;/volume&gt;&lt;keywords&gt;&lt;keyword&gt;Electrocatalytic&lt;/keyword&gt;&lt;keyword&gt;Overall water splitting&lt;/keyword&gt;&lt;keyword&gt;Energy conversion&lt;/keyword&gt;&lt;keyword&gt;Alkaline condition&lt;/keyword&gt;&lt;/keywords&gt;&lt;dates&gt;&lt;year&gt;2025&lt;/year&gt;&lt;pub-dates&gt;&lt;date&gt;2025/06/15/&lt;/date&gt;&lt;/pub-dates&gt;&lt;/dates&gt;&lt;isbn&gt;0378-7753&lt;/isbn&gt;&lt;urls&gt;&lt;related-urls&gt;&lt;url&gt;https://www.sciencedirect.com/science/article/pii/S037877532500727X&lt;/url&gt;&lt;/related-urls&gt;&lt;/urls&gt;&lt;electronic-resource-num&gt;https://doi.org/10.1016/j.jpowsour.2025.236891&lt;/electronic-resource-num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"_ENREF_2" \o "Cheng, 2025 #2382"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2B8BA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03A3525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Co-P-1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04411BF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2E4EDE8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instrText xml:space="preserve"> ADDIN EN.CITE &lt;EndNote&gt;&lt;Cite&gt;&lt;Author&gt;He&lt;/Author&gt;&lt;Year&gt;2023&lt;/Year&gt;&lt;RecNum&gt;2385&lt;/RecNum&gt;&lt;DisplayText&gt;[3]&lt;/DisplayText&gt;&lt;record&gt;&lt;rec-number&gt;2385&lt;/rec-number&gt;&lt;foreign-keys&gt;&lt;key app="EN" db-id="50wxdpzd9vd5r7e9t5b595djrfpttrxw9avp"&gt;2385&lt;/key&gt;&lt;/foreign-keys&gt;&lt;ref-type name="Journal Article"&gt;17&lt;/ref-type&gt;&lt;contributors&gt;&lt;authors&gt;&lt;author&gt;He, Xiong&lt;/author&gt;&lt;author&gt;Cai, Jiayang&lt;/author&gt;&lt;author&gt;Zhou, Jie&lt;/author&gt;&lt;author&gt;Chen, Qiyi&lt;/author&gt;&lt;author&gt;Zhong, Qijun&lt;/author&gt;&lt;author&gt;Liu, Jinghua&lt;/author&gt;&lt;author&gt;Sun, Zijun&lt;/author&gt;&lt;author&gt;Qu, Dezhi&lt;/author&gt;&lt;author&gt;Li, Yudong&lt;/author&gt;&lt;/authors&gt;&lt;/contributors&gt;&lt;titles&gt;&lt;title&gt;Facile Electrochemical Synthesis of Bifunctional Needle-like Co-P Nanoarray for Efficient Overall Water Splitting&lt;/title&gt;&lt;secondary-title&gt;Molecules&lt;/secondary-title&gt;&lt;/titles&gt;&lt;periodical&gt;&lt;full-title&gt;Molecules&lt;/full-title&gt;&lt;/periodical&gt;&lt;pages&gt;6101&lt;/pages&gt;&lt;volume&gt;28&lt;/volume&gt;&lt;number&gt;16&lt;/number&gt;&lt;dates&gt;&lt;year&gt;2023&lt;/year&gt;&lt;/dates&gt;&lt;isbn&gt;1420-3049&lt;/isbn&gt;&lt;accession-num&gt;doi:10.3390/molecules28166101&lt;/accession-num&gt;&lt;urls&gt;&lt;related-urls&gt;&lt;url&gt;https://www.mdpi.com/1420-3049/28/16/6101&lt;/url&gt;&lt;/related-urls&gt;&lt;/urls&gt;&lt;/record&gt;&lt;/Cite&gt;&lt;/EndNote&gt;</w:instrTex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"_ENREF_3" \o "He, 2023 #2385"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5129A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6EA4D9B9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Co-Ni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/NF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7FF81FA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359C4DF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instrText xml:space="preserve"> ADDIN EN.CITE &lt;EndNote&gt;&lt;Cite&gt;&lt;Author&gt;Jian&lt;/Author&gt;&lt;Year&gt;2019&lt;/Year&gt;&lt;RecNum&gt;2390&lt;/RecNum&gt;&lt;DisplayText&gt;[4]&lt;/DisplayText&gt;&lt;record&gt;&lt;rec-number&gt;2390&lt;/rec-number&gt;&lt;foreign-keys&gt;&lt;key app="EN" db-id="50wxdpzd9vd5r7e9t5b595djrfpttrxw9avp"&gt;2390&lt;/key&gt;&lt;/foreign-keys&gt;&lt;ref-type name="Journal Article"&gt;17&lt;/ref-type&gt;&lt;contributors&gt;&lt;authors&gt;&lt;author&gt;Jian, Juan&lt;/author&gt;&lt;author&gt;Yuan, Long&lt;/author&gt;&lt;author&gt;Li, He&lt;/author&gt;&lt;author&gt;Liu, Huanhuan&lt;/author&gt;&lt;author&gt;Zhang, Xinghui&lt;/author&gt;&lt;author&gt;Sun, Xuejiao&lt;/author&gt;&lt;author&gt;Yuan, Hongming&lt;/author&gt;&lt;author&gt;Feng, Shouhua&lt;/author&gt;&lt;/authors&gt;&lt;/contributors&gt;&lt;titles&gt;&lt;title&gt;Hydrothermal Synthesized Co-Ni3S2 Ultrathin Nanosheets for Efficient and Enhanced Overall Water Splitting&lt;/title&gt;&lt;secondary-title&gt;Chemical Research in Chinese Universities&lt;/secondary-title&gt;&lt;/titles&gt;&lt;periodical&gt;&lt;full-title&gt;Chemical Research in Chinese Universities&lt;/full-title&gt;&lt;/periodical&gt;&lt;dates&gt;&lt;year&gt;2019&lt;/year&gt;&lt;/dates&gt;&lt;urls&gt;&lt;/urls&gt;&lt;/record&gt;&lt;/Cite&gt;&lt;/EndNote&gt;</w:instrTex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"_ENREF_4" \o "Jian, 2019 #2390"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60851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4BD271DB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NiMoO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/BP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27B24C7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04B4DC68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&lt;EndNote&gt;&lt;Cite&gt;&lt;Author&gt;Hua&lt;/Author&gt;&lt;Year&gt;2024&lt;/Year&gt;&lt;RecNum&gt;2384&lt;/RecNum&gt;&lt;DisplayText&gt;[5]&lt;/DisplayText&gt;&lt;record&gt;&lt;rec-number&gt;2384&lt;/rec-number&gt;&lt;foreign-keys&gt;&lt;key app="EN" db-id="50wxdpzd9vd5r7e9t5b595djrfpttrxw9avp"&gt;2384&lt;/key&gt;&lt;/foreign-keys&gt;&lt;ref-type name="Journal Article"&gt;17&lt;/ref-type&gt;&lt;contributors&gt;&lt;authors&gt;&lt;author&gt;Hua, Chengye&lt;/author&gt;&lt;author&gt;Zhu, Yabo&lt;/author&gt;&lt;author&gt;Fan, Heliang&lt;/author&gt;&lt;author&gt;Feng, Peizhong&lt;/author&gt;&lt;/authors&gt;&lt;/contributors&gt;&lt;titles&gt;&lt;title&gt;The Bifunctional Electrocatalytic Performance of NiMoO4/BP Sheets for Overall Water Splitting and Its Promising High Stability&lt;/title&gt;&lt;secondary-title&gt;Journal of Electronic Materials&lt;/secondary-title&gt;&lt;/titles&gt;&lt;periodical&gt;&lt;full-title&gt;Journal of Electronic Materials&lt;/full-title&gt;&lt;/periodical&gt;&lt;pages&gt;3258-3267&lt;/pages&gt;&lt;volume&gt;53&lt;/volume&gt;&lt;number&gt;6&lt;/number&gt;&lt;dates&gt;&lt;year&gt;2024&lt;/year&gt;&lt;pub-dates&gt;&lt;date&gt;2024/06/01&lt;/date&gt;&lt;/pub-dates&gt;&lt;/dates&gt;&lt;isbn&gt;1543-186X&lt;/isbn&gt;&lt;urls&gt;&lt;related-urls&gt;&lt;url&gt;https://doi.org/10.1007/s11664-024-10980-7&lt;/url&gt;&lt;/related-urls&gt;&lt;/urls&gt;&lt;electronic-resource-num&gt;10.1007/s11664-024-10980-7&lt;/electronic-resource-num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"_ENREF_5" \o "Hua, 2024 #2384"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6FB53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7378942C">
            <w:pPr>
              <w:tabs>
                <w:tab w:val="left" w:pos="1379"/>
              </w:tabs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Mn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/MnO/RuO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@C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5B887886">
            <w:pPr>
              <w:tabs>
                <w:tab w:val="left" w:pos="1379"/>
              </w:tabs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1.55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56ADA7F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instrText xml:space="preserve"> ADDIN EN.CITE &lt;EndNote&gt;&lt;Cite&gt;&lt;Author&gt;Zhang&lt;/Author&gt;&lt;Year&gt;2025&lt;/Year&gt;&lt;RecNum&gt;2388&lt;/RecNum&gt;&lt;DisplayText&gt;[6]&lt;/DisplayText&gt;&lt;record&gt;&lt;rec-number&gt;2388&lt;/rec-number&gt;&lt;foreign-keys&gt;&lt;key app="EN" db-id="50wxdpzd9vd5r7e9t5b595djrfpttrxw9avp"&gt;2388&lt;/key&gt;&lt;/foreign-keys&gt;&lt;ref-type name="Journal Article"&gt;17&lt;/ref-type&gt;&lt;contributors&gt;&lt;authors&gt;&lt;author&gt;Zhang, Jingjing&lt;/author&gt;&lt;author&gt;Li, Shuo&lt;/author&gt;&lt;author&gt;Cao, Jiming&lt;/author&gt;&lt;author&gt;Hu, Libing&lt;/author&gt;&lt;author&gt;Ren, Yichen&lt;/author&gt;&lt;author&gt;Yao, Jiangpeng&lt;/author&gt;&lt;author&gt;Wang, Xuejiao&lt;/author&gt;&lt;author&gt;Zhu, Jikui&lt;/author&gt;&lt;/authors&gt;&lt;/contributors&gt;&lt;titles&gt;&lt;title&gt;Synergistic interface engineering in carbon-coated Mn3O4/MnO/RuO2 heterostructure toward high-performance overall water splitting&lt;/title&gt;&lt;secondary-title&gt;International Journal of Hydrogen Energy&lt;/secondary-title&gt;&lt;/titles&gt;&lt;periodical&gt;&lt;full-title&gt;International Journal of Hydrogen Energy&lt;/full-title&gt;&lt;/periodical&gt;&lt;pages&gt;150504&lt;/pages&gt;&lt;volume&gt;158&lt;/volume&gt;&lt;keywords&gt;&lt;keyword&gt;Bifunctional electrocatalyst&lt;/keyword&gt;&lt;keyword&gt;MnO/MnO/RuO@C&lt;/keyword&gt;&lt;keyword&gt;Heterostructure&lt;/keyword&gt;&lt;keyword&gt;Carbon coating&lt;/keyword&gt;&lt;keyword&gt;Overall water splitting&lt;/keyword&gt;&lt;/keywords&gt;&lt;dates&gt;&lt;year&gt;2025&lt;/year&gt;&lt;pub-dates&gt;&lt;date&gt;2025/08/14/&lt;/date&gt;&lt;/pub-dates&gt;&lt;/dates&gt;&lt;isbn&gt;0360-3199&lt;/isbn&gt;&lt;urls&gt;&lt;related-urls&gt;&lt;url&gt;https://www.sciencedirect.com/science/article/pii/S0360319925035037&lt;/url&gt;&lt;/related-urls&gt;&lt;/urls&gt;&lt;electronic-resource-num&gt;https://doi.org/10.1016/j.ijhydene.2025.150504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"_ENREF_6" \o "Zhang, 2025 #2388"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]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fldChar w:fldCharType="end"/>
            </w:r>
          </w:p>
        </w:tc>
      </w:tr>
      <w:tr w14:paraId="1F47D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5B5F5523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NiFeMo/NiFeMoC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x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701BF96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.52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516645A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&lt;EndNote&gt;&lt;Cite&gt;&lt;Author&gt;Mo&lt;/Author&gt;&lt;Year&gt;2024&lt;/Year&gt;&lt;RecNum&gt;2386&lt;/RecNum&gt;&lt;DisplayText&gt;[7]&lt;/DisplayText&gt;&lt;record&gt;&lt;rec-number&gt;2386&lt;/rec-number&gt;&lt;foreign-keys&gt;&lt;key app="EN" db-id="50wxdpzd9vd5r7e9t5b595djrfpttrxw9avp"&gt;2386&lt;/key&gt;&lt;/foreign-keys&gt;&lt;ref-type name="Journal Article"&gt;17&lt;/ref-type&gt;&lt;contributors&gt;&lt;authors&gt;&lt;author&gt;Mo, Junxiang&lt;/author&gt;&lt;author&gt;Fu, Nianqing&lt;/author&gt;&lt;author&gt;Mu, Songlin&lt;/author&gt;&lt;author&gt;Peng, Jihua&lt;/author&gt;&lt;author&gt;Liu, Yan&lt;/author&gt;&lt;author&gt;Zhang, Guoge&lt;/author&gt;&lt;/authors&gt;&lt;/contributors&gt;&lt;titles&gt;&lt;title&gt;Facile Synthesis of Metal/Carbide Hybrid toward Overall Water Splitting&lt;/title&gt;&lt;secondary-title&gt;Catalysts&lt;/secondary-title&gt;&lt;/titles&gt;&lt;periodical&gt;&lt;full-title&gt;Catalysts&lt;/full-title&gt;&lt;/periodical&gt;&lt;pages&gt;730&lt;/pages&gt;&lt;volume&gt;14&lt;/volume&gt;&lt;number&gt;10&lt;/number&gt;&lt;dates&gt;&lt;year&gt;2024&lt;/year&gt;&lt;/dates&gt;&lt;isbn&gt;2073-4344&lt;/isbn&gt;&lt;accession-num&gt;doi:10.3390/catal14100730&lt;/accession-num&gt;&lt;urls&gt;&lt;related-urls&gt;&lt;url&gt;https://www.mdpi.com/2073-4344/14/10/730&lt;/url&gt;&lt;/related-urls&gt;&lt;/urls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"_ENREF_7" \o "Mo, 2024 #2386"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7731C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5037B">
            <w:pPr>
              <w:tabs>
                <w:tab w:val="left" w:pos="1379"/>
              </w:tabs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Ru/NF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2C0CF">
            <w:pPr>
              <w:tabs>
                <w:tab w:val="left" w:pos="1379"/>
              </w:tabs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1.50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E7119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&lt;EndNote&gt;&lt;Cite&gt;&lt;Author&gt;Hou&lt;/Author&gt;&lt;Year&gt;2024&lt;/Year&gt;&lt;RecNum&gt;2389&lt;/RecNum&gt;&lt;DisplayText&gt;[8]&lt;/DisplayText&gt;&lt;record&gt;&lt;rec-number&gt;2389&lt;/rec-number&gt;&lt;foreign-keys&gt;&lt;key app="EN" db-id="50wxdpzd9vd5r7e9t5b595djrfpttrxw9avp"&gt;2389&lt;/key&gt;&lt;/foreign-keys&gt;&lt;ref-type name="Journal Article"&gt;17&lt;/ref-type&gt;&lt;contributors&gt;&lt;authors&gt;&lt;author&gt;Hou, Yan&lt;/author&gt;&lt;author&gt;Qin, Zheng&lt;/author&gt;&lt;author&gt;Han, Xu&lt;/author&gt;&lt;/authors&gt;&lt;/contributors&gt;&lt;titles&gt;&lt;title&gt;Thermal evaporation-driven fabrication of Ru/RuO2 nanoparticles onto nickel foam for efficient overall water splitting&lt;/title&gt;&lt;secondary-title&gt;Nanoscale&lt;/secondary-title&gt;&lt;/titles&gt;&lt;periodical&gt;&lt;full-title&gt;Nanoscale&lt;/full-title&gt;&lt;/periodical&gt;&lt;pages&gt;6662-6668&lt;/pages&gt;&lt;volume&gt;16&lt;/volume&gt;&lt;number&gt;13&lt;/number&gt;&lt;dates&gt;&lt;year&gt;2024&lt;/year&gt;&lt;/dates&gt;&lt;urls&gt;&lt;/urls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"_ENREF_8" \o "Hou, 2024 #2389"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6241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0AA2A4B6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Pt-NiFeO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@NiFe-LDH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33B8E59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.48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7B344EC7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&lt;EndNote&gt;&lt;Cite&gt;&lt;Author&gt;Liu&lt;/Author&gt;&lt;Year&gt;2025&lt;/Year&gt;&lt;RecNum&gt;2387&lt;/RecNum&gt;&lt;DisplayText&gt;[9]&lt;/DisplayText&gt;&lt;record&gt;&lt;rec-number&gt;2387&lt;/rec-number&gt;&lt;foreign-keys&gt;&lt;key app="EN" db-id="50wxdpzd9vd5r7e9t5b595djrfpttrxw9avp"&gt;2387&lt;/key&gt;&lt;/foreign-keys&gt;&lt;ref-type name="Journal Article"&gt;17&lt;/ref-type&gt;&lt;contributors&gt;&lt;authors&gt;&lt;author&gt;Liu, Luan&lt;/author&gt;&lt;author&gt;Liu, Hongru&lt;/author&gt;&lt;author&gt;Jia, Baorui&lt;/author&gt;&lt;author&gt;Qu, Xuanhui&lt;/author&gt;&lt;author&gt;Qin, Mingli&lt;/author&gt;&lt;/authors&gt;&lt;/contributors&gt;&lt;titles&gt;&lt;title&gt;Durable Pt-Decorated NiFe-LDH for High-Current-Density Electrocatalytic Water Splitting Under Alkaline Conditions&lt;/title&gt;&lt;secondary-title&gt;Nanomaterials&lt;/secondary-title&gt;&lt;/titles&gt;&lt;periodical&gt;&lt;full-title&gt;Nanomaterials&lt;/full-title&gt;&lt;/periodical&gt;&lt;pages&gt;1683&lt;/pages&gt;&lt;volume&gt;15&lt;/volume&gt;&lt;number&gt;21&lt;/number&gt;&lt;dates&gt;&lt;year&gt;2025&lt;/year&gt;&lt;/dates&gt;&lt;isbn&gt;2079-4991&lt;/isbn&gt;&lt;accession-num&gt;doi:10.3390/nano15211683&lt;/accession-num&gt;&lt;urls&gt;&lt;related-urls&gt;&lt;url&gt;https://www.mdpi.com/2079-4991/15/21/1683&lt;/url&gt;&lt;/related-urls&gt;&lt;/urls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"_ENREF_9" \o "Liu, 2025 #2387"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2E5AE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AFB0D">
            <w:pPr>
              <w:tabs>
                <w:tab w:val="left" w:pos="1379"/>
              </w:tabs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Pt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</w:rPr>
              <w:t>−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NiFe-MOF/NF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BB679">
            <w:pPr>
              <w:tabs>
                <w:tab w:val="left" w:pos="1379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.45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19673BA4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&lt;EndNote&gt;&lt;Cite&gt;&lt;Author&gt;Yin&lt;/Author&gt;&lt;Year&gt;2024&lt;/Year&gt;&lt;RecNum&gt;2383&lt;/RecNum&gt;&lt;DisplayText&gt;[10]&lt;/DisplayText&gt;&lt;record&gt;&lt;rec-number&gt;2383&lt;/rec-number&gt;&lt;foreign-keys&gt;&lt;key app="EN" db-id="50wxdpzd9vd5r7e9t5b595djrfpttrxw9avp"&gt;2383&lt;/key&gt;&lt;/foreign-keys&gt;&lt;ref-type name="Journal Article"&gt;17&lt;/ref-type&gt;&lt;contributors&gt;&lt;authors&gt;&lt;author&gt;Yin, Jiongting&lt;/author&gt;&lt;author&gt;Wang, Cheng&lt;/author&gt;&lt;author&gt;Li, Jie&lt;/author&gt;&lt;author&gt;Yu, Shudi&lt;/author&gt;&lt;author&gt;Wu, Zhengying&lt;/author&gt;&lt;author&gt;Zhang, Yangping&lt;/author&gt;&lt;author&gt;Du, Yukou&lt;/author&gt;&lt;/authors&gt;&lt;/contributors&gt;&lt;titles&gt;&lt;title&gt;In Situ Electrodeposition of Ultralow Pt into NiFe-Metal-Organic Framework/Nickel Foam Nanosheet Arrays as a Bifunctional Catalyst for Overall Water Splitting&lt;/title&gt;&lt;secondary-title&gt;Inorganic Chemistry&lt;/secondary-title&gt;&lt;/titles&gt;&lt;periodical&gt;&lt;full-title&gt;Inorganic Chemistry&lt;/full-title&gt;&lt;/periodical&gt;&lt;pages&gt;5167-5174&lt;/pages&gt;&lt;volume&gt;63&lt;/volume&gt;&lt;number&gt;11&lt;/number&gt;&lt;dates&gt;&lt;year&gt;2024&lt;/year&gt;&lt;/dates&gt;&lt;isbn&gt;0020-1669&lt;/isbn&gt;&lt;urls&gt;&lt;related-urls&gt;&lt;url&gt;https://doi.org/10.1021/acs.inorgchem.4c00124&lt;/url&gt;&lt;/related-urls&gt;&lt;/urls&gt;&lt;electronic-resource-num&gt;10.1021/acs.inorgchem.4c00124&lt;/electronic-resource-num&gt;&lt;access-date&gt;8/22/2026&lt;/access-date&gt;&lt;/record&gt;&lt;/Cite&gt;&lt;/EndNote&gt;</w:instrTex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"_ENREF_10" \o "Yin, 2024 #2383"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330EB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2802" w:type="dxa"/>
            <w:tcBorders>
              <w:tl2br w:val="nil"/>
              <w:tr2bl w:val="nil"/>
            </w:tcBorders>
            <w:vAlign w:val="center"/>
          </w:tcPr>
          <w:p w14:paraId="467587E4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FeCoNiP@NiFe-LDH@CuO/CF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vAlign w:val="center"/>
          </w:tcPr>
          <w:p w14:paraId="6026ECF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</w:t>
            </w:r>
          </w:p>
        </w:tc>
        <w:tc>
          <w:tcPr>
            <w:tcW w:w="3345" w:type="dxa"/>
            <w:tcBorders>
              <w:tl2br w:val="nil"/>
              <w:tr2bl w:val="nil"/>
            </w:tcBorders>
            <w:vAlign w:val="center"/>
          </w:tcPr>
          <w:p w14:paraId="24E200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instrText xml:space="preserve"> ADDIN EN.CITE &lt;EndNote&gt;&lt;Cite&gt;&lt;Author&gt;Zhang&lt;/Author&gt;&lt;RecNum&gt;2392&lt;/RecNum&gt;&lt;DisplayText&gt;[11]&lt;/DisplayText&gt;&lt;record&gt;&lt;rec-number&gt;2392&lt;/rec-number&gt;&lt;foreign-keys&gt;&lt;key app="EN" db-id="50wxdpzd9vd5r7e9t5b595djrfpttrxw9avp"&gt;2392&lt;/key&gt;&lt;/foreign-keys&gt;&lt;ref-type name="Journal Article"&gt;17&lt;/ref-type&gt;&lt;contributors&gt;&lt;authors&gt;&lt;author&gt;Zhang, Yi Fan&lt;/author&gt;&lt;author&gt;Wang, Xue Wei&lt;/author&gt;&lt;author&gt;Zheng, Zi Yu&lt;/author&gt;&lt;author&gt;Zhang, Wen Hua&lt;/author&gt;&lt;author&gt;Liu, Xuan&lt;/author&gt;&lt;author&gt;Niu, Jia Qian&lt;/author&gt;&lt;/authors&gt;&lt;/contributors&gt;&lt;titles&gt;&lt;title&gt;The interfacial synergy of hierarchical FeCoNiP@FeNi-LDH heterojunction for efficient alkaline water splitting&lt;/title&gt;&lt;secondary-title&gt;Journal of colloid and interface science&lt;/secondary-title&gt;&lt;/titles&gt;&lt;periodical&gt;&lt;full-title&gt;Journal of Colloid and Interface Science&lt;/full-title&gt;&lt;/periodical&gt;&lt;pages&gt;797-806&lt;/pages&gt;&lt;volume&gt;673&lt;/volume&gt;&lt;dates&gt;&lt;/dates&gt;&lt;urls&gt;&lt;/urls&gt;&lt;/record&gt;&lt;/Cite&gt;&lt;/EndNote&gt;</w:instrTex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[</w:t>
            </w:r>
            <w:r>
              <w:fldChar w:fldCharType="begin"/>
            </w:r>
            <w:r>
              <w:instrText xml:space="preserve"> HYPERLINK \l "_ENREF_11" \o "Zhang,  #2392"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44747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2802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0E855186">
            <w:pPr>
              <w:spacing w:line="36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Ru/RuO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-Fe-0.1-Co-0.1-LDH/NF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55538D55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/>
                <w:b/>
                <w:bCs/>
                <w:color w:val="000000"/>
                <w:sz w:val="24"/>
                <w:szCs w:val="24"/>
              </w:rPr>
              <w:t>.40</w:t>
            </w:r>
          </w:p>
        </w:tc>
        <w:tc>
          <w:tcPr>
            <w:tcW w:w="3345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49A6F1BC"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/>
                <w:sz w:val="24"/>
                <w:szCs w:val="24"/>
              </w:rPr>
              <w:t>This Work</w:t>
            </w:r>
          </w:p>
        </w:tc>
      </w:tr>
    </w:tbl>
    <w:p w14:paraId="689BDCEE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294A26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30443F86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1CB1A9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References:</w:t>
      </w:r>
    </w:p>
    <w:p w14:paraId="49F4CA05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ascii="Times New Roman" w:hAnsi="Times New Roman" w:eastAsia="宋体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eastAsia="宋体" w:cs="Times New Roman"/>
          <w:sz w:val="24"/>
          <w:szCs w:val="24"/>
        </w:rPr>
        <w:fldChar w:fldCharType="separate"/>
      </w:r>
      <w:bookmarkStart w:id="0" w:name="_ENREF_1"/>
      <w:r>
        <w:rPr>
          <w:rFonts w:ascii="Times New Roman" w:hAnsi="Times New Roman" w:cs="Times New Roman"/>
          <w:sz w:val="24"/>
          <w:szCs w:val="24"/>
        </w:rPr>
        <w:t>[1] A. Kumar, S. Bhattacharyy, Porous NiFe-Oxide Nanocubes as Bifunctional Electrocatalysts for Efficient Water-Splitting, ACS Applied Materials &amp; Interfaces, (2017).</w:t>
      </w:r>
      <w:bookmarkEnd w:id="0"/>
    </w:p>
    <w:p w14:paraId="13668175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ENREF_2"/>
      <w:r>
        <w:rPr>
          <w:rFonts w:ascii="Times New Roman" w:hAnsi="Times New Roman" w:cs="Times New Roman"/>
          <w:sz w:val="24"/>
          <w:szCs w:val="24"/>
        </w:rPr>
        <w:t>[2] W. Cheng, Z. Cui, S. Xu, S. Cheng, N. Gao, M. Yang, H. Li, Pt doped NiCo2O4 electrolysis for achieving highly efficient overall water splitting in alkaline condition, Journal of Power Sources, 641 (2025) 236891.</w:t>
      </w:r>
      <w:bookmarkEnd w:id="1"/>
    </w:p>
    <w:p w14:paraId="58DE67AD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ENREF_3"/>
      <w:r>
        <w:rPr>
          <w:rFonts w:ascii="Times New Roman" w:hAnsi="Times New Roman" w:cs="Times New Roman"/>
          <w:sz w:val="24"/>
          <w:szCs w:val="24"/>
        </w:rPr>
        <w:t>[3] X. He, J. Cai, J. Zhou, Q. Chen, Q. Zhong, J. Liu, Z. Sun, D. Qu, Y. Li, Facile Electrochemical Synthesis of Bifunctional Needle-like Co-P Nanoarray for Efficient Overall Water Splitting, Molecules, 28 (2023) 6101.</w:t>
      </w:r>
      <w:bookmarkEnd w:id="2"/>
    </w:p>
    <w:p w14:paraId="7DA426AE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ENREF_4"/>
      <w:r>
        <w:rPr>
          <w:rFonts w:ascii="Times New Roman" w:hAnsi="Times New Roman" w:cs="Times New Roman"/>
          <w:sz w:val="24"/>
          <w:szCs w:val="24"/>
        </w:rPr>
        <w:t>[4] J. Jian, L. Yuan, H. Li, H. Liu, X. Zhang, X. Sun, H. Yuan, S. Feng, Hydrothermal Synthesized Co-Ni3S2 Ultrathin Nanosheets for Efficient and Enhanced Overall Water Splitting, Chemical Research in Chinese Universities, (2019).</w:t>
      </w:r>
      <w:bookmarkEnd w:id="3"/>
    </w:p>
    <w:p w14:paraId="2C460BF8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ENREF_5"/>
      <w:r>
        <w:rPr>
          <w:rFonts w:ascii="Times New Roman" w:hAnsi="Times New Roman" w:cs="Times New Roman"/>
          <w:sz w:val="24"/>
          <w:szCs w:val="24"/>
        </w:rPr>
        <w:t>[5] C. Hua, Y. Zhu, H. Fan, P. Feng, The Bifunctional Electrocatalytic Performance of NiMoO4/BP Sheets for Overall Water Splitting and Its Promising High Stability, Journal of Electronic Materials, 53 (2024) 3258-3267.</w:t>
      </w:r>
      <w:bookmarkEnd w:id="4"/>
    </w:p>
    <w:p w14:paraId="15566673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ENREF_6"/>
      <w:r>
        <w:rPr>
          <w:rFonts w:ascii="Times New Roman" w:hAnsi="Times New Roman" w:cs="Times New Roman"/>
          <w:sz w:val="24"/>
          <w:szCs w:val="24"/>
        </w:rPr>
        <w:t>[6] J. Zhang, S. Li, J. Cao, L. Hu, Y. Ren, J. Yao, X. Wang, J. Zhu, Synergistic interface engineering in carbon-coated Mn3O4/MnO/RuO2 heterostructure toward high-performance overall water splitting, International Journal of Hydrogen Energy, 158 (2025) 150504.</w:t>
      </w:r>
      <w:bookmarkEnd w:id="5"/>
    </w:p>
    <w:p w14:paraId="0A9DDFD2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_ENREF_7"/>
      <w:r>
        <w:rPr>
          <w:rFonts w:ascii="Times New Roman" w:hAnsi="Times New Roman" w:cs="Times New Roman"/>
          <w:sz w:val="24"/>
          <w:szCs w:val="24"/>
        </w:rPr>
        <w:t>[7] J. Mo, N. Fu, S. Mu, J. Peng, Y. Liu, G. Zhang, Facile Synthesis of Metal/Carbide Hybrid toward Overall Water Splitting, Catalysts, 14 (2024) 730.</w:t>
      </w:r>
      <w:bookmarkEnd w:id="6"/>
    </w:p>
    <w:p w14:paraId="7E947944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_ENREF_8"/>
      <w:r>
        <w:rPr>
          <w:rFonts w:ascii="Times New Roman" w:hAnsi="Times New Roman" w:cs="Times New Roman"/>
          <w:sz w:val="24"/>
          <w:szCs w:val="24"/>
        </w:rPr>
        <w:t>[8] Y. Hou, Z. Qin, X. Han, Thermal evaporation-driven fabrication of Ru/RuO2 nanoparticles onto nickel foam for efficient overall water splitting, Nanoscale, 16 (2024) 6662-6668.</w:t>
      </w:r>
      <w:bookmarkEnd w:id="7"/>
    </w:p>
    <w:p w14:paraId="2F89E069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" w:name="_ENREF_9"/>
      <w:r>
        <w:rPr>
          <w:rFonts w:ascii="Times New Roman" w:hAnsi="Times New Roman" w:cs="Times New Roman"/>
          <w:sz w:val="24"/>
          <w:szCs w:val="24"/>
        </w:rPr>
        <w:t>[9] L. Liu, H. Liu, B. Jia, X. Qu, M. Qin, Durable Pt-Decorated NiFe-LDH for High-Current-Density Electrocatalytic Water Splitting Under Alkaline Conditions, Nanomaterials, 15 (2025) 1683.</w:t>
      </w:r>
      <w:bookmarkEnd w:id="8"/>
    </w:p>
    <w:p w14:paraId="59217C70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" w:name="_ENREF_10"/>
      <w:r>
        <w:rPr>
          <w:rFonts w:ascii="Times New Roman" w:hAnsi="Times New Roman" w:cs="Times New Roman"/>
          <w:sz w:val="24"/>
          <w:szCs w:val="24"/>
        </w:rPr>
        <w:t>[10] J. Yin, C. Wang, J. Li, S. Yu, Z. Wu, Y. Zhang, Y. Du, In Situ Electrodeposition of Ultralow Pt into NiFe-Metal-Organic Framework/Nickel Foam Nanosheet Arrays as a Bifunctional Catalyst for Overall Water Splitting, Inorganic Chemistry, 63 (2024) 5167-5174.</w:t>
      </w:r>
      <w:bookmarkEnd w:id="9"/>
    </w:p>
    <w:p w14:paraId="646B80E2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0" w:name="_ENREF_11"/>
      <w:r>
        <w:rPr>
          <w:rFonts w:ascii="Times New Roman" w:hAnsi="Times New Roman" w:cs="Times New Roman"/>
          <w:sz w:val="24"/>
          <w:szCs w:val="24"/>
        </w:rPr>
        <w:t>[11] Y.F. Zhang, X.W. Wang, Z.Y. Zheng, W.H. Zhang, X. Liu, J.Q. Niu, The interfacial synergy of hierarchical FeCoNiP@FeNi-LDH heterojunction for efficient alkaline water splitting, Journal of colloid and interface science, 673 797-806.</w:t>
      </w:r>
      <w:bookmarkEnd w:id="10"/>
    </w:p>
    <w:p w14:paraId="687B0423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7DAB84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2A"/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Corresponding author. E–mail address:</w:t>
      </w:r>
      <w:r>
        <w:rPr>
          <w:rFonts w:hint="eastAsia" w:ascii="Times New Roman" w:hAnsi="Times New Roman"/>
        </w:rPr>
        <w:t xml:space="preserve"> zhejia@seu.edu.cn (Z. Jia)</w:t>
      </w:r>
    </w:p>
    <w:p w14:paraId="7B557E64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2A"/>
      </w:r>
      <w:r>
        <w:rPr>
          <w:rFonts w:ascii="Times New Roman" w:hAnsi="Times New Roman"/>
        </w:rPr>
        <w:sym w:font="Symbol" w:char="002A"/>
      </w:r>
      <w:r>
        <w:rPr>
          <w:rFonts w:ascii="Times New Roman" w:hAnsi="Times New Roman"/>
        </w:rPr>
        <w:t xml:space="preserve"> Corresponding authors. E-mail addresses:</w:t>
      </w:r>
      <w:r>
        <w:rPr>
          <w:rFonts w:hint="eastAsia" w:ascii="Times New Roman" w:hAnsi="Times New Roman"/>
        </w:rPr>
        <w:t xml:space="preserve"> jglv@hfnu.edu.cn</w:t>
      </w:r>
      <w:r>
        <w:rPr>
          <w:rFonts w:ascii="Times New Roman" w:hAnsi="Times New Roman"/>
        </w:rPr>
        <w:t xml:space="preserve"> (J. Lv)</w:t>
      </w:r>
    </w:p>
    <w:p w14:paraId="6BED242B">
      <w:pPr>
        <w:pStyle w:val="2"/>
        <w:rPr>
          <w:rFonts w:ascii="Times New Roman" w:hAnsi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lloys Compound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7&lt;record-ids&gt;&lt;item&gt;2382&lt;/item&gt;&lt;item&gt;2383&lt;/item&gt;&lt;item&gt;2384&lt;/item&gt;&lt;item&gt;2385&lt;/item&gt;&lt;item&gt;2386&lt;/item&gt;&lt;item&gt;2387&lt;/item&gt;&lt;item&gt;2388&lt;/item&gt;&lt;item&gt;2389&lt;/item&gt;&lt;item&gt;2390&lt;/item&gt;&lt;item&gt;2391&lt;/item&gt;&lt;item&gt;2392&lt;/item&gt;&lt;/record-ids&gt;&lt;/item&gt;&lt;/Libraries&gt;"/>
  </w:docVars>
  <w:rsids>
    <w:rsidRoot w:val="00172A27"/>
    <w:rsid w:val="000C7678"/>
    <w:rsid w:val="00157FED"/>
    <w:rsid w:val="00172A27"/>
    <w:rsid w:val="001E34ED"/>
    <w:rsid w:val="00270599"/>
    <w:rsid w:val="00306FA1"/>
    <w:rsid w:val="00364312"/>
    <w:rsid w:val="003816B4"/>
    <w:rsid w:val="003B3EFC"/>
    <w:rsid w:val="003E0BDE"/>
    <w:rsid w:val="00496F74"/>
    <w:rsid w:val="00532118"/>
    <w:rsid w:val="00537136"/>
    <w:rsid w:val="005B49D9"/>
    <w:rsid w:val="0072644C"/>
    <w:rsid w:val="00752E32"/>
    <w:rsid w:val="007B445B"/>
    <w:rsid w:val="00864BB9"/>
    <w:rsid w:val="00893DEC"/>
    <w:rsid w:val="008E65D4"/>
    <w:rsid w:val="00995EBF"/>
    <w:rsid w:val="009F7E5C"/>
    <w:rsid w:val="00AA0A71"/>
    <w:rsid w:val="00B66BAC"/>
    <w:rsid w:val="00BA3F85"/>
    <w:rsid w:val="00CB1CD7"/>
    <w:rsid w:val="00DA4733"/>
    <w:rsid w:val="00E31B5B"/>
    <w:rsid w:val="00ED6146"/>
    <w:rsid w:val="00EE68E0"/>
    <w:rsid w:val="00FA3570"/>
    <w:rsid w:val="00FC3416"/>
    <w:rsid w:val="00FC612B"/>
    <w:rsid w:val="00FF7261"/>
    <w:rsid w:val="017902ED"/>
    <w:rsid w:val="02C754CF"/>
    <w:rsid w:val="03E7293A"/>
    <w:rsid w:val="04674F7B"/>
    <w:rsid w:val="046B19E4"/>
    <w:rsid w:val="06881251"/>
    <w:rsid w:val="07035612"/>
    <w:rsid w:val="083B16CD"/>
    <w:rsid w:val="09C77D61"/>
    <w:rsid w:val="0ABB092C"/>
    <w:rsid w:val="0AF522E3"/>
    <w:rsid w:val="0B455756"/>
    <w:rsid w:val="0C240CD3"/>
    <w:rsid w:val="0C6B2558"/>
    <w:rsid w:val="0DDE3227"/>
    <w:rsid w:val="0E070933"/>
    <w:rsid w:val="0FDC10E6"/>
    <w:rsid w:val="10153C92"/>
    <w:rsid w:val="10761621"/>
    <w:rsid w:val="11A17A20"/>
    <w:rsid w:val="128B3626"/>
    <w:rsid w:val="13A80608"/>
    <w:rsid w:val="14164D9C"/>
    <w:rsid w:val="14AA0050"/>
    <w:rsid w:val="14EF7885"/>
    <w:rsid w:val="15462C5B"/>
    <w:rsid w:val="15A02F9E"/>
    <w:rsid w:val="16197E6B"/>
    <w:rsid w:val="17123C42"/>
    <w:rsid w:val="1721321C"/>
    <w:rsid w:val="1B811695"/>
    <w:rsid w:val="1C27223D"/>
    <w:rsid w:val="1CCA48BD"/>
    <w:rsid w:val="1D635FCC"/>
    <w:rsid w:val="1F645556"/>
    <w:rsid w:val="23984E73"/>
    <w:rsid w:val="24F17BED"/>
    <w:rsid w:val="24FC2312"/>
    <w:rsid w:val="2573206E"/>
    <w:rsid w:val="25771DB0"/>
    <w:rsid w:val="25DE592C"/>
    <w:rsid w:val="26057AFE"/>
    <w:rsid w:val="261D1251"/>
    <w:rsid w:val="26A941FC"/>
    <w:rsid w:val="2831748F"/>
    <w:rsid w:val="28F14EF8"/>
    <w:rsid w:val="29AB625B"/>
    <w:rsid w:val="2B3F0C52"/>
    <w:rsid w:val="2BAB6FEF"/>
    <w:rsid w:val="2F20172D"/>
    <w:rsid w:val="2F674306"/>
    <w:rsid w:val="2FAB5FAD"/>
    <w:rsid w:val="30385B0C"/>
    <w:rsid w:val="348D2ADE"/>
    <w:rsid w:val="3606621C"/>
    <w:rsid w:val="37DC2BDF"/>
    <w:rsid w:val="394722C8"/>
    <w:rsid w:val="3F7F10DC"/>
    <w:rsid w:val="40527676"/>
    <w:rsid w:val="41650F8E"/>
    <w:rsid w:val="41A53E91"/>
    <w:rsid w:val="429B2DA6"/>
    <w:rsid w:val="465F5FAB"/>
    <w:rsid w:val="469E5230"/>
    <w:rsid w:val="473F0A80"/>
    <w:rsid w:val="48A022F3"/>
    <w:rsid w:val="4BA426B2"/>
    <w:rsid w:val="4BD5217F"/>
    <w:rsid w:val="4E1E31E8"/>
    <w:rsid w:val="4F067FC3"/>
    <w:rsid w:val="4F9E545F"/>
    <w:rsid w:val="4FD97774"/>
    <w:rsid w:val="5510386E"/>
    <w:rsid w:val="55565AF5"/>
    <w:rsid w:val="56903F5F"/>
    <w:rsid w:val="57672713"/>
    <w:rsid w:val="57C55E8A"/>
    <w:rsid w:val="588C36FA"/>
    <w:rsid w:val="58FC304C"/>
    <w:rsid w:val="59CC67EE"/>
    <w:rsid w:val="5A582FE6"/>
    <w:rsid w:val="5AA42904"/>
    <w:rsid w:val="5B5B44A2"/>
    <w:rsid w:val="5BFB631F"/>
    <w:rsid w:val="5C005E4C"/>
    <w:rsid w:val="5CD31049"/>
    <w:rsid w:val="5D17355C"/>
    <w:rsid w:val="5D5D6107"/>
    <w:rsid w:val="63CF1625"/>
    <w:rsid w:val="66863C2E"/>
    <w:rsid w:val="66BF1556"/>
    <w:rsid w:val="68724A61"/>
    <w:rsid w:val="690E58E3"/>
    <w:rsid w:val="6ACB15B2"/>
    <w:rsid w:val="6B245A11"/>
    <w:rsid w:val="6C1D1F91"/>
    <w:rsid w:val="6DE2733E"/>
    <w:rsid w:val="6E8B1784"/>
    <w:rsid w:val="70A24B5D"/>
    <w:rsid w:val="715D06F4"/>
    <w:rsid w:val="727546C8"/>
    <w:rsid w:val="73404DA1"/>
    <w:rsid w:val="74205A4B"/>
    <w:rsid w:val="76962FCD"/>
    <w:rsid w:val="78767001"/>
    <w:rsid w:val="79C618C2"/>
    <w:rsid w:val="7A73790A"/>
    <w:rsid w:val="7ADA1EED"/>
    <w:rsid w:val="7B813A11"/>
    <w:rsid w:val="7BBB17EA"/>
    <w:rsid w:val="7D8F2758"/>
    <w:rsid w:val="7D9A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13"/>
    <w:unhideWhenUsed/>
    <w:qFormat/>
    <w:uiPriority w:val="0"/>
    <w:rPr>
      <w:rFonts w:ascii="Calibri" w:hAnsi="Calibri" w:eastAsia="宋体" w:cs="Times New Roman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topLinePunct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footnote reference"/>
    <w:basedOn w:val="5"/>
    <w:unhideWhenUsed/>
    <w:qFormat/>
    <w:uiPriority w:val="99"/>
    <w:rPr>
      <w:vertAlign w:val="superscript"/>
    </w:r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zh-CN" w:bidi="ar-SA"/>
    </w:rPr>
  </w:style>
  <w:style w:type="paragraph" w:customStyle="1" w:styleId="9">
    <w:name w:val="EndNote Bibliography Title"/>
    <w:basedOn w:val="1"/>
    <w:link w:val="10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0">
    <w:name w:val="EndNote Bibliography Title 字符"/>
    <w:basedOn w:val="5"/>
    <w:link w:val="9"/>
    <w:qFormat/>
    <w:uiPriority w:val="0"/>
    <w:rPr>
      <w:rFonts w:ascii="Calibri" w:hAnsi="Calibri" w:cs="Calibri" w:eastAsiaTheme="minorEastAsia"/>
      <w:kern w:val="2"/>
      <w:szCs w:val="22"/>
    </w:rPr>
  </w:style>
  <w:style w:type="paragraph" w:customStyle="1" w:styleId="11">
    <w:name w:val="EndNote Bibliography"/>
    <w:basedOn w:val="1"/>
    <w:link w:val="12"/>
    <w:qFormat/>
    <w:uiPriority w:val="0"/>
    <w:rPr>
      <w:rFonts w:ascii="Calibri" w:hAnsi="Calibri" w:cs="Calibri"/>
      <w:sz w:val="20"/>
    </w:rPr>
  </w:style>
  <w:style w:type="character" w:customStyle="1" w:styleId="12">
    <w:name w:val="EndNote Bibliography 字符"/>
    <w:basedOn w:val="5"/>
    <w:link w:val="11"/>
    <w:qFormat/>
    <w:uiPriority w:val="0"/>
    <w:rPr>
      <w:rFonts w:ascii="Calibri" w:hAnsi="Calibri" w:cs="Calibri" w:eastAsiaTheme="minorEastAsia"/>
      <w:kern w:val="2"/>
      <w:szCs w:val="22"/>
    </w:rPr>
  </w:style>
  <w:style w:type="character" w:customStyle="1" w:styleId="13">
    <w:name w:val="脚注文本 字符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820</Words>
  <Characters>5003</Characters>
  <Lines>145</Lines>
  <Paragraphs>36</Paragraphs>
  <TotalTime>1</TotalTime>
  <ScaleCrop>false</ScaleCrop>
  <LinksUpToDate>false</LinksUpToDate>
  <CharactersWithSpaces>5722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2026-01-13T22:55:00Z</dcterms:created>
  <dc:creator>lvjg1</dc:creator>
  <cp:lastModifiedBy>吕建国</cp:lastModifiedBy>
  <dcterms:modified xsi:type="dcterms:W3CDTF">2026-10-10T06:49:24Z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eyJoZGlkIjoiYTUxZjRkNTViNTJkMzI2MTRjMGU4NmIyMmJhNjk3NmUiLCJ1c2VySWQiOiIzMzg3NjM4MDUifQ==</vt:lpwstr>
  </property>
  <property fmtid="{D5CDD505-2E9C-101B-9397-08002B2CF9AE}" pid="4" name="ICV">
    <vt:lpwstr>17D8FA2D2E934ECEAE32DB85733F381A_12</vt:lpwstr>
  </property>
</Properties>
</file>