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1992"/>
        <w:gridCol w:w="3971"/>
        <w:gridCol w:w="1185"/>
        <w:gridCol w:w="2202"/>
      </w:tblGrid>
      <w:tr w:rsidR="004E0A2A" w:rsidRPr="004E0A2A" w:rsidTr="004E0A2A">
        <w:tc>
          <w:tcPr>
            <w:tcW w:w="0" w:type="auto"/>
            <w:hideMark/>
          </w:tcPr>
          <w:p w:rsidR="004E0A2A" w:rsidRPr="004E0A2A" w:rsidRDefault="004E0A2A" w:rsidP="004E0A2A">
            <w:pPr>
              <w:spacing w:line="36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 w:rsidRPr="004E0A2A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Exposure variable</w:t>
            </w:r>
          </w:p>
        </w:tc>
        <w:tc>
          <w:tcPr>
            <w:tcW w:w="0" w:type="auto"/>
            <w:hideMark/>
          </w:tcPr>
          <w:p w:rsidR="004E0A2A" w:rsidRPr="004E0A2A" w:rsidRDefault="004E0A2A" w:rsidP="004E0A2A">
            <w:pPr>
              <w:spacing w:line="36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 w:rsidRPr="004E0A2A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Typical operational definition used in the included studies</w:t>
            </w:r>
          </w:p>
        </w:tc>
        <w:tc>
          <w:tcPr>
            <w:tcW w:w="0" w:type="auto"/>
            <w:hideMark/>
          </w:tcPr>
          <w:p w:rsidR="004E0A2A" w:rsidRPr="004E0A2A" w:rsidRDefault="004E0A2A" w:rsidP="004E0A2A">
            <w:pPr>
              <w:spacing w:line="36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 w:rsidRPr="004E0A2A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Number of studies</w:t>
            </w:r>
          </w:p>
        </w:tc>
        <w:tc>
          <w:tcPr>
            <w:tcW w:w="0" w:type="auto"/>
            <w:hideMark/>
          </w:tcPr>
          <w:p w:rsidR="004E0A2A" w:rsidRPr="004E0A2A" w:rsidRDefault="004E0A2A" w:rsidP="004E0A2A">
            <w:pPr>
              <w:spacing w:line="36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 w:rsidRPr="004E0A2A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Comments</w:t>
            </w:r>
          </w:p>
        </w:tc>
      </w:tr>
      <w:tr w:rsidR="004E0A2A" w:rsidRPr="004E0A2A" w:rsidTr="004E0A2A">
        <w:tc>
          <w:tcPr>
            <w:tcW w:w="0" w:type="auto"/>
            <w:hideMark/>
          </w:tcPr>
          <w:p w:rsidR="004E0A2A" w:rsidRPr="004E0A2A" w:rsidRDefault="004E0A2A" w:rsidP="004E0A2A">
            <w:pPr>
              <w:spacing w:line="36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E0A2A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Marital status</w:t>
            </w:r>
          </w:p>
        </w:tc>
        <w:tc>
          <w:tcPr>
            <w:tcW w:w="0" w:type="auto"/>
            <w:hideMark/>
          </w:tcPr>
          <w:p w:rsidR="004E0A2A" w:rsidRPr="004E0A2A" w:rsidRDefault="004E0A2A" w:rsidP="004E0A2A">
            <w:pPr>
              <w:spacing w:line="36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E0A2A">
              <w:rPr>
                <w:rFonts w:ascii="Times New Roman" w:eastAsia="Times New Roman" w:hAnsi="Times New Roman" w:cs="Times New Roman"/>
                <w:sz w:val="24"/>
                <w:szCs w:val="24"/>
              </w:rPr>
              <w:t>Widowed participants compared with married participants. Other marital categories (single, divorced) were variably reported.</w:t>
            </w:r>
          </w:p>
        </w:tc>
        <w:tc>
          <w:tcPr>
            <w:tcW w:w="0" w:type="auto"/>
            <w:hideMark/>
          </w:tcPr>
          <w:p w:rsidR="004E0A2A" w:rsidRPr="004E0A2A" w:rsidRDefault="004E0A2A" w:rsidP="004E0A2A">
            <w:pPr>
              <w:spacing w:line="36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E0A2A">
              <w:rPr>
                <w:rFonts w:ascii="Times New Roman" w:eastAsia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0" w:type="auto"/>
            <w:hideMark/>
          </w:tcPr>
          <w:p w:rsidR="004E0A2A" w:rsidRPr="004E0A2A" w:rsidRDefault="004E0A2A" w:rsidP="004E0A2A">
            <w:pPr>
              <w:spacing w:line="36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E0A2A">
              <w:rPr>
                <w:rFonts w:ascii="Times New Roman" w:eastAsia="Times New Roman" w:hAnsi="Times New Roman" w:cs="Times New Roman"/>
                <w:sz w:val="24"/>
                <w:szCs w:val="24"/>
              </w:rPr>
              <w:t>Categories were comparable across studies.</w:t>
            </w:r>
          </w:p>
        </w:tc>
      </w:tr>
      <w:tr w:rsidR="004E0A2A" w:rsidRPr="004E0A2A" w:rsidTr="004E0A2A">
        <w:tc>
          <w:tcPr>
            <w:tcW w:w="0" w:type="auto"/>
            <w:hideMark/>
          </w:tcPr>
          <w:p w:rsidR="004E0A2A" w:rsidRPr="004E0A2A" w:rsidRDefault="004E0A2A" w:rsidP="004E0A2A">
            <w:pPr>
              <w:spacing w:line="36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E0A2A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Employment status</w:t>
            </w:r>
          </w:p>
        </w:tc>
        <w:tc>
          <w:tcPr>
            <w:tcW w:w="0" w:type="auto"/>
            <w:hideMark/>
          </w:tcPr>
          <w:p w:rsidR="004E0A2A" w:rsidRPr="004E0A2A" w:rsidRDefault="004E0A2A" w:rsidP="004E0A2A">
            <w:pPr>
              <w:spacing w:line="36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E0A2A">
              <w:rPr>
                <w:rFonts w:ascii="Times New Roman" w:eastAsia="Times New Roman" w:hAnsi="Times New Roman" w:cs="Times New Roman"/>
                <w:sz w:val="24"/>
                <w:szCs w:val="24"/>
              </w:rPr>
              <w:t>Unemployed (no regular income-generating work) versus employed.</w:t>
            </w:r>
          </w:p>
        </w:tc>
        <w:tc>
          <w:tcPr>
            <w:tcW w:w="0" w:type="auto"/>
            <w:hideMark/>
          </w:tcPr>
          <w:p w:rsidR="004E0A2A" w:rsidRPr="004E0A2A" w:rsidRDefault="004E0A2A" w:rsidP="004E0A2A">
            <w:pPr>
              <w:spacing w:line="36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E0A2A">
              <w:rPr>
                <w:rFonts w:ascii="Times New Roman" w:eastAsia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0" w:type="auto"/>
            <w:hideMark/>
          </w:tcPr>
          <w:p w:rsidR="004E0A2A" w:rsidRPr="004E0A2A" w:rsidRDefault="004E0A2A" w:rsidP="004E0A2A">
            <w:pPr>
              <w:spacing w:line="36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E0A2A">
              <w:rPr>
                <w:rFonts w:ascii="Times New Roman" w:eastAsia="Times New Roman" w:hAnsi="Times New Roman" w:cs="Times New Roman"/>
                <w:sz w:val="24"/>
                <w:szCs w:val="24"/>
              </w:rPr>
              <w:t>Definitions were generally consistent.</w:t>
            </w:r>
          </w:p>
        </w:tc>
      </w:tr>
      <w:tr w:rsidR="004E0A2A" w:rsidRPr="004E0A2A" w:rsidTr="004E0A2A">
        <w:tc>
          <w:tcPr>
            <w:tcW w:w="0" w:type="auto"/>
            <w:hideMark/>
          </w:tcPr>
          <w:p w:rsidR="004E0A2A" w:rsidRPr="004E0A2A" w:rsidRDefault="004E0A2A" w:rsidP="004E0A2A">
            <w:pPr>
              <w:spacing w:line="36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E0A2A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Wealth index</w:t>
            </w:r>
          </w:p>
        </w:tc>
        <w:tc>
          <w:tcPr>
            <w:tcW w:w="0" w:type="auto"/>
            <w:hideMark/>
          </w:tcPr>
          <w:p w:rsidR="004E0A2A" w:rsidRPr="004E0A2A" w:rsidRDefault="004E0A2A" w:rsidP="004E0A2A">
            <w:pPr>
              <w:spacing w:line="36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E0A2A">
              <w:rPr>
                <w:rFonts w:ascii="Times New Roman" w:eastAsia="Times New Roman" w:hAnsi="Times New Roman" w:cs="Times New Roman"/>
                <w:sz w:val="24"/>
                <w:szCs w:val="24"/>
              </w:rPr>
              <w:t>Household socioeconomic status categorized into low, middle, and high wealth using study-specific asset indices or wealth quintiles. Low wealth was compared with high wealth.</w:t>
            </w:r>
          </w:p>
        </w:tc>
        <w:tc>
          <w:tcPr>
            <w:tcW w:w="0" w:type="auto"/>
            <w:hideMark/>
          </w:tcPr>
          <w:p w:rsidR="004E0A2A" w:rsidRPr="004E0A2A" w:rsidRDefault="004E0A2A" w:rsidP="004E0A2A">
            <w:pPr>
              <w:spacing w:line="36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E0A2A">
              <w:rPr>
                <w:rFonts w:ascii="Times New Roman" w:eastAsia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0" w:type="auto"/>
            <w:hideMark/>
          </w:tcPr>
          <w:p w:rsidR="004E0A2A" w:rsidRPr="004E0A2A" w:rsidRDefault="004E0A2A" w:rsidP="004E0A2A">
            <w:pPr>
              <w:spacing w:line="36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E0A2A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Construction of wealth index </w:t>
            </w:r>
            <w:r w:rsidR="00105692">
              <w:rPr>
                <w:rFonts w:ascii="Times New Roman" w:eastAsia="Times New Roman" w:hAnsi="Times New Roman" w:cs="Times New Roman"/>
                <w:sz w:val="24"/>
                <w:szCs w:val="24"/>
              </w:rPr>
              <w:t>consistent</w:t>
            </w:r>
            <w:r w:rsidRPr="004E0A2A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between studies.</w:t>
            </w:r>
          </w:p>
        </w:tc>
      </w:tr>
      <w:tr w:rsidR="004E0A2A" w:rsidRPr="004E0A2A" w:rsidTr="004E0A2A">
        <w:tc>
          <w:tcPr>
            <w:tcW w:w="0" w:type="auto"/>
            <w:hideMark/>
          </w:tcPr>
          <w:p w:rsidR="004E0A2A" w:rsidRPr="004E0A2A" w:rsidRDefault="004E0A2A" w:rsidP="004E0A2A">
            <w:pPr>
              <w:spacing w:line="36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E0A2A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ART adherence</w:t>
            </w:r>
          </w:p>
        </w:tc>
        <w:tc>
          <w:tcPr>
            <w:tcW w:w="0" w:type="auto"/>
            <w:hideMark/>
          </w:tcPr>
          <w:p w:rsidR="004E0A2A" w:rsidRPr="004E0A2A" w:rsidRDefault="004E0A2A" w:rsidP="004E0A2A">
            <w:pPr>
              <w:spacing w:line="36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E0A2A">
              <w:rPr>
                <w:rFonts w:ascii="Times New Roman" w:eastAsia="Times New Roman" w:hAnsi="Times New Roman" w:cs="Times New Roman"/>
                <w:sz w:val="24"/>
                <w:szCs w:val="24"/>
              </w:rPr>
              <w:t>Poor adherence defined according to study-specific adherence assessments (commonly &lt;95% adherence based on pill counts, self-report, or medical records).</w:t>
            </w:r>
          </w:p>
        </w:tc>
        <w:tc>
          <w:tcPr>
            <w:tcW w:w="0" w:type="auto"/>
            <w:hideMark/>
          </w:tcPr>
          <w:p w:rsidR="004E0A2A" w:rsidRPr="004E0A2A" w:rsidRDefault="004E0A2A" w:rsidP="004E0A2A">
            <w:pPr>
              <w:spacing w:line="36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E0A2A">
              <w:rPr>
                <w:rFonts w:ascii="Times New Roman" w:eastAsia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0" w:type="auto"/>
            <w:hideMark/>
          </w:tcPr>
          <w:p w:rsidR="004E0A2A" w:rsidRPr="004E0A2A" w:rsidRDefault="004E0A2A" w:rsidP="004E0A2A">
            <w:pPr>
              <w:spacing w:line="36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E0A2A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Measurement methods </w:t>
            </w:r>
            <w:r w:rsidR="00105692" w:rsidRPr="00105692">
              <w:rPr>
                <w:rFonts w:ascii="Times New Roman" w:eastAsia="Times New Roman" w:hAnsi="Times New Roman" w:cs="Times New Roman"/>
                <w:sz w:val="24"/>
                <w:szCs w:val="24"/>
              </w:rPr>
              <w:t>comparable across studies</w:t>
            </w:r>
            <w:r w:rsidRPr="004E0A2A"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</w:tc>
      </w:tr>
      <w:tr w:rsidR="004E0A2A" w:rsidRPr="004E0A2A" w:rsidTr="004E0A2A">
        <w:tc>
          <w:tcPr>
            <w:tcW w:w="0" w:type="auto"/>
            <w:hideMark/>
          </w:tcPr>
          <w:p w:rsidR="004E0A2A" w:rsidRPr="004E0A2A" w:rsidRDefault="004E0A2A" w:rsidP="004E0A2A">
            <w:pPr>
              <w:spacing w:line="36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E0A2A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Dietary diversity</w:t>
            </w:r>
          </w:p>
        </w:tc>
        <w:tc>
          <w:tcPr>
            <w:tcW w:w="0" w:type="auto"/>
            <w:hideMark/>
          </w:tcPr>
          <w:p w:rsidR="004E0A2A" w:rsidRPr="004E0A2A" w:rsidRDefault="004E0A2A" w:rsidP="004E0A2A">
            <w:pPr>
              <w:spacing w:line="36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E0A2A">
              <w:rPr>
                <w:rFonts w:ascii="Times New Roman" w:eastAsia="Times New Roman" w:hAnsi="Times New Roman" w:cs="Times New Roman"/>
                <w:sz w:val="24"/>
                <w:szCs w:val="24"/>
              </w:rPr>
              <w:t>Low dietary diversity assessed using study-specific dietary diversity scores based on the number of food groups consumed during the previous 24 hours.</w:t>
            </w:r>
          </w:p>
        </w:tc>
        <w:tc>
          <w:tcPr>
            <w:tcW w:w="0" w:type="auto"/>
            <w:hideMark/>
          </w:tcPr>
          <w:p w:rsidR="004E0A2A" w:rsidRPr="004E0A2A" w:rsidRDefault="004E0A2A" w:rsidP="004E0A2A">
            <w:pPr>
              <w:spacing w:line="36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E0A2A">
              <w:rPr>
                <w:rFonts w:ascii="Times New Roman" w:eastAsia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0" w:type="auto"/>
            <w:hideMark/>
          </w:tcPr>
          <w:p w:rsidR="004E0A2A" w:rsidRPr="004E0A2A" w:rsidRDefault="004E0A2A" w:rsidP="004E0A2A">
            <w:pPr>
              <w:spacing w:line="36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E0A2A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Cut-off values and food-group classifications </w:t>
            </w:r>
            <w:r w:rsidR="00105692" w:rsidRPr="00105692">
              <w:rPr>
                <w:rFonts w:ascii="Times New Roman" w:eastAsia="Times New Roman" w:hAnsi="Times New Roman" w:cs="Times New Roman"/>
                <w:sz w:val="24"/>
                <w:szCs w:val="24"/>
              </w:rPr>
              <w:t>comparable across studies</w:t>
            </w:r>
            <w:r w:rsidRPr="004E0A2A"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</w:tc>
      </w:tr>
      <w:tr w:rsidR="004E0A2A" w:rsidRPr="004E0A2A" w:rsidTr="004E0A2A">
        <w:tc>
          <w:tcPr>
            <w:tcW w:w="0" w:type="auto"/>
            <w:hideMark/>
          </w:tcPr>
          <w:p w:rsidR="004E0A2A" w:rsidRPr="004E0A2A" w:rsidRDefault="004E0A2A" w:rsidP="004E0A2A">
            <w:pPr>
              <w:spacing w:line="36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E0A2A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Household food insecurity</w:t>
            </w:r>
          </w:p>
        </w:tc>
        <w:tc>
          <w:tcPr>
            <w:tcW w:w="0" w:type="auto"/>
            <w:hideMark/>
          </w:tcPr>
          <w:p w:rsidR="004E0A2A" w:rsidRPr="004E0A2A" w:rsidRDefault="004E0A2A" w:rsidP="004E0A2A">
            <w:pPr>
              <w:spacing w:line="36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E0A2A">
              <w:rPr>
                <w:rFonts w:ascii="Times New Roman" w:eastAsia="Times New Roman" w:hAnsi="Times New Roman" w:cs="Times New Roman"/>
                <w:sz w:val="24"/>
                <w:szCs w:val="24"/>
              </w:rPr>
              <w:t>Household food insecurity measured using validated food insecurity assessment tools, most commonly the Household Food Insecurity Access Scale (HFIAS</w:t>
            </w:r>
            <w:proofErr w:type="gramStart"/>
            <w:r w:rsidRPr="004E0A2A">
              <w:rPr>
                <w:rFonts w:ascii="Times New Roman" w:eastAsia="Times New Roman" w:hAnsi="Times New Roman" w:cs="Times New Roman"/>
                <w:sz w:val="24"/>
                <w:szCs w:val="24"/>
              </w:rPr>
              <w:t>), and</w:t>
            </w:r>
            <w:proofErr w:type="gramEnd"/>
            <w:r w:rsidRPr="004E0A2A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categorized according to study-specific thresholds.</w:t>
            </w:r>
          </w:p>
        </w:tc>
        <w:tc>
          <w:tcPr>
            <w:tcW w:w="0" w:type="auto"/>
            <w:hideMark/>
          </w:tcPr>
          <w:p w:rsidR="004E0A2A" w:rsidRPr="004E0A2A" w:rsidRDefault="004E0A2A" w:rsidP="004E0A2A">
            <w:pPr>
              <w:spacing w:line="36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E0A2A">
              <w:rPr>
                <w:rFonts w:ascii="Times New Roman" w:eastAsia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0" w:type="auto"/>
            <w:hideMark/>
          </w:tcPr>
          <w:p w:rsidR="004E0A2A" w:rsidRPr="004E0A2A" w:rsidRDefault="00105692" w:rsidP="004E0A2A">
            <w:pPr>
              <w:spacing w:line="36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05692">
              <w:rPr>
                <w:rFonts w:ascii="Times New Roman" w:eastAsia="Times New Roman" w:hAnsi="Times New Roman" w:cs="Times New Roman"/>
                <w:sz w:val="24"/>
                <w:szCs w:val="24"/>
              </w:rPr>
              <w:t>Measurement methods comparable across studies.</w:t>
            </w:r>
          </w:p>
        </w:tc>
      </w:tr>
      <w:tr w:rsidR="004E0A2A" w:rsidRPr="004E0A2A" w:rsidTr="004E0A2A">
        <w:tc>
          <w:tcPr>
            <w:tcW w:w="0" w:type="auto"/>
            <w:hideMark/>
          </w:tcPr>
          <w:p w:rsidR="004E0A2A" w:rsidRPr="004E0A2A" w:rsidRDefault="004E0A2A" w:rsidP="004E0A2A">
            <w:pPr>
              <w:spacing w:line="36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E0A2A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lastRenderedPageBreak/>
              <w:t>Gastrointestinal symptoms</w:t>
            </w:r>
          </w:p>
        </w:tc>
        <w:tc>
          <w:tcPr>
            <w:tcW w:w="0" w:type="auto"/>
            <w:hideMark/>
          </w:tcPr>
          <w:p w:rsidR="004E0A2A" w:rsidRPr="004E0A2A" w:rsidRDefault="004E0A2A" w:rsidP="004E0A2A">
            <w:pPr>
              <w:spacing w:line="36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E0A2A">
              <w:rPr>
                <w:rFonts w:ascii="Times New Roman" w:eastAsia="Times New Roman" w:hAnsi="Times New Roman" w:cs="Times New Roman"/>
                <w:sz w:val="24"/>
                <w:szCs w:val="24"/>
              </w:rPr>
              <w:t>Presence of one or more gastrointestinal symptoms (e.g., diarrhea, nausea, vomiting, anorexia, oral candidiasis) during the specified recall period.</w:t>
            </w:r>
          </w:p>
        </w:tc>
        <w:tc>
          <w:tcPr>
            <w:tcW w:w="0" w:type="auto"/>
            <w:hideMark/>
          </w:tcPr>
          <w:p w:rsidR="004E0A2A" w:rsidRPr="004E0A2A" w:rsidRDefault="004E0A2A" w:rsidP="004E0A2A">
            <w:pPr>
              <w:spacing w:line="36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E0A2A">
              <w:rPr>
                <w:rFonts w:ascii="Times New Roman" w:eastAsia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0" w:type="auto"/>
            <w:hideMark/>
          </w:tcPr>
          <w:p w:rsidR="004E0A2A" w:rsidRPr="004E0A2A" w:rsidRDefault="004E0A2A" w:rsidP="004E0A2A">
            <w:pPr>
              <w:spacing w:line="36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E0A2A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Types of symptoms and recall periods </w:t>
            </w:r>
            <w:r w:rsidR="00105692">
              <w:rPr>
                <w:rFonts w:ascii="Times New Roman" w:eastAsia="Times New Roman" w:hAnsi="Times New Roman" w:cs="Times New Roman"/>
                <w:sz w:val="24"/>
                <w:szCs w:val="24"/>
              </w:rPr>
              <w:t>are comparable</w:t>
            </w:r>
            <w:r w:rsidRPr="004E0A2A"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</w:tc>
      </w:tr>
      <w:tr w:rsidR="004E0A2A" w:rsidRPr="004E0A2A" w:rsidTr="004E0A2A">
        <w:tc>
          <w:tcPr>
            <w:tcW w:w="0" w:type="auto"/>
            <w:hideMark/>
          </w:tcPr>
          <w:p w:rsidR="004E0A2A" w:rsidRPr="004E0A2A" w:rsidRDefault="004E0A2A" w:rsidP="004E0A2A">
            <w:pPr>
              <w:spacing w:line="36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E0A2A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Opportunistic infections</w:t>
            </w:r>
          </w:p>
        </w:tc>
        <w:tc>
          <w:tcPr>
            <w:tcW w:w="0" w:type="auto"/>
            <w:hideMark/>
          </w:tcPr>
          <w:p w:rsidR="004E0A2A" w:rsidRPr="004E0A2A" w:rsidRDefault="004E0A2A" w:rsidP="004E0A2A">
            <w:pPr>
              <w:spacing w:line="36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E0A2A">
              <w:rPr>
                <w:rFonts w:ascii="Times New Roman" w:eastAsia="Times New Roman" w:hAnsi="Times New Roman" w:cs="Times New Roman"/>
                <w:sz w:val="24"/>
                <w:szCs w:val="24"/>
              </w:rPr>
              <w:t>Presence of one or more clinically diagnosed opportunistic infections documented in patient records or reported during follow-up.</w:t>
            </w:r>
          </w:p>
        </w:tc>
        <w:tc>
          <w:tcPr>
            <w:tcW w:w="0" w:type="auto"/>
            <w:hideMark/>
          </w:tcPr>
          <w:p w:rsidR="004E0A2A" w:rsidRPr="004E0A2A" w:rsidRDefault="004E0A2A" w:rsidP="004E0A2A">
            <w:pPr>
              <w:spacing w:line="36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E0A2A">
              <w:rPr>
                <w:rFonts w:ascii="Times New Roman" w:eastAsia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0" w:type="auto"/>
            <w:hideMark/>
          </w:tcPr>
          <w:p w:rsidR="004E0A2A" w:rsidRPr="004E0A2A" w:rsidRDefault="004E0A2A" w:rsidP="004E0A2A">
            <w:pPr>
              <w:spacing w:line="36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E0A2A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Specific infections </w:t>
            </w:r>
            <w:r w:rsidR="00105692">
              <w:rPr>
                <w:rFonts w:ascii="Times New Roman" w:eastAsia="Times New Roman" w:hAnsi="Times New Roman" w:cs="Times New Roman"/>
                <w:sz w:val="24"/>
                <w:szCs w:val="24"/>
              </w:rPr>
              <w:t>comparable between</w:t>
            </w:r>
            <w:r w:rsidRPr="004E0A2A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studies.</w:t>
            </w:r>
          </w:p>
        </w:tc>
      </w:tr>
      <w:tr w:rsidR="004E0A2A" w:rsidRPr="004E0A2A" w:rsidTr="004E0A2A">
        <w:tc>
          <w:tcPr>
            <w:tcW w:w="0" w:type="auto"/>
            <w:hideMark/>
          </w:tcPr>
          <w:p w:rsidR="004E0A2A" w:rsidRPr="004E0A2A" w:rsidRDefault="004E0A2A" w:rsidP="004E0A2A">
            <w:pPr>
              <w:spacing w:line="36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E0A2A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Nutritional support</w:t>
            </w:r>
          </w:p>
        </w:tc>
        <w:tc>
          <w:tcPr>
            <w:tcW w:w="0" w:type="auto"/>
            <w:hideMark/>
          </w:tcPr>
          <w:p w:rsidR="004E0A2A" w:rsidRPr="004E0A2A" w:rsidRDefault="004E0A2A" w:rsidP="004E0A2A">
            <w:pPr>
              <w:spacing w:line="36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E0A2A">
              <w:rPr>
                <w:rFonts w:ascii="Times New Roman" w:eastAsia="Times New Roman" w:hAnsi="Times New Roman" w:cs="Times New Roman"/>
                <w:sz w:val="24"/>
                <w:szCs w:val="24"/>
              </w:rPr>
              <w:t>Receipt of nutritional counseling, food supplementation, or both during HIV care. Participants not receiving these services were compared with those who received support.</w:t>
            </w:r>
          </w:p>
        </w:tc>
        <w:tc>
          <w:tcPr>
            <w:tcW w:w="0" w:type="auto"/>
            <w:hideMark/>
          </w:tcPr>
          <w:p w:rsidR="004E0A2A" w:rsidRPr="004E0A2A" w:rsidRDefault="004E0A2A" w:rsidP="004E0A2A">
            <w:pPr>
              <w:spacing w:line="36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E0A2A">
              <w:rPr>
                <w:rFonts w:ascii="Times New Roman" w:eastAsia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0" w:type="auto"/>
            <w:hideMark/>
          </w:tcPr>
          <w:p w:rsidR="004E0A2A" w:rsidRPr="004E0A2A" w:rsidRDefault="00105692" w:rsidP="004E0A2A">
            <w:pPr>
              <w:spacing w:line="36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05692">
              <w:rPr>
                <w:rFonts w:ascii="Times New Roman" w:eastAsia="Times New Roman" w:hAnsi="Times New Roman" w:cs="Times New Roman"/>
                <w:sz w:val="24"/>
                <w:szCs w:val="24"/>
              </w:rPr>
              <w:t>Measurement methods comparable across studies.</w:t>
            </w:r>
          </w:p>
        </w:tc>
      </w:tr>
      <w:tr w:rsidR="004E0A2A" w:rsidRPr="004E0A2A" w:rsidTr="004E0A2A">
        <w:tc>
          <w:tcPr>
            <w:tcW w:w="0" w:type="auto"/>
            <w:hideMark/>
          </w:tcPr>
          <w:p w:rsidR="004E0A2A" w:rsidRPr="004E0A2A" w:rsidRDefault="004E0A2A" w:rsidP="004E0A2A">
            <w:pPr>
              <w:spacing w:line="36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E0A2A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WHO clinical stage</w:t>
            </w:r>
          </w:p>
        </w:tc>
        <w:tc>
          <w:tcPr>
            <w:tcW w:w="0" w:type="auto"/>
            <w:hideMark/>
          </w:tcPr>
          <w:p w:rsidR="004E0A2A" w:rsidRPr="004E0A2A" w:rsidRDefault="004E0A2A" w:rsidP="004E0A2A">
            <w:pPr>
              <w:spacing w:line="36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E0A2A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Advanced HIV disease defined as WHO clinical stage III or IV compared with </w:t>
            </w:r>
            <w:r w:rsidR="00D13283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clinical </w:t>
            </w:r>
            <w:bookmarkStart w:id="0" w:name="_GoBack"/>
            <w:bookmarkEnd w:id="0"/>
            <w:r w:rsidRPr="004E0A2A">
              <w:rPr>
                <w:rFonts w:ascii="Times New Roman" w:eastAsia="Times New Roman" w:hAnsi="Times New Roman" w:cs="Times New Roman"/>
                <w:sz w:val="24"/>
                <w:szCs w:val="24"/>
              </w:rPr>
              <w:t>stage I or II.</w:t>
            </w:r>
          </w:p>
        </w:tc>
        <w:tc>
          <w:tcPr>
            <w:tcW w:w="0" w:type="auto"/>
            <w:hideMark/>
          </w:tcPr>
          <w:p w:rsidR="004E0A2A" w:rsidRPr="004E0A2A" w:rsidRDefault="004E0A2A" w:rsidP="004E0A2A">
            <w:pPr>
              <w:spacing w:line="36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E0A2A">
              <w:rPr>
                <w:rFonts w:ascii="Times New Roman" w:eastAsia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0" w:type="auto"/>
            <w:hideMark/>
          </w:tcPr>
          <w:p w:rsidR="004E0A2A" w:rsidRPr="004E0A2A" w:rsidRDefault="004E0A2A" w:rsidP="004E0A2A">
            <w:pPr>
              <w:spacing w:line="36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E0A2A">
              <w:rPr>
                <w:rFonts w:ascii="Times New Roman" w:eastAsia="Times New Roman" w:hAnsi="Times New Roman" w:cs="Times New Roman"/>
                <w:sz w:val="24"/>
                <w:szCs w:val="24"/>
              </w:rPr>
              <w:t>WHO staging criteria were consistent across studies.</w:t>
            </w:r>
          </w:p>
        </w:tc>
      </w:tr>
    </w:tbl>
    <w:p w:rsidR="00CC6F35" w:rsidRDefault="00CC6F35">
      <w:r>
        <w:rPr>
          <w:rStyle w:val="FootnoteReference"/>
        </w:rPr>
        <w:footnoteReference w:id="1"/>
      </w:r>
    </w:p>
    <w:p w:rsidR="00000F9A" w:rsidRDefault="00000F9A"/>
    <w:sectPr w:rsidR="00000F9A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:rsidR="0061123D" w:rsidRDefault="0061123D" w:rsidP="00CC6F35">
      <w:pPr>
        <w:spacing w:after="0" w:line="240" w:lineRule="auto"/>
      </w:pPr>
      <w:r>
        <w:separator/>
      </w:r>
    </w:p>
  </w:endnote>
  <w:endnote w:type="continuationSeparator" w:id="0">
    <w:p w:rsidR="0061123D" w:rsidRDefault="0061123D" w:rsidP="00CC6F35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:rsidR="0061123D" w:rsidRDefault="0061123D" w:rsidP="00CC6F35">
      <w:pPr>
        <w:spacing w:after="0" w:line="240" w:lineRule="auto"/>
      </w:pPr>
      <w:r>
        <w:separator/>
      </w:r>
    </w:p>
  </w:footnote>
  <w:footnote w:type="continuationSeparator" w:id="0">
    <w:p w:rsidR="0061123D" w:rsidRDefault="0061123D" w:rsidP="00CC6F35">
      <w:pPr>
        <w:spacing w:after="0" w:line="240" w:lineRule="auto"/>
      </w:pPr>
      <w:r>
        <w:continuationSeparator/>
      </w:r>
    </w:p>
  </w:footnote>
  <w:footnote w:id="1">
    <w:p w:rsidR="00CC6F35" w:rsidRPr="00CC6F35" w:rsidRDefault="00CC6F35" w:rsidP="00CC6F35">
      <w:pPr>
        <w:pStyle w:val="FootnoteText"/>
        <w:spacing w:line="360" w:lineRule="auto"/>
        <w:jc w:val="both"/>
        <w:rPr>
          <w:rFonts w:ascii="Times New Roman" w:hAnsi="Times New Roman" w:cs="Times New Roman"/>
          <w:sz w:val="24"/>
        </w:rPr>
      </w:pPr>
      <w:r w:rsidRPr="00CC6F35">
        <w:rPr>
          <w:rStyle w:val="FootnoteReference"/>
          <w:rFonts w:ascii="Times New Roman" w:hAnsi="Times New Roman" w:cs="Times New Roman"/>
          <w:sz w:val="24"/>
        </w:rPr>
        <w:footnoteRef/>
      </w:r>
      <w:r w:rsidRPr="00CC6F35">
        <w:rPr>
          <w:rFonts w:ascii="Times New Roman" w:hAnsi="Times New Roman" w:cs="Times New Roman"/>
          <w:sz w:val="24"/>
        </w:rPr>
        <w:t xml:space="preserve"> ART, antiretroviral therapy; HFIAS, Household Food Insecurity Access Scale; WHO, World Health Organization.</w:t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applyBreakingRules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E0A2A"/>
    <w:rsid w:val="00000F9A"/>
    <w:rsid w:val="00105692"/>
    <w:rsid w:val="004E0A2A"/>
    <w:rsid w:val="005626A4"/>
    <w:rsid w:val="0061123D"/>
    <w:rsid w:val="00872E11"/>
    <w:rsid w:val="00B3129C"/>
    <w:rsid w:val="00CC6F35"/>
    <w:rsid w:val="00D1328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7DE19D93"/>
  <w15:chartTrackingRefBased/>
  <w15:docId w15:val="{E44D7F6F-35DB-413B-92F3-00268CFB8C6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Strong">
    <w:name w:val="Strong"/>
    <w:basedOn w:val="DefaultParagraphFont"/>
    <w:uiPriority w:val="22"/>
    <w:qFormat/>
    <w:rsid w:val="004E0A2A"/>
    <w:rPr>
      <w:b/>
      <w:bCs/>
    </w:rPr>
  </w:style>
  <w:style w:type="table" w:styleId="TableGrid">
    <w:name w:val="Table Grid"/>
    <w:basedOn w:val="TableNormal"/>
    <w:uiPriority w:val="39"/>
    <w:rsid w:val="004E0A2A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FootnoteText">
    <w:name w:val="footnote text"/>
    <w:basedOn w:val="Normal"/>
    <w:link w:val="FootnoteTextChar"/>
    <w:uiPriority w:val="99"/>
    <w:semiHidden/>
    <w:unhideWhenUsed/>
    <w:rsid w:val="00CC6F35"/>
    <w:pPr>
      <w:spacing w:after="0" w:line="240" w:lineRule="auto"/>
    </w:pPr>
    <w:rPr>
      <w:sz w:val="20"/>
      <w:szCs w:val="20"/>
    </w:rPr>
  </w:style>
  <w:style w:type="character" w:customStyle="1" w:styleId="FootnoteTextChar">
    <w:name w:val="Footnote Text Char"/>
    <w:basedOn w:val="DefaultParagraphFont"/>
    <w:link w:val="FootnoteText"/>
    <w:uiPriority w:val="99"/>
    <w:semiHidden/>
    <w:rsid w:val="00CC6F35"/>
    <w:rPr>
      <w:sz w:val="20"/>
      <w:szCs w:val="20"/>
    </w:rPr>
  </w:style>
  <w:style w:type="character" w:styleId="FootnoteReference">
    <w:name w:val="footnote reference"/>
    <w:basedOn w:val="DefaultParagraphFont"/>
    <w:uiPriority w:val="99"/>
    <w:semiHidden/>
    <w:unhideWhenUsed/>
    <w:rsid w:val="00CC6F35"/>
    <w:rPr>
      <w:vertAlign w:val="superscrip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16495534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ISO690Nmerical.XSL" StyleName="ISO 690 - Numerical Reference" Version="1987"/>
</file>

<file path=customXml/itemProps1.xml><?xml version="1.0" encoding="utf-8"?>
<ds:datastoreItem xmlns:ds="http://schemas.openxmlformats.org/officeDocument/2006/customXml" ds:itemID="{D285ABC1-6CB3-4F62-9B03-BB3C0077F45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8</TotalTime>
  <Pages>2</Pages>
  <Words>338</Words>
  <Characters>1927</Characters>
  <Application>Microsoft Office Word</Application>
  <DocSecurity>0</DocSecurity>
  <Lines>16</Lines>
  <Paragraphs>4</Paragraphs>
  <ScaleCrop>false</ScaleCrop>
  <Company/>
  <LinksUpToDate>false</LinksUpToDate>
  <CharactersWithSpaces>2261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Alemayehu Tadesse Gedo</dc:creator>
  <cp:keywords/>
  <dc:description/>
  <cp:lastModifiedBy>Alemayehu Tadesse Gedo</cp:lastModifiedBy>
  <cp:revision>7</cp:revision>
  <dcterms:created xsi:type="dcterms:W3CDTF">2026-07-13T18:59:00Z</dcterms:created>
  <dcterms:modified xsi:type="dcterms:W3CDTF">2026-09-02T19:34:00Z</dcterms:modified>
</cp:coreProperties>
</file>