
<file path=[Content_Types].xml><?xml version="1.0" encoding="utf-8"?>
<Types xmlns="http://schemas.openxmlformats.org/package/2006/content-types">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E68BAD">
      <w:pPr>
        <w:pStyle w:val="2"/>
        <w:keepNext w:val="0"/>
        <w:keepLines w:val="0"/>
        <w:pageBreakBefore w:val="0"/>
        <w:widowControl w:val="0"/>
        <w:numPr>
          <w:ilvl w:val="0"/>
          <w:numId w:val="1"/>
        </w:numPr>
        <w:kinsoku/>
        <w:wordWrap/>
        <w:overflowPunct/>
        <w:topLinePunct w:val="0"/>
        <w:autoSpaceDE/>
        <w:autoSpaceDN/>
        <w:bidi w:val="0"/>
        <w:adjustRightInd/>
        <w:snapToGrid/>
        <w:spacing w:before="313" w:beforeLines="100" w:after="240"/>
        <w:ind w:left="425" w:leftChars="0" w:hanging="425" w:firstLineChars="0"/>
        <w:jc w:val="left"/>
        <w:textAlignment w:val="auto"/>
        <w:rPr>
          <w:rFonts w:hint="default"/>
          <w:highlight w:val="none"/>
        </w:rPr>
      </w:pPr>
      <w:r>
        <w:rPr>
          <w:rFonts w:hint="default" w:ascii="Times New Roman" w:hAnsi="Times New Roman" w:eastAsia="Times New Roman" w:cs="Times New Roman"/>
          <w:b/>
          <w:bCs/>
          <w:sz w:val="24"/>
          <w:szCs w:val="24"/>
          <w:highlight w:val="none"/>
        </w:rPr>
        <w:t>Supporting Information</w:t>
      </w:r>
    </w:p>
    <w:p w14:paraId="36E6DB37">
      <w:pPr>
        <w:pStyle w:val="2"/>
        <w:keepNext w:val="0"/>
        <w:keepLines w:val="0"/>
        <w:pageBreakBefore w:val="0"/>
        <w:widowControl w:val="0"/>
        <w:numPr>
          <w:ilvl w:val="1"/>
          <w:numId w:val="1"/>
        </w:numPr>
        <w:kinsoku/>
        <w:wordWrap/>
        <w:overflowPunct/>
        <w:topLinePunct w:val="0"/>
        <w:autoSpaceDE/>
        <w:autoSpaceDN/>
        <w:bidi w:val="0"/>
        <w:adjustRightInd/>
        <w:snapToGrid/>
        <w:spacing w:before="313" w:beforeLines="100" w:after="240"/>
        <w:ind w:left="567" w:leftChars="0" w:hanging="567" w:firstLineChars="0"/>
        <w:jc w:val="left"/>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Pr>
        <w:t>Supplementary Figure 1. ROI-to-ROI functional connectivity matrices across 13 pain- and emotion-related brain regions.</w:t>
      </w:r>
    </w:p>
    <w:p w14:paraId="4B6E3972">
      <w:pPr>
        <w:rPr>
          <w:rFonts w:hint="default" w:ascii="Times New Roman" w:hAnsi="Times New Roman" w:eastAsia="宋体" w:cs="Times New Roman"/>
          <w:sz w:val="24"/>
          <w:szCs w:val="24"/>
          <w:highlight w:val="none"/>
          <w:lang w:eastAsia="zh-CN"/>
        </w:rPr>
      </w:pPr>
      <w:r>
        <w:rPr>
          <w:rFonts w:hint="default" w:ascii="Times New Roman" w:hAnsi="Times New Roman" w:eastAsia="宋体" w:cs="Times New Roman"/>
          <w:sz w:val="24"/>
          <w:szCs w:val="24"/>
          <w:highlight w:val="none"/>
          <w:lang w:eastAsia="zh-CN"/>
        </w:rPr>
        <w:drawing>
          <wp:inline distT="0" distB="0" distL="114300" distR="114300">
            <wp:extent cx="5486400" cy="3555365"/>
            <wp:effectExtent l="0" t="0" r="0" b="635"/>
            <wp:docPr id="6" name="图片 6" descr="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S1"/>
                    <pic:cNvPicPr>
                      <a:picLocks noChangeAspect="1"/>
                    </pic:cNvPicPr>
                  </pic:nvPicPr>
                  <pic:blipFill>
                    <a:blip r:embed="rId10"/>
                    <a:stretch>
                      <a:fillRect/>
                    </a:stretch>
                  </pic:blipFill>
                  <pic:spPr>
                    <a:xfrm>
                      <a:off x="0" y="0"/>
                      <a:ext cx="5486400" cy="3555365"/>
                    </a:xfrm>
                    <a:prstGeom prst="rect">
                      <a:avLst/>
                    </a:prstGeom>
                  </pic:spPr>
                </pic:pic>
              </a:graphicData>
            </a:graphic>
          </wp:inline>
        </w:drawing>
      </w:r>
    </w:p>
    <w:p w14:paraId="6DA35912">
      <w:pP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t>(A–C) Fisher-z transformed functional connectivity matrices for Normal (n = 8), CCI (n = 7), and taVNS (n = 7) groups. Each cell represents the pairwise resting-state functional connectivity between two ROIs. Color scale indicates Fisher-z values (blue: negative correlation; red: positive correlation). The 13 ROIs include: DRN, CeA, PAG, amygdala, thalamus, hypothalamus, ACC, PrL, IL, insula, S1, striatum, and BNST.</w:t>
      </w:r>
      <w:r>
        <w:rPr>
          <w:rFonts w:hint="default" w:ascii="Times New Roman" w:hAnsi="Times New Roman" w:cs="Times New Roman"/>
          <w:sz w:val="24"/>
          <w:szCs w:val="24"/>
          <w:highlight w:val="none"/>
          <w:lang w:val="en-US" w:eastAsia="zh-CN"/>
        </w:rPr>
        <w:t xml:space="preserve">(D) </w:t>
      </w:r>
      <w:r>
        <w:rPr>
          <w:rFonts w:hint="default" w:ascii="Times New Roman" w:hAnsi="Times New Roman" w:cs="Times New Roman"/>
          <w:sz w:val="24"/>
          <w:szCs w:val="24"/>
          <w:highlight w:val="none"/>
        </w:rPr>
        <w:t>Between-group difference matrix (CCI − Normal). Each cell shows the delta Fisher-z value. Asterisks indicate statistically significant differences (</w:t>
      </w:r>
      <w:r>
        <w:rPr>
          <w:rFonts w:hint="eastAsia" w:ascii="Times New Roman" w:hAnsi="Times New Roman" w:cs="Times New Roman"/>
          <w:sz w:val="24"/>
          <w:szCs w:val="24"/>
          <w:highlight w:val="none"/>
          <w:lang w:eastAsia="zh-CN"/>
        </w:rPr>
        <w:t>P &lt;</w:t>
      </w:r>
      <w:r>
        <w:rPr>
          <w:rFonts w:hint="default" w:ascii="Times New Roman" w:hAnsi="Times New Roman" w:cs="Times New Roman"/>
          <w:sz w:val="24"/>
          <w:szCs w:val="24"/>
          <w:highlight w:val="none"/>
        </w:rPr>
        <w:t xml:space="preserve"> 0.05, </w:t>
      </w:r>
      <w:r>
        <w:rPr>
          <w:rFonts w:hint="eastAsia" w:ascii="Times New Roman" w:hAnsi="Times New Roman" w:cs="Times New Roman"/>
          <w:sz w:val="24"/>
          <w:szCs w:val="24"/>
          <w:highlight w:val="none"/>
          <w:lang w:eastAsia="zh-CN"/>
        </w:rPr>
        <w:t>P &lt;</w:t>
      </w:r>
      <w:r>
        <w:rPr>
          <w:rFonts w:hint="default" w:ascii="Times New Roman" w:hAnsi="Times New Roman" w:cs="Times New Roman"/>
          <w:sz w:val="24"/>
          <w:szCs w:val="24"/>
          <w:highlight w:val="none"/>
        </w:rPr>
        <w:t xml:space="preserve"> 0.01, </w:t>
      </w:r>
      <w:r>
        <w:rPr>
          <w:rFonts w:hint="eastAsia" w:ascii="Times New Roman" w:hAnsi="Times New Roman" w:cs="Times New Roman"/>
          <w:sz w:val="24"/>
          <w:szCs w:val="24"/>
          <w:highlight w:val="none"/>
          <w:lang w:eastAsia="zh-CN"/>
        </w:rPr>
        <w:t>P &lt;</w:t>
      </w:r>
      <w:r>
        <w:rPr>
          <w:rFonts w:hint="default" w:ascii="Times New Roman" w:hAnsi="Times New Roman" w:cs="Times New Roman"/>
          <w:sz w:val="24"/>
          <w:szCs w:val="24"/>
          <w:highlight w:val="none"/>
        </w:rPr>
        <w:t xml:space="preserve"> 0.001).</w:t>
      </w:r>
      <w:r>
        <w:rPr>
          <w:rFonts w:hint="default" w:ascii="Times New Roman" w:hAnsi="Times New Roman" w:cs="Times New Roman"/>
          <w:sz w:val="24"/>
          <w:szCs w:val="24"/>
          <w:highlight w:val="none"/>
          <w:lang w:val="en-US" w:eastAsia="zh-CN"/>
        </w:rPr>
        <w:t xml:space="preserve">(E) </w:t>
      </w:r>
      <w:r>
        <w:rPr>
          <w:rFonts w:hint="default" w:ascii="Times New Roman" w:hAnsi="Times New Roman" w:cs="Times New Roman"/>
          <w:sz w:val="24"/>
          <w:szCs w:val="24"/>
          <w:highlight w:val="none"/>
        </w:rPr>
        <w:t>Between-group difference matrix (taVNS − CCI). Format same as (D).</w:t>
      </w:r>
    </w:p>
    <w:p w14:paraId="0DE9EB05">
      <w:pPr>
        <w:pStyle w:val="2"/>
        <w:keepNext w:val="0"/>
        <w:keepLines w:val="0"/>
        <w:pageBreakBefore w:val="0"/>
        <w:widowControl w:val="0"/>
        <w:numPr>
          <w:ilvl w:val="1"/>
          <w:numId w:val="1"/>
        </w:numPr>
        <w:kinsoku/>
        <w:wordWrap/>
        <w:overflowPunct/>
        <w:topLinePunct w:val="0"/>
        <w:autoSpaceDE/>
        <w:autoSpaceDN/>
        <w:bidi w:val="0"/>
        <w:adjustRightInd/>
        <w:snapToGrid/>
        <w:spacing w:before="313" w:beforeLines="100" w:after="240"/>
        <w:ind w:left="567" w:leftChars="0" w:hanging="567" w:firstLineChars="0"/>
        <w:jc w:val="left"/>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Pr>
        <w:t>Supplementary Figure 2. Validation of DRN–CeA serotonergic connectivity and CeA neuronal waveform classification.</w:t>
      </w:r>
    </w:p>
    <w:p w14:paraId="45605DF7">
      <w:pPr>
        <w:rPr>
          <w:rFonts w:hint="default" w:ascii="Times New Roman" w:hAnsi="Times New Roman" w:eastAsia="宋体" w:cs="Times New Roman"/>
          <w:sz w:val="24"/>
          <w:szCs w:val="24"/>
          <w:highlight w:val="none"/>
          <w:lang w:eastAsia="zh-CN"/>
        </w:rPr>
      </w:pPr>
      <w:r>
        <w:rPr>
          <w:rFonts w:hint="default" w:ascii="Times New Roman" w:hAnsi="Times New Roman" w:eastAsia="宋体" w:cs="Times New Roman"/>
          <w:sz w:val="24"/>
          <w:szCs w:val="24"/>
          <w:highlight w:val="none"/>
          <w:lang w:eastAsia="zh-CN"/>
        </w:rPr>
        <w:drawing>
          <wp:inline distT="0" distB="0" distL="114300" distR="114300">
            <wp:extent cx="5481320" cy="3118485"/>
            <wp:effectExtent l="0" t="0" r="5080" b="5715"/>
            <wp:docPr id="9" name="图片 9" descr="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S2"/>
                    <pic:cNvPicPr>
                      <a:picLocks noChangeAspect="1"/>
                    </pic:cNvPicPr>
                  </pic:nvPicPr>
                  <pic:blipFill>
                    <a:blip r:embed="rId11"/>
                    <a:stretch>
                      <a:fillRect/>
                    </a:stretch>
                  </pic:blipFill>
                  <pic:spPr>
                    <a:xfrm>
                      <a:off x="0" y="0"/>
                      <a:ext cx="5481320" cy="3118485"/>
                    </a:xfrm>
                    <a:prstGeom prst="rect">
                      <a:avLst/>
                    </a:prstGeom>
                  </pic:spPr>
                </pic:pic>
              </a:graphicData>
            </a:graphic>
          </wp:inline>
        </w:drawing>
      </w:r>
    </w:p>
    <w:p w14:paraId="732C21B7">
      <w:pP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lang w:val="en-US" w:eastAsia="zh-CN"/>
        </w:rPr>
        <w:t xml:space="preserve">(A) </w:t>
      </w:r>
      <w:r>
        <w:rPr>
          <w:rFonts w:hint="default" w:ascii="Times New Roman" w:hAnsi="Times New Roman" w:cs="Times New Roman"/>
          <w:sz w:val="24"/>
          <w:szCs w:val="24"/>
          <w:highlight w:val="none"/>
        </w:rPr>
        <w:t>Schematic of WGA-FLP-based transsynaptic tracing. AAV-CAG-DIO-WGA-FLP was injected into the DRN and AAV-EF1α-fDIO-EGFP into the CeA of Pet1-Cre mice.</w:t>
      </w:r>
      <w:r>
        <w:rPr>
          <w:rFonts w:hint="default" w:ascii="Times New Roman" w:hAnsi="Times New Roman" w:cs="Times New Roman"/>
          <w:sz w:val="24"/>
          <w:szCs w:val="24"/>
          <w:highlight w:val="none"/>
          <w:lang w:val="en-US" w:eastAsia="zh-CN"/>
        </w:rPr>
        <w:t xml:space="preserve">(B) </w:t>
      </w:r>
      <w:r>
        <w:rPr>
          <w:rFonts w:hint="default" w:ascii="Times New Roman" w:hAnsi="Times New Roman" w:cs="Times New Roman"/>
          <w:sz w:val="24"/>
          <w:szCs w:val="24"/>
          <w:highlight w:val="none"/>
        </w:rPr>
        <w:t>Representative confocal images of EGFP-positive signals in the CeA. Left: low magnification image showing EGFP-positive signals distributed within the CeA (dashed outline); scale bar, 1000 μm. Right: high magnification image showing EGFP-positive fiber-like structures (green) surrounding DAPI-stained neuronal soma (blue) within the CeA; scale bar, 100 μm.(</w:t>
      </w:r>
      <w:r>
        <w:rPr>
          <w:rFonts w:hint="default" w:ascii="Times New Roman" w:hAnsi="Times New Roman" w:cs="Times New Roman"/>
          <w:sz w:val="24"/>
          <w:szCs w:val="24"/>
          <w:highlight w:val="none"/>
          <w:lang w:val="en-US" w:eastAsia="zh-CN"/>
        </w:rPr>
        <w:t>C-E</w:t>
      </w:r>
      <w:r>
        <w:rPr>
          <w:rFonts w:hint="default" w:ascii="Times New Roman" w:hAnsi="Times New Roman" w:cs="Times New Roman"/>
          <w:sz w:val="24"/>
          <w:szCs w:val="24"/>
          <w:highlight w:val="none"/>
        </w:rPr>
        <w:t>) Waveform classification of CeA neurons recorded by in vivo multichannel electrophysiology. Scatter plots of baseline firing rate (Hz) versus trough-to-peak duration (μs) for Normal (</w:t>
      </w:r>
      <w:r>
        <w:rPr>
          <w:rFonts w:hint="default" w:ascii="Times New Roman" w:hAnsi="Times New Roman" w:cs="Times New Roman"/>
          <w:sz w:val="24"/>
          <w:szCs w:val="24"/>
          <w:highlight w:val="none"/>
          <w:lang w:val="en-US" w:eastAsia="zh-CN"/>
        </w:rPr>
        <w:t>C</w:t>
      </w:r>
      <w:r>
        <w:rPr>
          <w:rFonts w:hint="default" w:ascii="Times New Roman" w:hAnsi="Times New Roman" w:cs="Times New Roman"/>
          <w:sz w:val="24"/>
          <w:szCs w:val="24"/>
          <w:highlight w:val="none"/>
        </w:rPr>
        <w:t>, blue, n = 50 units), CCI (</w:t>
      </w:r>
      <w:r>
        <w:rPr>
          <w:rFonts w:hint="default" w:ascii="Times New Roman" w:hAnsi="Times New Roman" w:cs="Times New Roman"/>
          <w:sz w:val="24"/>
          <w:szCs w:val="24"/>
          <w:highlight w:val="none"/>
          <w:lang w:val="en-US" w:eastAsia="zh-CN"/>
        </w:rPr>
        <w:t>D</w:t>
      </w:r>
      <w:r>
        <w:rPr>
          <w:rFonts w:hint="default" w:ascii="Times New Roman" w:hAnsi="Times New Roman" w:cs="Times New Roman"/>
          <w:sz w:val="24"/>
          <w:szCs w:val="24"/>
          <w:highlight w:val="none"/>
        </w:rPr>
        <w:t>, orange, n = 42 units), and CCI+hM4Di (</w:t>
      </w:r>
      <w:r>
        <w:rPr>
          <w:rFonts w:hint="default" w:ascii="Times New Roman" w:hAnsi="Times New Roman" w:cs="Times New Roman"/>
          <w:sz w:val="24"/>
          <w:szCs w:val="24"/>
          <w:highlight w:val="none"/>
          <w:lang w:val="en-US" w:eastAsia="zh-CN"/>
        </w:rPr>
        <w:t>E</w:t>
      </w:r>
      <w:r>
        <w:rPr>
          <w:rFonts w:hint="default" w:ascii="Times New Roman" w:hAnsi="Times New Roman" w:cs="Times New Roman"/>
          <w:sz w:val="24"/>
          <w:szCs w:val="24"/>
          <w:highlight w:val="none"/>
        </w:rPr>
        <w:t>, red, n = 48 units) groups.</w:t>
      </w:r>
    </w:p>
    <w:p w14:paraId="18E07485">
      <w:pPr>
        <w:pStyle w:val="2"/>
        <w:keepNext w:val="0"/>
        <w:keepLines w:val="0"/>
        <w:pageBreakBefore w:val="0"/>
        <w:widowControl w:val="0"/>
        <w:numPr>
          <w:ilvl w:val="1"/>
          <w:numId w:val="1"/>
        </w:numPr>
        <w:kinsoku/>
        <w:wordWrap/>
        <w:overflowPunct/>
        <w:topLinePunct w:val="0"/>
        <w:autoSpaceDE/>
        <w:autoSpaceDN/>
        <w:bidi w:val="0"/>
        <w:adjustRightInd/>
        <w:snapToGrid/>
        <w:spacing w:before="313" w:beforeLines="100" w:after="240"/>
        <w:ind w:left="567" w:leftChars="0" w:hanging="567" w:firstLineChars="0"/>
        <w:jc w:val="left"/>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Pr>
        <w:t>Supplementary Figure 3. KEGG enrichment and PPI network analyses of CeA proteomic data.</w:t>
      </w:r>
    </w:p>
    <w:p w14:paraId="3F348496">
      <w:pPr>
        <w:pStyle w:val="3"/>
        <w:rPr>
          <w:rFonts w:hint="default" w:ascii="Times New Roman" w:hAnsi="Times New Roman" w:eastAsia="宋体" w:cs="Times New Roman"/>
          <w:sz w:val="24"/>
          <w:szCs w:val="24"/>
          <w:highlight w:val="none"/>
          <w:lang w:eastAsia="zh-CN"/>
        </w:rPr>
      </w:pPr>
      <w:r>
        <w:rPr>
          <w:rFonts w:hint="default" w:ascii="Times New Roman" w:hAnsi="Times New Roman" w:eastAsia="宋体" w:cs="Times New Roman"/>
          <w:sz w:val="24"/>
          <w:szCs w:val="24"/>
          <w:highlight w:val="none"/>
          <w:lang w:eastAsia="zh-CN"/>
        </w:rPr>
        <w:drawing>
          <wp:inline distT="0" distB="0" distL="114300" distR="114300">
            <wp:extent cx="5480050" cy="5748020"/>
            <wp:effectExtent l="0" t="0" r="6350" b="5080"/>
            <wp:docPr id="10" name="图片 10" descr="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S3"/>
                    <pic:cNvPicPr>
                      <a:picLocks noChangeAspect="1"/>
                    </pic:cNvPicPr>
                  </pic:nvPicPr>
                  <pic:blipFill>
                    <a:blip r:embed="rId12"/>
                    <a:stretch>
                      <a:fillRect/>
                    </a:stretch>
                  </pic:blipFill>
                  <pic:spPr>
                    <a:xfrm>
                      <a:off x="0" y="0"/>
                      <a:ext cx="5480050" cy="5748020"/>
                    </a:xfrm>
                    <a:prstGeom prst="rect">
                      <a:avLst/>
                    </a:prstGeom>
                  </pic:spPr>
                </pic:pic>
              </a:graphicData>
            </a:graphic>
          </wp:inline>
        </w:drawing>
      </w:r>
    </w:p>
    <w:p w14:paraId="1B417D5D">
      <w:pPr>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(A) KEGG pathway enrichment analysis of the 125 reversed-down proteins (CCI-upregulated and taVNS-downregulated). Bubble size represents gene count; color indicates adjusted P value.(B) KEGG pathway enrichment analysis of the 568 taVNS-unique differentially expressed proteins (significant only in taVNS vs. CCI comparison). Format same as (A).(C) Protein–protein interaction (PPI) network of the 125 reversed-down proteins (63 interacting proteins, 103 edges). Node size reflects connectivity degree. Functional modules are annotated by dashed boxes: neuroimmune inflammation hub (red), BBB/vascular permeability (green), ECM remodeling (teal), MUP family (grey), solute transporters (yellow, with Slc6a13/GAT-2 highlighted), antigen presentation (orange), and gap junction (blue).</w:t>
      </w:r>
    </w:p>
    <w:p w14:paraId="6CBE4D9E">
      <w:pPr>
        <w:pStyle w:val="2"/>
        <w:keepNext w:val="0"/>
        <w:keepLines w:val="0"/>
        <w:pageBreakBefore w:val="0"/>
        <w:widowControl w:val="0"/>
        <w:numPr>
          <w:ilvl w:val="1"/>
          <w:numId w:val="1"/>
        </w:numPr>
        <w:kinsoku/>
        <w:wordWrap/>
        <w:overflowPunct/>
        <w:topLinePunct w:val="0"/>
        <w:autoSpaceDE/>
        <w:autoSpaceDN/>
        <w:bidi w:val="0"/>
        <w:adjustRightInd/>
        <w:snapToGrid/>
        <w:spacing w:before="313" w:beforeLines="100" w:after="240"/>
        <w:ind w:left="567" w:leftChars="0" w:hanging="567" w:firstLineChars="0"/>
        <w:jc w:val="left"/>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Pr>
        <w:t>Supplementary Figure 4. GO and KEGG enrichment analyses of taVNS-unique differentially expressed phosphosites.</w:t>
      </w:r>
    </w:p>
    <w:p w14:paraId="5F1FE9CE">
      <w:pPr>
        <w:rPr>
          <w:rFonts w:hint="default" w:ascii="Times New Roman" w:hAnsi="Times New Roman" w:eastAsia="宋体" w:cs="Times New Roman"/>
          <w:sz w:val="24"/>
          <w:szCs w:val="24"/>
          <w:highlight w:val="none"/>
          <w:lang w:eastAsia="zh-CN"/>
        </w:rPr>
      </w:pPr>
      <w:r>
        <w:rPr>
          <w:rFonts w:hint="default" w:ascii="Times New Roman" w:hAnsi="Times New Roman" w:eastAsia="宋体" w:cs="Times New Roman"/>
          <w:sz w:val="24"/>
          <w:szCs w:val="24"/>
          <w:highlight w:val="none"/>
          <w:lang w:eastAsia="zh-CN"/>
        </w:rPr>
        <w:drawing>
          <wp:inline distT="0" distB="0" distL="114300" distR="114300">
            <wp:extent cx="5477510" cy="4432300"/>
            <wp:effectExtent l="0" t="0" r="8890" b="0"/>
            <wp:docPr id="11" name="图片 11" descr="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S4"/>
                    <pic:cNvPicPr>
                      <a:picLocks noChangeAspect="1"/>
                    </pic:cNvPicPr>
                  </pic:nvPicPr>
                  <pic:blipFill>
                    <a:blip r:embed="rId13"/>
                    <a:stretch>
                      <a:fillRect/>
                    </a:stretch>
                  </pic:blipFill>
                  <pic:spPr>
                    <a:xfrm>
                      <a:off x="0" y="0"/>
                      <a:ext cx="5477510" cy="4432300"/>
                    </a:xfrm>
                    <a:prstGeom prst="rect">
                      <a:avLst/>
                    </a:prstGeom>
                  </pic:spPr>
                </pic:pic>
              </a:graphicData>
            </a:graphic>
          </wp:inline>
        </w:drawing>
      </w:r>
    </w:p>
    <w:p w14:paraId="14C36381">
      <w:pPr>
        <w:rPr>
          <w:rFonts w:hint="default" w:ascii="Times New Roman" w:hAnsi="Times New Roman" w:cs="Times New Roman"/>
          <w:sz w:val="24"/>
          <w:szCs w:val="24"/>
          <w:highlight w:val="none"/>
          <w:lang w:val="en-US" w:eastAsia="zh-CN"/>
        </w:rPr>
      </w:pPr>
      <w:r>
        <w:rPr>
          <w:rFonts w:hint="default" w:ascii="Times New Roman" w:hAnsi="Times New Roman" w:cs="Times New Roman"/>
          <w:sz w:val="24"/>
          <w:szCs w:val="24"/>
          <w:highlight w:val="none"/>
          <w:lang w:val="en-US" w:eastAsia="zh-CN"/>
        </w:rPr>
        <w:t>(A) GO enrichment analysis of phosphosites differentially expressed exclusively in the taVNS vs. CCI comparison (~1,075 sites). Bubble size represents gene count; color indicates adjusted P value.(B) KEGG pathway enrichment analysis of the same taVNS-unique phosphosites. Format same as (A).</w:t>
      </w:r>
    </w:p>
    <w:p w14:paraId="1B67CED2">
      <w:pPr>
        <w:pStyle w:val="2"/>
        <w:keepNext w:val="0"/>
        <w:keepLines w:val="0"/>
        <w:pageBreakBefore w:val="0"/>
        <w:widowControl w:val="0"/>
        <w:numPr>
          <w:ilvl w:val="1"/>
          <w:numId w:val="1"/>
        </w:numPr>
        <w:kinsoku/>
        <w:wordWrap/>
        <w:overflowPunct/>
        <w:topLinePunct w:val="0"/>
        <w:autoSpaceDE/>
        <w:autoSpaceDN/>
        <w:bidi w:val="0"/>
        <w:adjustRightInd/>
        <w:snapToGrid/>
        <w:spacing w:before="313" w:beforeLines="100" w:after="240"/>
        <w:ind w:left="567" w:leftChars="0" w:hanging="567" w:firstLineChars="0"/>
        <w:jc w:val="left"/>
        <w:textAlignment w:val="auto"/>
        <w:rPr>
          <w:rFonts w:hint="default" w:ascii="Times New Roman" w:hAnsi="Times New Roman" w:eastAsia="Times New Roman" w:cs="Times New Roman"/>
          <w:b/>
          <w:bCs/>
          <w:sz w:val="24"/>
          <w:szCs w:val="24"/>
          <w:highlight w:val="none"/>
        </w:rPr>
      </w:pPr>
      <w:r>
        <w:rPr>
          <w:rFonts w:hint="default" w:ascii="Times New Roman" w:hAnsi="Times New Roman" w:eastAsia="Times New Roman" w:cs="Times New Roman"/>
          <w:b/>
          <w:bCs/>
          <w:sz w:val="24"/>
          <w:szCs w:val="24"/>
          <w:highlight w:val="none"/>
        </w:rPr>
        <w:t xml:space="preserve">Supplementary Figure </w:t>
      </w:r>
      <w:r>
        <w:rPr>
          <w:rFonts w:hint="eastAsia" w:eastAsia="宋体" w:cs="Times New Roman"/>
          <w:b/>
          <w:bCs/>
          <w:sz w:val="24"/>
          <w:szCs w:val="24"/>
          <w:highlight w:val="none"/>
          <w:lang w:val="en-US" w:eastAsia="zh-CN"/>
        </w:rPr>
        <w:t xml:space="preserve">5. </w:t>
      </w:r>
      <w:r>
        <w:rPr>
          <w:rFonts w:hint="default" w:ascii="Times New Roman" w:hAnsi="Times New Roman" w:eastAsia="Times New Roman" w:cs="Times New Roman"/>
          <w:b/>
          <w:bCs/>
          <w:sz w:val="24"/>
          <w:szCs w:val="24"/>
          <w:highlight w:val="none"/>
        </w:rPr>
        <w:t>Cross-level correlations between mechanistic readouts and behavioral recove</w:t>
      </w:r>
      <w:bookmarkStart w:id="0" w:name="_GoBack"/>
      <w:bookmarkEnd w:id="0"/>
      <w:r>
        <w:rPr>
          <w:rFonts w:hint="default" w:ascii="Times New Roman" w:hAnsi="Times New Roman" w:eastAsia="Times New Roman" w:cs="Times New Roman"/>
          <w:b/>
          <w:bCs/>
          <w:sz w:val="24"/>
          <w:szCs w:val="24"/>
          <w:highlight w:val="none"/>
        </w:rPr>
        <w:t>ry across CCI and taVNS-treated mice.</w:t>
      </w:r>
    </w:p>
    <w:p w14:paraId="073A70FB">
      <w:pPr>
        <w:rPr>
          <w:rFonts w:hint="eastAsia" w:eastAsia="宋体"/>
          <w:highlight w:val="none"/>
          <w:lang w:eastAsia="zh-CN"/>
        </w:rPr>
      </w:pPr>
      <w:r>
        <w:rPr>
          <w:rFonts w:hint="eastAsia" w:eastAsia="宋体"/>
          <w:highlight w:val="none"/>
          <w:lang w:eastAsia="zh-CN"/>
        </w:rPr>
        <w:drawing>
          <wp:inline distT="0" distB="0" distL="114300" distR="114300">
            <wp:extent cx="5977255" cy="2712085"/>
            <wp:effectExtent l="0" t="0" r="4445" b="5715"/>
            <wp:docPr id="1" name="图片 1" descr="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S5"/>
                    <pic:cNvPicPr>
                      <a:picLocks noChangeAspect="1"/>
                    </pic:cNvPicPr>
                  </pic:nvPicPr>
                  <pic:blipFill>
                    <a:blip r:embed="rId14"/>
                    <a:stretch>
                      <a:fillRect/>
                    </a:stretch>
                  </pic:blipFill>
                  <pic:spPr>
                    <a:xfrm>
                      <a:off x="0" y="0"/>
                      <a:ext cx="5977255" cy="2712085"/>
                    </a:xfrm>
                    <a:prstGeom prst="rect">
                      <a:avLst/>
                    </a:prstGeom>
                  </pic:spPr>
                </pic:pic>
              </a:graphicData>
            </a:graphic>
          </wp:inline>
        </w:drawing>
      </w:r>
    </w:p>
    <w:p w14:paraId="389FA4BA">
      <w:pPr>
        <w:rPr>
          <w:rFonts w:hint="eastAsia" w:eastAsia="宋体"/>
          <w:highlight w:val="none"/>
          <w:lang w:eastAsia="zh-CN"/>
        </w:rPr>
      </w:pPr>
      <w:r>
        <w:rPr>
          <w:rFonts w:hint="default" w:ascii="Times New Roman" w:hAnsi="Times New Roman" w:cs="Times New Roman"/>
          <w:sz w:val="24"/>
          <w:szCs w:val="24"/>
          <w:highlight w:val="none"/>
          <w:lang w:val="en-US" w:eastAsia="zh-CN"/>
        </w:rPr>
        <w:t>(A) Correlation matrix (Spearman’s r) relating the two mechanistic readouts—CeA extracellular 5-HT and DRN–CeA functional connectivity—to the three behavioral indices (PWT, TST, SPT). Cell colour encodes the correlation coefficient (blue, positive; red, negative); symbols denote uncorrected significance (*</w:t>
      </w:r>
      <w:r>
        <w:rPr>
          <w:rFonts w:hint="default" w:ascii="Times New Roman" w:hAnsi="Times New Roman" w:cs="Times New Roman"/>
          <w:i/>
          <w:iCs/>
          <w:sz w:val="24"/>
          <w:szCs w:val="24"/>
          <w:highlight w:val="none"/>
          <w:lang w:val="en-US" w:eastAsia="zh-CN"/>
        </w:rPr>
        <w:t>P</w:t>
      </w:r>
      <w:r>
        <w:rPr>
          <w:rFonts w:hint="default" w:ascii="Times New Roman" w:hAnsi="Times New Roman" w:cs="Times New Roman"/>
          <w:sz w:val="24"/>
          <w:szCs w:val="24"/>
          <w:highlight w:val="none"/>
          <w:lang w:val="en-US" w:eastAsia="zh-CN"/>
        </w:rPr>
        <w:t xml:space="preserve"> &lt; 0.05, **</w:t>
      </w:r>
      <w:r>
        <w:rPr>
          <w:rFonts w:hint="default" w:ascii="Times New Roman" w:hAnsi="Times New Roman" w:cs="Times New Roman"/>
          <w:i/>
          <w:iCs/>
          <w:sz w:val="24"/>
          <w:szCs w:val="24"/>
          <w:highlight w:val="none"/>
          <w:lang w:val="en-US" w:eastAsia="zh-CN"/>
        </w:rPr>
        <w:t>P</w:t>
      </w:r>
      <w:r>
        <w:rPr>
          <w:rFonts w:hint="default" w:ascii="Times New Roman" w:hAnsi="Times New Roman" w:cs="Times New Roman"/>
          <w:sz w:val="24"/>
          <w:szCs w:val="24"/>
          <w:highlight w:val="none"/>
          <w:lang w:val="en-US" w:eastAsia="zh-CN"/>
        </w:rPr>
        <w:t xml:space="preserve"> &lt; 0.01, ***</w:t>
      </w:r>
      <w:r>
        <w:rPr>
          <w:rFonts w:hint="default" w:ascii="Times New Roman" w:hAnsi="Times New Roman" w:cs="Times New Roman"/>
          <w:i/>
          <w:iCs/>
          <w:sz w:val="24"/>
          <w:szCs w:val="24"/>
          <w:highlight w:val="none"/>
          <w:lang w:val="en-US" w:eastAsia="zh-CN"/>
        </w:rPr>
        <w:t>P</w:t>
      </w:r>
      <w:r>
        <w:rPr>
          <w:rFonts w:hint="default" w:ascii="Times New Roman" w:hAnsi="Times New Roman" w:cs="Times New Roman"/>
          <w:sz w:val="24"/>
          <w:szCs w:val="24"/>
          <w:highlight w:val="none"/>
          <w:lang w:val="en-US" w:eastAsia="zh-CN"/>
        </w:rPr>
        <w:t xml:space="preserve"> &lt; 0.001, †</w:t>
      </w:r>
      <w:r>
        <w:rPr>
          <w:rFonts w:hint="default" w:ascii="Times New Roman" w:hAnsi="Times New Roman" w:cs="Times New Roman"/>
          <w:i/>
          <w:iCs/>
          <w:sz w:val="24"/>
          <w:szCs w:val="24"/>
          <w:highlight w:val="none"/>
          <w:lang w:val="en-US" w:eastAsia="zh-CN"/>
        </w:rPr>
        <w:t>P</w:t>
      </w:r>
      <w:r>
        <w:rPr>
          <w:rFonts w:hint="default" w:ascii="Times New Roman" w:hAnsi="Times New Roman" w:cs="Times New Roman"/>
          <w:sz w:val="24"/>
          <w:szCs w:val="24"/>
          <w:highlight w:val="none"/>
          <w:lang w:val="en-US" w:eastAsia="zh-CN"/>
        </w:rPr>
        <w:t xml:space="preserve"> &lt; 0.10). (B–D) Scatter plots of CeA 5-HT against PWT (B), TST (C) and SPT (D). (E–G) Scatter plots of DRN–CeA functional connectivity (Fisher z) against PWT (E), TST (F) and SPT (G). Each point is one animal (CCI, red; taVNS, green). Solid line, linear fit; shaded band, bootstrap 95% confidence interval. Correlations were predefined on the basis of the proposed mechanism and computed by Spearman’s rank correlation across CCI and taVNS-treated animals pooled (CeA 5-HT, n = 11; DRN–CeA FC, n = 14); P values are uncorrected.</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lnNumType w:countBy="1"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72B82E">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0B64FF">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628C02">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20E070">
    <w:pPr>
      <w:pStyle w:val="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F79049">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BE83D6">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9C0CEE"/>
    <w:multiLevelType w:val="multilevel"/>
    <w:tmpl w:val="999C0CEE"/>
    <w:lvl w:ilvl="0" w:tentative="0">
      <w:start w:val="1"/>
      <w:numFmt w:val="decimal"/>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BC777B0"/>
    <w:rsid w:val="039C2DB6"/>
    <w:rsid w:val="0BCB2D68"/>
    <w:rsid w:val="26784A21"/>
    <w:rsid w:val="4AB32B15"/>
    <w:rsid w:val="4BC777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240" w:after="240"/>
      <w:outlineLvl w:val="0"/>
    </w:pPr>
    <w:rPr>
      <w:rFonts w:ascii="Times New Roman" w:hAnsi="Times New Roman" w:eastAsia="Times New Roman" w:cs="Times New Roman"/>
      <w:b/>
      <w:bCs/>
      <w:sz w:val="28"/>
      <w:szCs w:val="28"/>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spacing w:before="180" w:after="18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image" Target="media/image5.tiff"/><Relationship Id="rId13" Type="http://schemas.openxmlformats.org/officeDocument/2006/relationships/image" Target="media/image4.tiff"/><Relationship Id="rId12" Type="http://schemas.openxmlformats.org/officeDocument/2006/relationships/image" Target="media/image3.tiff"/><Relationship Id="rId11" Type="http://schemas.openxmlformats.org/officeDocument/2006/relationships/image" Target="media/image2.tiff"/><Relationship Id="rId10" Type="http://schemas.openxmlformats.org/officeDocument/2006/relationships/image" Target="media/image1.tiff"/><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551</Words>
  <Characters>3441</Characters>
  <Lines>0</Lines>
  <Paragraphs>0</Paragraphs>
  <TotalTime>1</TotalTime>
  <ScaleCrop>false</ScaleCrop>
  <LinksUpToDate>false</LinksUpToDate>
  <CharactersWithSpaces>3981</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2026-04-30T15:54:00Z</dcterms:created>
  <dc:creator>xiaoxingbaozi </dc:creator>
  <cp:lastModifiedBy>xiaoxingbaozi</cp:lastModifiedBy>
  <dcterms:modified xsi:type="dcterms:W3CDTF">2026-08-27T07:51:58Z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8401AEB0902F4473BD6D1DF51ECB6875_13</vt:lpwstr>
  </property>
  <property fmtid="{D5CDD505-2E9C-101B-9397-08002B2CF9AE}" pid="4" name="KSOTemplateDocerSaveRecord">
    <vt:lpwstr>eyJoZGlkIjoiODY0YTE5OTVlM2Q2YmM2NWIzMjhlOWEzNmY0NzU1YjAiLCJ1c2VySWQiOiI0MTA2MzIzNzgifQ==</vt:lpwstr>
  </property>
</Properties>
</file>