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BBF40" w14:textId="77777777" w:rsidR="004E5103" w:rsidRPr="00017B2C" w:rsidRDefault="004C0C60" w:rsidP="004E5103">
      <w:pPr>
        <w:rPr>
          <w:b/>
          <w:bCs/>
        </w:rPr>
      </w:pPr>
      <w:r w:rsidRPr="00017B2C">
        <w:rPr>
          <w:b/>
          <w:bCs/>
        </w:rPr>
        <w:t>Supplemental Table 1</w:t>
      </w:r>
    </w:p>
    <w:p w14:paraId="754E876C" w14:textId="262A4F95" w:rsidR="004C0C60" w:rsidRPr="004C0C60" w:rsidRDefault="004C0C60" w:rsidP="004E5103">
      <w:r w:rsidRPr="004C0C60">
        <w:t>Analytical performance of chemistry assays on the Ortho VITROS 5600 Integrated System</w:t>
      </w:r>
    </w:p>
    <w:tbl>
      <w:tblPr>
        <w:tblW w:w="9896" w:type="dxa"/>
        <w:tblLayout w:type="fixed"/>
        <w:tblLook w:val="04A0" w:firstRow="1" w:lastRow="0" w:firstColumn="1" w:lastColumn="0" w:noHBand="0" w:noVBand="1"/>
      </w:tblPr>
      <w:tblGrid>
        <w:gridCol w:w="1304"/>
        <w:gridCol w:w="314"/>
        <w:gridCol w:w="877"/>
        <w:gridCol w:w="1077"/>
        <w:gridCol w:w="1077"/>
        <w:gridCol w:w="1077"/>
        <w:gridCol w:w="1078"/>
        <w:gridCol w:w="1335"/>
        <w:gridCol w:w="878"/>
        <w:gridCol w:w="879"/>
      </w:tblGrid>
      <w:tr w:rsidR="004C0C60" w:rsidRPr="008C61A3" w14:paraId="4BFBB064" w14:textId="77777777" w:rsidTr="00B22DC5">
        <w:trPr>
          <w:trHeight w:val="280"/>
        </w:trPr>
        <w:tc>
          <w:tcPr>
            <w:tcW w:w="1618" w:type="dxa"/>
            <w:gridSpan w:val="2"/>
            <w:vMerge w:val="restart"/>
            <w:tcBorders>
              <w:top w:val="single" w:sz="12" w:space="0" w:color="auto"/>
              <w:left w:val="nil"/>
              <w:right w:val="nil"/>
            </w:tcBorders>
            <w:shd w:val="clear" w:color="auto" w:fill="auto"/>
            <w:noWrap/>
            <w:vAlign w:val="center"/>
            <w:hideMark/>
          </w:tcPr>
          <w:p w14:paraId="5910886F" w14:textId="54522C84" w:rsidR="004C0C60" w:rsidRPr="007B6ED9" w:rsidRDefault="004C0C60" w:rsidP="004C0C60">
            <w:pPr>
              <w:widowControl/>
              <w:rPr>
                <w:rFonts w:ascii="Arial" w:hAnsi="Arial" w:cs="Arial"/>
                <w:b/>
                <w:bCs/>
                <w:color w:val="000000" w:themeColor="text1"/>
                <w:kern w:val="0"/>
                <w:sz w:val="18"/>
                <w:szCs w:val="18"/>
              </w:rPr>
            </w:pPr>
            <w:r w:rsidRPr="007B6ED9">
              <w:rPr>
                <w:rFonts w:ascii="Arial" w:hAnsi="Arial" w:cs="Arial" w:hint="eastAsia"/>
                <w:b/>
                <w:bCs/>
                <w:color w:val="000000" w:themeColor="text1"/>
                <w:kern w:val="0"/>
                <w:sz w:val="18"/>
                <w:szCs w:val="18"/>
              </w:rPr>
              <w:t>A</w:t>
            </w:r>
            <w:r w:rsidRPr="007B6ED9">
              <w:rPr>
                <w:rFonts w:ascii="Arial" w:hAnsi="Arial" w:cs="Arial"/>
                <w:b/>
                <w:bCs/>
                <w:color w:val="000000" w:themeColor="text1"/>
                <w:kern w:val="0"/>
                <w:sz w:val="18"/>
                <w:szCs w:val="18"/>
              </w:rPr>
              <w:t>nalytes</w:t>
            </w:r>
          </w:p>
        </w:tc>
        <w:tc>
          <w:tcPr>
            <w:tcW w:w="877" w:type="dxa"/>
            <w:tcBorders>
              <w:top w:val="single" w:sz="12" w:space="0" w:color="auto"/>
              <w:left w:val="nil"/>
              <w:bottom w:val="nil"/>
              <w:right w:val="nil"/>
            </w:tcBorders>
            <w:shd w:val="clear" w:color="auto" w:fill="auto"/>
            <w:noWrap/>
            <w:vAlign w:val="bottom"/>
            <w:hideMark/>
          </w:tcPr>
          <w:p w14:paraId="6A4EE596" w14:textId="77777777" w:rsidR="004C0C60" w:rsidRPr="00B41A9C" w:rsidRDefault="004C0C60" w:rsidP="008C61A3">
            <w:pPr>
              <w:widowControl/>
              <w:jc w:val="left"/>
              <w:rPr>
                <w:rFonts w:ascii="Arial" w:eastAsia="Times New Roman" w:hAnsi="Arial" w:cs="Arial"/>
                <w:color w:val="000000" w:themeColor="text1"/>
                <w:kern w:val="0"/>
                <w:sz w:val="18"/>
                <w:szCs w:val="18"/>
              </w:rPr>
            </w:pPr>
          </w:p>
        </w:tc>
        <w:tc>
          <w:tcPr>
            <w:tcW w:w="4309" w:type="dxa"/>
            <w:gridSpan w:val="4"/>
            <w:tcBorders>
              <w:top w:val="single" w:sz="12" w:space="0" w:color="auto"/>
              <w:left w:val="nil"/>
              <w:bottom w:val="nil"/>
              <w:right w:val="nil"/>
            </w:tcBorders>
            <w:shd w:val="clear" w:color="auto" w:fill="auto"/>
            <w:noWrap/>
            <w:vAlign w:val="bottom"/>
            <w:hideMark/>
          </w:tcPr>
          <w:p w14:paraId="30B97700" w14:textId="53D35C86" w:rsidR="004C0C60" w:rsidRPr="007B6ED9" w:rsidRDefault="004C0C60" w:rsidP="008C61A3">
            <w:pPr>
              <w:widowControl/>
              <w:jc w:val="left"/>
              <w:rPr>
                <w:rFonts w:ascii="Arial" w:eastAsia="Times New Roman" w:hAnsi="Arial" w:cs="Arial"/>
                <w:b/>
                <w:bCs/>
                <w:color w:val="000000" w:themeColor="text1"/>
                <w:kern w:val="0"/>
                <w:sz w:val="18"/>
                <w:szCs w:val="18"/>
              </w:rPr>
            </w:pPr>
            <w:r w:rsidRPr="007B6ED9">
              <w:rPr>
                <w:rFonts w:ascii="Arial" w:eastAsia="等线" w:hAnsi="Arial" w:cs="Arial"/>
                <w:b/>
                <w:bCs/>
                <w:color w:val="000000" w:themeColor="text1"/>
                <w:kern w:val="0"/>
                <w:sz w:val="18"/>
                <w:szCs w:val="18"/>
              </w:rPr>
              <w:t>Precision</w:t>
            </w:r>
          </w:p>
        </w:tc>
        <w:tc>
          <w:tcPr>
            <w:tcW w:w="1335" w:type="dxa"/>
            <w:tcBorders>
              <w:top w:val="single" w:sz="12" w:space="0" w:color="auto"/>
              <w:left w:val="nil"/>
              <w:bottom w:val="nil"/>
              <w:right w:val="nil"/>
            </w:tcBorders>
            <w:shd w:val="clear" w:color="auto" w:fill="auto"/>
            <w:noWrap/>
            <w:vAlign w:val="bottom"/>
            <w:hideMark/>
          </w:tcPr>
          <w:p w14:paraId="5616FF1C" w14:textId="77777777" w:rsidR="004C0C60" w:rsidRPr="00B41A9C" w:rsidRDefault="004C0C60" w:rsidP="008C61A3">
            <w:pPr>
              <w:widowControl/>
              <w:jc w:val="left"/>
              <w:rPr>
                <w:rFonts w:ascii="Arial" w:eastAsia="Times New Roman" w:hAnsi="Arial" w:cs="Arial"/>
                <w:color w:val="000000" w:themeColor="text1"/>
                <w:kern w:val="0"/>
                <w:sz w:val="18"/>
                <w:szCs w:val="18"/>
              </w:rPr>
            </w:pPr>
          </w:p>
        </w:tc>
        <w:tc>
          <w:tcPr>
            <w:tcW w:w="1757" w:type="dxa"/>
            <w:gridSpan w:val="2"/>
            <w:vMerge w:val="restart"/>
            <w:tcBorders>
              <w:top w:val="single" w:sz="12" w:space="0" w:color="auto"/>
              <w:left w:val="nil"/>
              <w:right w:val="nil"/>
            </w:tcBorders>
            <w:shd w:val="clear" w:color="auto" w:fill="auto"/>
            <w:noWrap/>
            <w:vAlign w:val="bottom"/>
            <w:hideMark/>
          </w:tcPr>
          <w:p w14:paraId="4D5A102E" w14:textId="77777777" w:rsidR="004C0C60" w:rsidRPr="007B6ED9" w:rsidRDefault="004C0C60" w:rsidP="008C61A3">
            <w:pPr>
              <w:widowControl/>
              <w:jc w:val="left"/>
              <w:rPr>
                <w:rFonts w:ascii="Arial" w:eastAsia="等线" w:hAnsi="Arial" w:cs="Arial"/>
                <w:b/>
                <w:bCs/>
                <w:color w:val="000000" w:themeColor="text1"/>
                <w:kern w:val="0"/>
                <w:sz w:val="18"/>
                <w:szCs w:val="18"/>
              </w:rPr>
            </w:pPr>
            <w:r w:rsidRPr="007B6ED9">
              <w:rPr>
                <w:rFonts w:ascii="Arial" w:eastAsia="等线" w:hAnsi="Arial" w:cs="Arial"/>
                <w:b/>
                <w:bCs/>
                <w:color w:val="000000" w:themeColor="text1"/>
                <w:kern w:val="0"/>
                <w:sz w:val="18"/>
                <w:szCs w:val="18"/>
              </w:rPr>
              <w:t>Accreditation</w:t>
            </w:r>
          </w:p>
          <w:p w14:paraId="4B45B348" w14:textId="132B9A8B" w:rsidR="004C0C60" w:rsidRPr="00B41A9C" w:rsidRDefault="004C0C60" w:rsidP="008C61A3">
            <w:pPr>
              <w:jc w:val="left"/>
              <w:rPr>
                <w:rFonts w:ascii="Arial" w:eastAsia="等线" w:hAnsi="Arial" w:cs="Arial"/>
                <w:color w:val="000000" w:themeColor="text1"/>
                <w:kern w:val="0"/>
                <w:sz w:val="18"/>
                <w:szCs w:val="18"/>
              </w:rPr>
            </w:pPr>
            <w:r w:rsidRPr="007B6ED9">
              <w:rPr>
                <w:rFonts w:ascii="Arial" w:eastAsia="等线" w:hAnsi="Arial" w:cs="Arial"/>
                <w:b/>
                <w:bCs/>
                <w:color w:val="000000" w:themeColor="text1"/>
                <w:kern w:val="0"/>
                <w:sz w:val="18"/>
                <w:szCs w:val="18"/>
              </w:rPr>
              <w:t>criteria</w:t>
            </w:r>
          </w:p>
        </w:tc>
      </w:tr>
      <w:tr w:rsidR="004C0C60" w:rsidRPr="008C61A3" w14:paraId="410582DE" w14:textId="77777777" w:rsidTr="00B22DC5">
        <w:trPr>
          <w:trHeight w:val="280"/>
        </w:trPr>
        <w:tc>
          <w:tcPr>
            <w:tcW w:w="1618" w:type="dxa"/>
            <w:gridSpan w:val="2"/>
            <w:vMerge/>
            <w:tcBorders>
              <w:left w:val="nil"/>
              <w:right w:val="nil"/>
            </w:tcBorders>
            <w:shd w:val="clear" w:color="auto" w:fill="auto"/>
            <w:noWrap/>
            <w:vAlign w:val="bottom"/>
            <w:hideMark/>
          </w:tcPr>
          <w:p w14:paraId="11AAC100" w14:textId="77777777" w:rsidR="004C0C60" w:rsidRPr="00B41A9C" w:rsidRDefault="004C0C60" w:rsidP="008C61A3">
            <w:pPr>
              <w:widowControl/>
              <w:jc w:val="left"/>
              <w:rPr>
                <w:rFonts w:ascii="Arial" w:eastAsia="等线" w:hAnsi="Arial" w:cs="Arial"/>
                <w:color w:val="000000" w:themeColor="text1"/>
                <w:kern w:val="0"/>
                <w:sz w:val="18"/>
                <w:szCs w:val="18"/>
              </w:rPr>
            </w:pPr>
          </w:p>
        </w:tc>
        <w:tc>
          <w:tcPr>
            <w:tcW w:w="877" w:type="dxa"/>
            <w:tcBorders>
              <w:top w:val="nil"/>
              <w:left w:val="nil"/>
              <w:right w:val="nil"/>
            </w:tcBorders>
            <w:shd w:val="clear" w:color="auto" w:fill="auto"/>
            <w:noWrap/>
            <w:vAlign w:val="bottom"/>
            <w:hideMark/>
          </w:tcPr>
          <w:p w14:paraId="5EBADA37" w14:textId="77777777" w:rsidR="004C0C60" w:rsidRPr="00B41A9C" w:rsidRDefault="004C0C60" w:rsidP="008C61A3">
            <w:pPr>
              <w:widowControl/>
              <w:jc w:val="left"/>
              <w:rPr>
                <w:rFonts w:ascii="Arial" w:eastAsia="Times New Roman" w:hAnsi="Arial" w:cs="Arial"/>
                <w:color w:val="000000" w:themeColor="text1"/>
                <w:kern w:val="0"/>
                <w:sz w:val="18"/>
                <w:szCs w:val="18"/>
              </w:rPr>
            </w:pPr>
          </w:p>
        </w:tc>
        <w:tc>
          <w:tcPr>
            <w:tcW w:w="2154" w:type="dxa"/>
            <w:gridSpan w:val="2"/>
            <w:tcBorders>
              <w:top w:val="nil"/>
              <w:left w:val="nil"/>
              <w:right w:val="nil"/>
            </w:tcBorders>
            <w:shd w:val="clear" w:color="auto" w:fill="auto"/>
            <w:noWrap/>
            <w:vAlign w:val="bottom"/>
            <w:hideMark/>
          </w:tcPr>
          <w:p w14:paraId="0F341474" w14:textId="6F3F9965" w:rsidR="004C0C60" w:rsidRPr="00B41A9C" w:rsidRDefault="004C0C60"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Low level, %</w:t>
            </w:r>
          </w:p>
        </w:tc>
        <w:tc>
          <w:tcPr>
            <w:tcW w:w="2155" w:type="dxa"/>
            <w:gridSpan w:val="2"/>
            <w:tcBorders>
              <w:top w:val="nil"/>
              <w:left w:val="nil"/>
              <w:right w:val="nil"/>
            </w:tcBorders>
            <w:shd w:val="clear" w:color="auto" w:fill="auto"/>
            <w:noWrap/>
            <w:vAlign w:val="bottom"/>
            <w:hideMark/>
          </w:tcPr>
          <w:p w14:paraId="3AA6F645" w14:textId="75ECA6E2" w:rsidR="004C0C60" w:rsidRPr="00B41A9C" w:rsidRDefault="004C0C60"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High level, %</w:t>
            </w:r>
          </w:p>
        </w:tc>
        <w:tc>
          <w:tcPr>
            <w:tcW w:w="1335" w:type="dxa"/>
            <w:tcBorders>
              <w:top w:val="nil"/>
              <w:left w:val="nil"/>
              <w:right w:val="nil"/>
            </w:tcBorders>
            <w:shd w:val="clear" w:color="auto" w:fill="auto"/>
            <w:noWrap/>
            <w:vAlign w:val="bottom"/>
            <w:hideMark/>
          </w:tcPr>
          <w:p w14:paraId="324287CA" w14:textId="77777777" w:rsidR="004C0C60" w:rsidRPr="00B41A9C" w:rsidRDefault="004C0C60" w:rsidP="008C61A3">
            <w:pPr>
              <w:widowControl/>
              <w:jc w:val="left"/>
              <w:rPr>
                <w:rFonts w:ascii="Arial" w:eastAsia="Times New Roman" w:hAnsi="Arial" w:cs="Arial"/>
                <w:color w:val="000000" w:themeColor="text1"/>
                <w:kern w:val="0"/>
                <w:sz w:val="18"/>
                <w:szCs w:val="18"/>
              </w:rPr>
            </w:pPr>
          </w:p>
        </w:tc>
        <w:tc>
          <w:tcPr>
            <w:tcW w:w="1757" w:type="dxa"/>
            <w:gridSpan w:val="2"/>
            <w:vMerge/>
            <w:tcBorders>
              <w:left w:val="nil"/>
              <w:right w:val="nil"/>
            </w:tcBorders>
            <w:shd w:val="clear" w:color="auto" w:fill="auto"/>
            <w:noWrap/>
            <w:vAlign w:val="bottom"/>
            <w:hideMark/>
          </w:tcPr>
          <w:p w14:paraId="2A8EBD6B" w14:textId="70036582" w:rsidR="004C0C60" w:rsidRPr="00B41A9C" w:rsidRDefault="004C0C60" w:rsidP="008C61A3">
            <w:pPr>
              <w:widowControl/>
              <w:jc w:val="left"/>
              <w:rPr>
                <w:rFonts w:ascii="Arial" w:eastAsia="等线" w:hAnsi="Arial" w:cs="Arial"/>
                <w:color w:val="000000" w:themeColor="text1"/>
                <w:kern w:val="0"/>
                <w:sz w:val="18"/>
                <w:szCs w:val="18"/>
              </w:rPr>
            </w:pPr>
          </w:p>
        </w:tc>
      </w:tr>
      <w:tr w:rsidR="008C61A3" w:rsidRPr="008C61A3" w14:paraId="41622459" w14:textId="77777777" w:rsidTr="00B22DC5">
        <w:trPr>
          <w:trHeight w:val="840"/>
        </w:trPr>
        <w:tc>
          <w:tcPr>
            <w:tcW w:w="1304" w:type="dxa"/>
            <w:tcBorders>
              <w:top w:val="nil"/>
              <w:left w:val="nil"/>
              <w:bottom w:val="single" w:sz="12" w:space="0" w:color="auto"/>
              <w:right w:val="nil"/>
            </w:tcBorders>
            <w:shd w:val="clear" w:color="auto" w:fill="auto"/>
            <w:vAlign w:val="center"/>
            <w:hideMark/>
          </w:tcPr>
          <w:p w14:paraId="0B7A660E" w14:textId="77777777" w:rsidR="008C61A3" w:rsidRPr="00B41A9C" w:rsidRDefault="008C61A3" w:rsidP="008C61A3">
            <w:pPr>
              <w:widowControl/>
              <w:jc w:val="left"/>
              <w:rPr>
                <w:rFonts w:ascii="Arial" w:eastAsia="Times New Roman" w:hAnsi="Arial" w:cs="Arial"/>
                <w:color w:val="000000" w:themeColor="text1"/>
                <w:kern w:val="0"/>
                <w:sz w:val="18"/>
                <w:szCs w:val="18"/>
              </w:rPr>
            </w:pPr>
          </w:p>
        </w:tc>
        <w:tc>
          <w:tcPr>
            <w:tcW w:w="1191" w:type="dxa"/>
            <w:gridSpan w:val="2"/>
            <w:tcBorders>
              <w:top w:val="nil"/>
              <w:left w:val="nil"/>
              <w:bottom w:val="single" w:sz="12" w:space="0" w:color="auto"/>
              <w:right w:val="nil"/>
            </w:tcBorders>
            <w:shd w:val="clear" w:color="auto" w:fill="auto"/>
            <w:vAlign w:val="center"/>
            <w:hideMark/>
          </w:tcPr>
          <w:p w14:paraId="71A9CDAC"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Bias of accuracy,%</w:t>
            </w:r>
          </w:p>
        </w:tc>
        <w:tc>
          <w:tcPr>
            <w:tcW w:w="1077" w:type="dxa"/>
            <w:tcBorders>
              <w:top w:val="nil"/>
              <w:left w:val="nil"/>
              <w:bottom w:val="single" w:sz="12" w:space="0" w:color="auto"/>
              <w:right w:val="nil"/>
            </w:tcBorders>
            <w:shd w:val="clear" w:color="auto" w:fill="auto"/>
            <w:vAlign w:val="center"/>
            <w:hideMark/>
          </w:tcPr>
          <w:p w14:paraId="1A442E3B" w14:textId="1492D4C4"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Within-</w:t>
            </w:r>
            <w:r w:rsidRPr="00B41A9C">
              <w:rPr>
                <w:rFonts w:ascii="Arial" w:eastAsia="等线" w:hAnsi="Arial" w:cs="Arial"/>
                <w:color w:val="000000" w:themeColor="text1"/>
                <w:kern w:val="0"/>
                <w:sz w:val="18"/>
                <w:szCs w:val="18"/>
              </w:rPr>
              <w:br/>
              <w:t>day</w:t>
            </w:r>
          </w:p>
        </w:tc>
        <w:tc>
          <w:tcPr>
            <w:tcW w:w="1077" w:type="dxa"/>
            <w:tcBorders>
              <w:top w:val="nil"/>
              <w:left w:val="nil"/>
              <w:bottom w:val="single" w:sz="12" w:space="0" w:color="auto"/>
              <w:right w:val="nil"/>
            </w:tcBorders>
            <w:shd w:val="clear" w:color="auto" w:fill="auto"/>
            <w:vAlign w:val="center"/>
            <w:hideMark/>
          </w:tcPr>
          <w:p w14:paraId="44AE52E4" w14:textId="5FF93001"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Between-</w:t>
            </w:r>
            <w:r w:rsidRPr="00B41A9C">
              <w:rPr>
                <w:rFonts w:ascii="Arial" w:eastAsia="等线" w:hAnsi="Arial" w:cs="Arial"/>
                <w:color w:val="000000" w:themeColor="text1"/>
                <w:kern w:val="0"/>
                <w:sz w:val="18"/>
                <w:szCs w:val="18"/>
              </w:rPr>
              <w:br/>
              <w:t>day</w:t>
            </w:r>
          </w:p>
        </w:tc>
        <w:tc>
          <w:tcPr>
            <w:tcW w:w="1077" w:type="dxa"/>
            <w:tcBorders>
              <w:top w:val="nil"/>
              <w:left w:val="nil"/>
              <w:bottom w:val="single" w:sz="12" w:space="0" w:color="auto"/>
              <w:right w:val="nil"/>
            </w:tcBorders>
            <w:shd w:val="clear" w:color="auto" w:fill="auto"/>
            <w:vAlign w:val="center"/>
            <w:hideMark/>
          </w:tcPr>
          <w:p w14:paraId="6EAEDD47" w14:textId="551B9C7F"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Within-</w:t>
            </w:r>
            <w:r w:rsidRPr="00B41A9C">
              <w:rPr>
                <w:rFonts w:ascii="Arial" w:eastAsia="等线" w:hAnsi="Arial" w:cs="Arial"/>
                <w:color w:val="000000" w:themeColor="text1"/>
                <w:kern w:val="0"/>
                <w:sz w:val="18"/>
                <w:szCs w:val="18"/>
              </w:rPr>
              <w:br/>
              <w:t>day</w:t>
            </w:r>
          </w:p>
        </w:tc>
        <w:tc>
          <w:tcPr>
            <w:tcW w:w="1078" w:type="dxa"/>
            <w:tcBorders>
              <w:top w:val="nil"/>
              <w:left w:val="nil"/>
              <w:bottom w:val="single" w:sz="12" w:space="0" w:color="auto"/>
              <w:right w:val="nil"/>
            </w:tcBorders>
            <w:shd w:val="clear" w:color="auto" w:fill="auto"/>
            <w:vAlign w:val="center"/>
            <w:hideMark/>
          </w:tcPr>
          <w:p w14:paraId="456BCE93" w14:textId="450B7F4F"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Between-</w:t>
            </w:r>
            <w:r w:rsidRPr="00B41A9C">
              <w:rPr>
                <w:rFonts w:ascii="Arial" w:eastAsia="等线" w:hAnsi="Arial" w:cs="Arial"/>
                <w:color w:val="000000" w:themeColor="text1"/>
                <w:kern w:val="0"/>
                <w:sz w:val="18"/>
                <w:szCs w:val="18"/>
              </w:rPr>
              <w:br/>
              <w:t>day</w:t>
            </w:r>
          </w:p>
        </w:tc>
        <w:tc>
          <w:tcPr>
            <w:tcW w:w="1335" w:type="dxa"/>
            <w:tcBorders>
              <w:top w:val="nil"/>
              <w:left w:val="nil"/>
              <w:bottom w:val="single" w:sz="12" w:space="0" w:color="auto"/>
              <w:right w:val="nil"/>
            </w:tcBorders>
            <w:shd w:val="clear" w:color="auto" w:fill="auto"/>
            <w:vAlign w:val="center"/>
            <w:hideMark/>
          </w:tcPr>
          <w:p w14:paraId="53E0B8E4" w14:textId="748CEFF3"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Measuring</w:t>
            </w:r>
            <w:r w:rsidRPr="00B41A9C">
              <w:rPr>
                <w:rFonts w:ascii="Arial" w:eastAsia="等线" w:hAnsi="Arial" w:cs="Arial"/>
                <w:color w:val="000000" w:themeColor="text1"/>
                <w:kern w:val="0"/>
                <w:sz w:val="18"/>
                <w:szCs w:val="18"/>
              </w:rPr>
              <w:br/>
              <w:t>Range</w:t>
            </w:r>
          </w:p>
        </w:tc>
        <w:tc>
          <w:tcPr>
            <w:tcW w:w="878" w:type="dxa"/>
            <w:tcBorders>
              <w:top w:val="nil"/>
              <w:left w:val="nil"/>
              <w:bottom w:val="single" w:sz="12" w:space="0" w:color="auto"/>
              <w:right w:val="nil"/>
            </w:tcBorders>
            <w:shd w:val="clear" w:color="auto" w:fill="auto"/>
            <w:vAlign w:val="center"/>
            <w:hideMark/>
          </w:tcPr>
          <w:p w14:paraId="6F21D459" w14:textId="3D69D42D"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Bias</w:t>
            </w:r>
            <w:r w:rsidR="00B22DC5" w:rsidRPr="00B41A9C">
              <w:rPr>
                <w:rFonts w:ascii="Arial" w:eastAsia="等线" w:hAnsi="Arial" w:cs="Arial"/>
                <w:color w:val="000000" w:themeColor="text1"/>
                <w:kern w:val="0"/>
                <w:sz w:val="18"/>
                <w:szCs w:val="18"/>
              </w:rPr>
              <w:t>*</w:t>
            </w:r>
          </w:p>
        </w:tc>
        <w:tc>
          <w:tcPr>
            <w:tcW w:w="879" w:type="dxa"/>
            <w:tcBorders>
              <w:top w:val="nil"/>
              <w:left w:val="nil"/>
              <w:bottom w:val="single" w:sz="12" w:space="0" w:color="auto"/>
              <w:right w:val="nil"/>
            </w:tcBorders>
            <w:shd w:val="clear" w:color="auto" w:fill="auto"/>
            <w:vAlign w:val="center"/>
            <w:hideMark/>
          </w:tcPr>
          <w:p w14:paraId="7FDC4C25" w14:textId="1FFDA04F"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Total error</w:t>
            </w:r>
            <w:r w:rsidR="00B22DC5" w:rsidRPr="00B41A9C">
              <w:rPr>
                <w:rFonts w:ascii="Arial" w:eastAsia="等线" w:hAnsi="Arial" w:cs="Arial"/>
                <w:color w:val="000000" w:themeColor="text1"/>
                <w:kern w:val="0"/>
                <w:sz w:val="18"/>
                <w:szCs w:val="18"/>
              </w:rPr>
              <w:t>*</w:t>
            </w:r>
          </w:p>
        </w:tc>
      </w:tr>
      <w:tr w:rsidR="008C61A3" w:rsidRPr="008C61A3" w14:paraId="54CF4F2C"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2B593E72"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CO</w:t>
            </w:r>
            <w:r w:rsidRPr="00B41A9C">
              <w:rPr>
                <w:rFonts w:ascii="Arial" w:eastAsia="等线" w:hAnsi="Arial" w:cs="Arial"/>
                <w:color w:val="000000" w:themeColor="text1"/>
                <w:kern w:val="0"/>
                <w:sz w:val="18"/>
                <w:szCs w:val="18"/>
                <w:vertAlign w:val="subscript"/>
              </w:rPr>
              <w:t>2</w:t>
            </w:r>
            <w:r w:rsidRPr="00B41A9C">
              <w:rPr>
                <w:rFonts w:ascii="Arial" w:eastAsia="等线" w:hAnsi="Arial" w:cs="Arial"/>
                <w:color w:val="000000" w:themeColor="text1"/>
                <w:kern w:val="0"/>
                <w:sz w:val="18"/>
                <w:szCs w:val="18"/>
              </w:rPr>
              <w:t>, mmol/l</w:t>
            </w:r>
          </w:p>
        </w:tc>
        <w:tc>
          <w:tcPr>
            <w:tcW w:w="877" w:type="dxa"/>
            <w:tcBorders>
              <w:top w:val="nil"/>
              <w:left w:val="nil"/>
              <w:bottom w:val="nil"/>
              <w:right w:val="nil"/>
            </w:tcBorders>
            <w:shd w:val="clear" w:color="auto" w:fill="auto"/>
            <w:noWrap/>
            <w:vAlign w:val="center"/>
            <w:hideMark/>
          </w:tcPr>
          <w:p w14:paraId="19BD52CA"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0.98</w:t>
            </w:r>
          </w:p>
        </w:tc>
        <w:tc>
          <w:tcPr>
            <w:tcW w:w="1077" w:type="dxa"/>
            <w:tcBorders>
              <w:top w:val="nil"/>
              <w:left w:val="nil"/>
              <w:bottom w:val="nil"/>
              <w:right w:val="nil"/>
            </w:tcBorders>
            <w:shd w:val="clear" w:color="auto" w:fill="auto"/>
            <w:noWrap/>
            <w:vAlign w:val="center"/>
            <w:hideMark/>
          </w:tcPr>
          <w:p w14:paraId="0F1DCBC7"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1.28</w:t>
            </w:r>
          </w:p>
        </w:tc>
        <w:tc>
          <w:tcPr>
            <w:tcW w:w="1077" w:type="dxa"/>
            <w:tcBorders>
              <w:top w:val="nil"/>
              <w:left w:val="nil"/>
              <w:bottom w:val="nil"/>
              <w:right w:val="nil"/>
            </w:tcBorders>
            <w:shd w:val="clear" w:color="auto" w:fill="auto"/>
            <w:noWrap/>
            <w:vAlign w:val="center"/>
            <w:hideMark/>
          </w:tcPr>
          <w:p w14:paraId="051F5435"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3.43</w:t>
            </w:r>
          </w:p>
        </w:tc>
        <w:tc>
          <w:tcPr>
            <w:tcW w:w="1077" w:type="dxa"/>
            <w:tcBorders>
              <w:top w:val="nil"/>
              <w:left w:val="nil"/>
              <w:bottom w:val="nil"/>
              <w:right w:val="nil"/>
            </w:tcBorders>
            <w:shd w:val="clear" w:color="auto" w:fill="auto"/>
            <w:noWrap/>
            <w:vAlign w:val="center"/>
            <w:hideMark/>
          </w:tcPr>
          <w:p w14:paraId="1DEE3099"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1.38</w:t>
            </w:r>
          </w:p>
        </w:tc>
        <w:tc>
          <w:tcPr>
            <w:tcW w:w="1078" w:type="dxa"/>
            <w:tcBorders>
              <w:top w:val="nil"/>
              <w:left w:val="nil"/>
              <w:bottom w:val="nil"/>
              <w:right w:val="nil"/>
            </w:tcBorders>
            <w:shd w:val="clear" w:color="auto" w:fill="auto"/>
            <w:noWrap/>
            <w:vAlign w:val="center"/>
            <w:hideMark/>
          </w:tcPr>
          <w:p w14:paraId="55CB3206" w14:textId="084209A9"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3.26</w:t>
            </w:r>
          </w:p>
        </w:tc>
        <w:tc>
          <w:tcPr>
            <w:tcW w:w="1335" w:type="dxa"/>
            <w:tcBorders>
              <w:top w:val="nil"/>
              <w:left w:val="nil"/>
              <w:bottom w:val="nil"/>
              <w:right w:val="nil"/>
            </w:tcBorders>
            <w:shd w:val="clear" w:color="auto" w:fill="auto"/>
            <w:noWrap/>
            <w:vAlign w:val="center"/>
            <w:hideMark/>
          </w:tcPr>
          <w:p w14:paraId="6F4B0537"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5.0-40.0</w:t>
            </w:r>
          </w:p>
        </w:tc>
        <w:tc>
          <w:tcPr>
            <w:tcW w:w="878" w:type="dxa"/>
            <w:tcBorders>
              <w:top w:val="nil"/>
              <w:left w:val="nil"/>
              <w:bottom w:val="nil"/>
              <w:right w:val="nil"/>
            </w:tcBorders>
            <w:shd w:val="clear" w:color="auto" w:fill="auto"/>
            <w:noWrap/>
            <w:vAlign w:val="center"/>
            <w:hideMark/>
          </w:tcPr>
          <w:p w14:paraId="2C14048B"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3.0</w:t>
            </w:r>
          </w:p>
        </w:tc>
        <w:tc>
          <w:tcPr>
            <w:tcW w:w="879" w:type="dxa"/>
            <w:tcBorders>
              <w:top w:val="nil"/>
              <w:left w:val="nil"/>
              <w:bottom w:val="nil"/>
              <w:right w:val="nil"/>
            </w:tcBorders>
            <w:shd w:val="clear" w:color="auto" w:fill="auto"/>
            <w:noWrap/>
            <w:vAlign w:val="center"/>
            <w:hideMark/>
          </w:tcPr>
          <w:p w14:paraId="16FF2230"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10.0</w:t>
            </w:r>
          </w:p>
        </w:tc>
      </w:tr>
      <w:tr w:rsidR="008C61A3" w:rsidRPr="008C61A3" w14:paraId="39D2A939"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301D2C9E"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Cl, mmol/l</w:t>
            </w:r>
          </w:p>
        </w:tc>
        <w:tc>
          <w:tcPr>
            <w:tcW w:w="877" w:type="dxa"/>
            <w:tcBorders>
              <w:top w:val="nil"/>
              <w:left w:val="nil"/>
              <w:bottom w:val="nil"/>
              <w:right w:val="nil"/>
            </w:tcBorders>
            <w:shd w:val="clear" w:color="auto" w:fill="auto"/>
            <w:noWrap/>
            <w:vAlign w:val="center"/>
            <w:hideMark/>
          </w:tcPr>
          <w:p w14:paraId="6A4576DF"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0.44</w:t>
            </w:r>
          </w:p>
        </w:tc>
        <w:tc>
          <w:tcPr>
            <w:tcW w:w="1077" w:type="dxa"/>
            <w:tcBorders>
              <w:top w:val="nil"/>
              <w:left w:val="nil"/>
              <w:bottom w:val="nil"/>
              <w:right w:val="nil"/>
            </w:tcBorders>
            <w:shd w:val="clear" w:color="auto" w:fill="auto"/>
            <w:noWrap/>
            <w:vAlign w:val="center"/>
            <w:hideMark/>
          </w:tcPr>
          <w:p w14:paraId="05EE422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0.93</w:t>
            </w:r>
          </w:p>
        </w:tc>
        <w:tc>
          <w:tcPr>
            <w:tcW w:w="1077" w:type="dxa"/>
            <w:tcBorders>
              <w:top w:val="nil"/>
              <w:left w:val="nil"/>
              <w:bottom w:val="nil"/>
              <w:right w:val="nil"/>
            </w:tcBorders>
            <w:shd w:val="clear" w:color="auto" w:fill="auto"/>
            <w:noWrap/>
            <w:vAlign w:val="center"/>
            <w:hideMark/>
          </w:tcPr>
          <w:p w14:paraId="206D60D0"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2.03</w:t>
            </w:r>
          </w:p>
        </w:tc>
        <w:tc>
          <w:tcPr>
            <w:tcW w:w="1077" w:type="dxa"/>
            <w:tcBorders>
              <w:top w:val="nil"/>
              <w:left w:val="nil"/>
              <w:bottom w:val="nil"/>
              <w:right w:val="nil"/>
            </w:tcBorders>
            <w:shd w:val="clear" w:color="auto" w:fill="auto"/>
            <w:noWrap/>
            <w:vAlign w:val="center"/>
            <w:hideMark/>
          </w:tcPr>
          <w:p w14:paraId="1F27C256" w14:textId="5C356A76"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0.6</w:t>
            </w:r>
            <w:r w:rsidR="00360926" w:rsidRPr="00B41A9C">
              <w:rPr>
                <w:rFonts w:ascii="Arial" w:eastAsia="等线" w:hAnsi="Arial" w:cs="Arial"/>
                <w:color w:val="000000" w:themeColor="text1"/>
                <w:kern w:val="0"/>
                <w:sz w:val="18"/>
                <w:szCs w:val="18"/>
              </w:rPr>
              <w:t>0</w:t>
            </w:r>
          </w:p>
        </w:tc>
        <w:tc>
          <w:tcPr>
            <w:tcW w:w="1078" w:type="dxa"/>
            <w:tcBorders>
              <w:top w:val="nil"/>
              <w:left w:val="nil"/>
              <w:bottom w:val="nil"/>
              <w:right w:val="nil"/>
            </w:tcBorders>
            <w:shd w:val="clear" w:color="auto" w:fill="auto"/>
            <w:noWrap/>
            <w:vAlign w:val="center"/>
            <w:hideMark/>
          </w:tcPr>
          <w:p w14:paraId="53572E9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1.83</w:t>
            </w:r>
          </w:p>
        </w:tc>
        <w:tc>
          <w:tcPr>
            <w:tcW w:w="1335" w:type="dxa"/>
            <w:tcBorders>
              <w:top w:val="nil"/>
              <w:left w:val="nil"/>
              <w:bottom w:val="nil"/>
              <w:right w:val="nil"/>
            </w:tcBorders>
            <w:shd w:val="clear" w:color="auto" w:fill="auto"/>
            <w:noWrap/>
            <w:vAlign w:val="center"/>
            <w:hideMark/>
          </w:tcPr>
          <w:p w14:paraId="52A420EA"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 xml:space="preserve">50.0–175.0 </w:t>
            </w:r>
          </w:p>
        </w:tc>
        <w:tc>
          <w:tcPr>
            <w:tcW w:w="878" w:type="dxa"/>
            <w:tcBorders>
              <w:top w:val="nil"/>
              <w:left w:val="nil"/>
              <w:bottom w:val="nil"/>
              <w:right w:val="nil"/>
            </w:tcBorders>
            <w:shd w:val="clear" w:color="auto" w:fill="auto"/>
            <w:noWrap/>
            <w:vAlign w:val="center"/>
            <w:hideMark/>
          </w:tcPr>
          <w:p w14:paraId="7D8F8FB7"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w:t>
            </w:r>
          </w:p>
        </w:tc>
        <w:tc>
          <w:tcPr>
            <w:tcW w:w="879" w:type="dxa"/>
            <w:tcBorders>
              <w:top w:val="nil"/>
              <w:left w:val="nil"/>
              <w:bottom w:val="nil"/>
              <w:right w:val="nil"/>
            </w:tcBorders>
            <w:shd w:val="clear" w:color="auto" w:fill="auto"/>
            <w:noWrap/>
            <w:vAlign w:val="center"/>
            <w:hideMark/>
          </w:tcPr>
          <w:p w14:paraId="0789501A"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4.0</w:t>
            </w:r>
          </w:p>
        </w:tc>
      </w:tr>
      <w:tr w:rsidR="008C61A3" w:rsidRPr="008C61A3" w14:paraId="2A9C4BDD"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61B2B6E3"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K, mmol/l</w:t>
            </w:r>
          </w:p>
        </w:tc>
        <w:tc>
          <w:tcPr>
            <w:tcW w:w="877" w:type="dxa"/>
            <w:tcBorders>
              <w:top w:val="nil"/>
              <w:left w:val="nil"/>
              <w:bottom w:val="nil"/>
              <w:right w:val="nil"/>
            </w:tcBorders>
            <w:shd w:val="clear" w:color="auto" w:fill="auto"/>
            <w:noWrap/>
            <w:vAlign w:val="center"/>
            <w:hideMark/>
          </w:tcPr>
          <w:p w14:paraId="201F11BC" w14:textId="72D122EA"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0.4</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62F82905"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1.14</w:t>
            </w:r>
          </w:p>
        </w:tc>
        <w:tc>
          <w:tcPr>
            <w:tcW w:w="1077" w:type="dxa"/>
            <w:tcBorders>
              <w:top w:val="nil"/>
              <w:left w:val="nil"/>
              <w:bottom w:val="nil"/>
              <w:right w:val="nil"/>
            </w:tcBorders>
            <w:shd w:val="clear" w:color="auto" w:fill="auto"/>
            <w:noWrap/>
            <w:vAlign w:val="center"/>
            <w:hideMark/>
          </w:tcPr>
          <w:p w14:paraId="654A88D8"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1.65</w:t>
            </w:r>
          </w:p>
        </w:tc>
        <w:tc>
          <w:tcPr>
            <w:tcW w:w="1077" w:type="dxa"/>
            <w:tcBorders>
              <w:top w:val="nil"/>
              <w:left w:val="nil"/>
              <w:bottom w:val="nil"/>
              <w:right w:val="nil"/>
            </w:tcBorders>
            <w:shd w:val="clear" w:color="auto" w:fill="auto"/>
            <w:noWrap/>
            <w:vAlign w:val="center"/>
            <w:hideMark/>
          </w:tcPr>
          <w:p w14:paraId="7770B31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0.98</w:t>
            </w:r>
          </w:p>
        </w:tc>
        <w:tc>
          <w:tcPr>
            <w:tcW w:w="1078" w:type="dxa"/>
            <w:tcBorders>
              <w:top w:val="nil"/>
              <w:left w:val="nil"/>
              <w:bottom w:val="nil"/>
              <w:right w:val="nil"/>
            </w:tcBorders>
            <w:shd w:val="clear" w:color="auto" w:fill="auto"/>
            <w:noWrap/>
            <w:vAlign w:val="center"/>
            <w:hideMark/>
          </w:tcPr>
          <w:p w14:paraId="399447E9"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1.52</w:t>
            </w:r>
          </w:p>
        </w:tc>
        <w:tc>
          <w:tcPr>
            <w:tcW w:w="1335" w:type="dxa"/>
            <w:tcBorders>
              <w:top w:val="nil"/>
              <w:left w:val="nil"/>
              <w:bottom w:val="nil"/>
              <w:right w:val="nil"/>
            </w:tcBorders>
            <w:shd w:val="clear" w:color="auto" w:fill="auto"/>
            <w:noWrap/>
            <w:vAlign w:val="center"/>
            <w:hideMark/>
          </w:tcPr>
          <w:p w14:paraId="08979089"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 xml:space="preserve">1.00–14.00 </w:t>
            </w:r>
          </w:p>
        </w:tc>
        <w:tc>
          <w:tcPr>
            <w:tcW w:w="878" w:type="dxa"/>
            <w:tcBorders>
              <w:top w:val="nil"/>
              <w:left w:val="nil"/>
              <w:bottom w:val="nil"/>
              <w:right w:val="nil"/>
            </w:tcBorders>
            <w:shd w:val="clear" w:color="auto" w:fill="auto"/>
            <w:noWrap/>
            <w:vAlign w:val="center"/>
            <w:hideMark/>
          </w:tcPr>
          <w:p w14:paraId="399097E9"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2.0</w:t>
            </w:r>
          </w:p>
        </w:tc>
        <w:tc>
          <w:tcPr>
            <w:tcW w:w="879" w:type="dxa"/>
            <w:tcBorders>
              <w:top w:val="nil"/>
              <w:left w:val="nil"/>
              <w:bottom w:val="nil"/>
              <w:right w:val="nil"/>
            </w:tcBorders>
            <w:shd w:val="clear" w:color="auto" w:fill="auto"/>
            <w:noWrap/>
            <w:vAlign w:val="center"/>
            <w:hideMark/>
          </w:tcPr>
          <w:p w14:paraId="7B208BB3"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6.0</w:t>
            </w:r>
          </w:p>
        </w:tc>
      </w:tr>
      <w:tr w:rsidR="008C61A3" w:rsidRPr="008C61A3" w14:paraId="031AB1E0"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49171E3F"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Na, mmol/l</w:t>
            </w:r>
          </w:p>
        </w:tc>
        <w:tc>
          <w:tcPr>
            <w:tcW w:w="877" w:type="dxa"/>
            <w:tcBorders>
              <w:top w:val="nil"/>
              <w:left w:val="nil"/>
              <w:bottom w:val="nil"/>
              <w:right w:val="nil"/>
            </w:tcBorders>
            <w:shd w:val="clear" w:color="auto" w:fill="auto"/>
            <w:noWrap/>
            <w:vAlign w:val="center"/>
            <w:hideMark/>
          </w:tcPr>
          <w:p w14:paraId="16F0433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0.38</w:t>
            </w:r>
          </w:p>
        </w:tc>
        <w:tc>
          <w:tcPr>
            <w:tcW w:w="1077" w:type="dxa"/>
            <w:tcBorders>
              <w:top w:val="nil"/>
              <w:left w:val="nil"/>
              <w:bottom w:val="nil"/>
              <w:right w:val="nil"/>
            </w:tcBorders>
            <w:shd w:val="clear" w:color="auto" w:fill="auto"/>
            <w:noWrap/>
            <w:vAlign w:val="center"/>
            <w:hideMark/>
          </w:tcPr>
          <w:p w14:paraId="1A50214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0.77</w:t>
            </w:r>
          </w:p>
        </w:tc>
        <w:tc>
          <w:tcPr>
            <w:tcW w:w="1077" w:type="dxa"/>
            <w:tcBorders>
              <w:top w:val="nil"/>
              <w:left w:val="nil"/>
              <w:bottom w:val="nil"/>
              <w:right w:val="nil"/>
            </w:tcBorders>
            <w:shd w:val="clear" w:color="auto" w:fill="auto"/>
            <w:noWrap/>
            <w:vAlign w:val="center"/>
            <w:hideMark/>
          </w:tcPr>
          <w:p w14:paraId="0F1A4BE9"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1.42</w:t>
            </w:r>
          </w:p>
        </w:tc>
        <w:tc>
          <w:tcPr>
            <w:tcW w:w="1077" w:type="dxa"/>
            <w:tcBorders>
              <w:top w:val="nil"/>
              <w:left w:val="nil"/>
              <w:bottom w:val="nil"/>
              <w:right w:val="nil"/>
            </w:tcBorders>
            <w:shd w:val="clear" w:color="auto" w:fill="auto"/>
            <w:noWrap/>
            <w:vAlign w:val="center"/>
            <w:hideMark/>
          </w:tcPr>
          <w:p w14:paraId="7EDEE150" w14:textId="41BC608F"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0.6</w:t>
            </w:r>
            <w:r w:rsidR="00360926" w:rsidRPr="00B41A9C">
              <w:rPr>
                <w:rFonts w:ascii="Arial" w:eastAsia="等线" w:hAnsi="Arial" w:cs="Arial"/>
                <w:color w:val="000000" w:themeColor="text1"/>
                <w:kern w:val="0"/>
                <w:sz w:val="18"/>
                <w:szCs w:val="18"/>
              </w:rPr>
              <w:t>0</w:t>
            </w:r>
          </w:p>
        </w:tc>
        <w:tc>
          <w:tcPr>
            <w:tcW w:w="1078" w:type="dxa"/>
            <w:tcBorders>
              <w:top w:val="nil"/>
              <w:left w:val="nil"/>
              <w:bottom w:val="nil"/>
              <w:right w:val="nil"/>
            </w:tcBorders>
            <w:shd w:val="clear" w:color="auto" w:fill="auto"/>
            <w:noWrap/>
            <w:vAlign w:val="center"/>
            <w:hideMark/>
          </w:tcPr>
          <w:p w14:paraId="4776B8B1"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1.46</w:t>
            </w:r>
          </w:p>
        </w:tc>
        <w:tc>
          <w:tcPr>
            <w:tcW w:w="1335" w:type="dxa"/>
            <w:tcBorders>
              <w:top w:val="nil"/>
              <w:left w:val="nil"/>
              <w:bottom w:val="nil"/>
              <w:right w:val="nil"/>
            </w:tcBorders>
            <w:shd w:val="clear" w:color="auto" w:fill="auto"/>
            <w:noWrap/>
            <w:vAlign w:val="center"/>
            <w:hideMark/>
          </w:tcPr>
          <w:p w14:paraId="3098373E"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75.0–250.0</w:t>
            </w:r>
          </w:p>
        </w:tc>
        <w:tc>
          <w:tcPr>
            <w:tcW w:w="878" w:type="dxa"/>
            <w:tcBorders>
              <w:top w:val="nil"/>
              <w:left w:val="nil"/>
              <w:bottom w:val="nil"/>
              <w:right w:val="nil"/>
            </w:tcBorders>
            <w:shd w:val="clear" w:color="auto" w:fill="auto"/>
            <w:noWrap/>
            <w:vAlign w:val="center"/>
            <w:hideMark/>
          </w:tcPr>
          <w:p w14:paraId="5A8C104D"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w:t>
            </w:r>
          </w:p>
        </w:tc>
        <w:tc>
          <w:tcPr>
            <w:tcW w:w="879" w:type="dxa"/>
            <w:tcBorders>
              <w:top w:val="nil"/>
              <w:left w:val="nil"/>
              <w:bottom w:val="nil"/>
              <w:right w:val="nil"/>
            </w:tcBorders>
            <w:shd w:val="clear" w:color="auto" w:fill="auto"/>
            <w:noWrap/>
            <w:vAlign w:val="center"/>
            <w:hideMark/>
          </w:tcPr>
          <w:p w14:paraId="4A5A3E74"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4.0</w:t>
            </w:r>
          </w:p>
        </w:tc>
      </w:tr>
      <w:tr w:rsidR="008C61A3" w:rsidRPr="008C61A3" w14:paraId="3A759ABB"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322687A9"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Ca, mmol/l</w:t>
            </w:r>
          </w:p>
        </w:tc>
        <w:tc>
          <w:tcPr>
            <w:tcW w:w="877" w:type="dxa"/>
            <w:tcBorders>
              <w:top w:val="nil"/>
              <w:left w:val="nil"/>
              <w:bottom w:val="nil"/>
              <w:right w:val="nil"/>
            </w:tcBorders>
            <w:shd w:val="clear" w:color="auto" w:fill="auto"/>
            <w:noWrap/>
            <w:vAlign w:val="center"/>
            <w:hideMark/>
          </w:tcPr>
          <w:p w14:paraId="0B2F3B76" w14:textId="4062CE23"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-0.4</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2E08D8E9"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0.59</w:t>
            </w:r>
          </w:p>
        </w:tc>
        <w:tc>
          <w:tcPr>
            <w:tcW w:w="1077" w:type="dxa"/>
            <w:tcBorders>
              <w:top w:val="nil"/>
              <w:left w:val="nil"/>
              <w:bottom w:val="nil"/>
              <w:right w:val="nil"/>
            </w:tcBorders>
            <w:shd w:val="clear" w:color="auto" w:fill="auto"/>
            <w:noWrap/>
            <w:vAlign w:val="center"/>
            <w:hideMark/>
          </w:tcPr>
          <w:p w14:paraId="24764195" w14:textId="28362F2C"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w:t>
            </w:r>
            <w:r w:rsidR="00360926" w:rsidRPr="00B41A9C">
              <w:rPr>
                <w:rFonts w:ascii="Arial" w:eastAsia="等线" w:hAnsi="Arial" w:cs="Arial"/>
                <w:color w:val="000000" w:themeColor="text1"/>
                <w:kern w:val="0"/>
                <w:sz w:val="18"/>
                <w:szCs w:val="18"/>
              </w:rPr>
              <w:t>.00</w:t>
            </w:r>
          </w:p>
        </w:tc>
        <w:tc>
          <w:tcPr>
            <w:tcW w:w="1077" w:type="dxa"/>
            <w:tcBorders>
              <w:top w:val="nil"/>
              <w:left w:val="nil"/>
              <w:bottom w:val="nil"/>
              <w:right w:val="nil"/>
            </w:tcBorders>
            <w:shd w:val="clear" w:color="auto" w:fill="auto"/>
            <w:noWrap/>
            <w:vAlign w:val="center"/>
            <w:hideMark/>
          </w:tcPr>
          <w:p w14:paraId="67BEA9E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0.62</w:t>
            </w:r>
          </w:p>
        </w:tc>
        <w:tc>
          <w:tcPr>
            <w:tcW w:w="1078" w:type="dxa"/>
            <w:tcBorders>
              <w:top w:val="nil"/>
              <w:left w:val="nil"/>
              <w:bottom w:val="nil"/>
              <w:right w:val="nil"/>
            </w:tcBorders>
            <w:shd w:val="clear" w:color="auto" w:fill="auto"/>
            <w:noWrap/>
            <w:vAlign w:val="center"/>
            <w:hideMark/>
          </w:tcPr>
          <w:p w14:paraId="1889B6C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1.45</w:t>
            </w:r>
          </w:p>
        </w:tc>
        <w:tc>
          <w:tcPr>
            <w:tcW w:w="1335" w:type="dxa"/>
            <w:tcBorders>
              <w:top w:val="nil"/>
              <w:left w:val="nil"/>
              <w:bottom w:val="nil"/>
              <w:right w:val="nil"/>
            </w:tcBorders>
            <w:shd w:val="clear" w:color="auto" w:fill="auto"/>
            <w:noWrap/>
            <w:vAlign w:val="center"/>
            <w:hideMark/>
          </w:tcPr>
          <w:p w14:paraId="763697CF"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0.25–3.49</w:t>
            </w:r>
          </w:p>
        </w:tc>
        <w:tc>
          <w:tcPr>
            <w:tcW w:w="878" w:type="dxa"/>
            <w:tcBorders>
              <w:top w:val="nil"/>
              <w:left w:val="nil"/>
              <w:bottom w:val="nil"/>
              <w:right w:val="nil"/>
            </w:tcBorders>
            <w:shd w:val="clear" w:color="auto" w:fill="auto"/>
            <w:noWrap/>
            <w:vAlign w:val="center"/>
            <w:hideMark/>
          </w:tcPr>
          <w:p w14:paraId="276AC907"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2.0</w:t>
            </w:r>
          </w:p>
        </w:tc>
        <w:tc>
          <w:tcPr>
            <w:tcW w:w="879" w:type="dxa"/>
            <w:tcBorders>
              <w:top w:val="nil"/>
              <w:left w:val="nil"/>
              <w:bottom w:val="nil"/>
              <w:right w:val="nil"/>
            </w:tcBorders>
            <w:shd w:val="clear" w:color="auto" w:fill="auto"/>
            <w:noWrap/>
            <w:vAlign w:val="center"/>
            <w:hideMark/>
          </w:tcPr>
          <w:p w14:paraId="46AEC984"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5.0</w:t>
            </w:r>
          </w:p>
        </w:tc>
      </w:tr>
      <w:tr w:rsidR="008C61A3" w:rsidRPr="008C61A3" w14:paraId="70BAD4FF"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4CBDC03D"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Fe, μmol/L</w:t>
            </w:r>
          </w:p>
        </w:tc>
        <w:tc>
          <w:tcPr>
            <w:tcW w:w="877" w:type="dxa"/>
            <w:tcBorders>
              <w:top w:val="nil"/>
              <w:left w:val="nil"/>
              <w:bottom w:val="nil"/>
              <w:right w:val="nil"/>
            </w:tcBorders>
            <w:shd w:val="clear" w:color="auto" w:fill="auto"/>
            <w:noWrap/>
            <w:vAlign w:val="center"/>
            <w:hideMark/>
          </w:tcPr>
          <w:p w14:paraId="2684C8DE"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1.21</w:t>
            </w:r>
          </w:p>
        </w:tc>
        <w:tc>
          <w:tcPr>
            <w:tcW w:w="1077" w:type="dxa"/>
            <w:tcBorders>
              <w:top w:val="nil"/>
              <w:left w:val="nil"/>
              <w:bottom w:val="nil"/>
              <w:right w:val="nil"/>
            </w:tcBorders>
            <w:shd w:val="clear" w:color="auto" w:fill="auto"/>
            <w:noWrap/>
            <w:vAlign w:val="center"/>
            <w:hideMark/>
          </w:tcPr>
          <w:p w14:paraId="4F1AA4EB"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1.39</w:t>
            </w:r>
          </w:p>
        </w:tc>
        <w:tc>
          <w:tcPr>
            <w:tcW w:w="1077" w:type="dxa"/>
            <w:tcBorders>
              <w:top w:val="nil"/>
              <w:left w:val="nil"/>
              <w:bottom w:val="nil"/>
              <w:right w:val="nil"/>
            </w:tcBorders>
            <w:shd w:val="clear" w:color="auto" w:fill="auto"/>
            <w:noWrap/>
            <w:vAlign w:val="center"/>
            <w:hideMark/>
          </w:tcPr>
          <w:p w14:paraId="4C35B505"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2.62</w:t>
            </w:r>
          </w:p>
        </w:tc>
        <w:tc>
          <w:tcPr>
            <w:tcW w:w="1077" w:type="dxa"/>
            <w:tcBorders>
              <w:top w:val="nil"/>
              <w:left w:val="nil"/>
              <w:bottom w:val="nil"/>
              <w:right w:val="nil"/>
            </w:tcBorders>
            <w:shd w:val="clear" w:color="auto" w:fill="auto"/>
            <w:noWrap/>
            <w:vAlign w:val="center"/>
            <w:hideMark/>
          </w:tcPr>
          <w:p w14:paraId="436E5F00"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0.84</w:t>
            </w:r>
          </w:p>
        </w:tc>
        <w:tc>
          <w:tcPr>
            <w:tcW w:w="1078" w:type="dxa"/>
            <w:tcBorders>
              <w:top w:val="nil"/>
              <w:left w:val="nil"/>
              <w:bottom w:val="nil"/>
              <w:right w:val="nil"/>
            </w:tcBorders>
            <w:shd w:val="clear" w:color="auto" w:fill="auto"/>
            <w:noWrap/>
            <w:vAlign w:val="center"/>
            <w:hideMark/>
          </w:tcPr>
          <w:p w14:paraId="7C3F6933"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3.14</w:t>
            </w:r>
          </w:p>
        </w:tc>
        <w:tc>
          <w:tcPr>
            <w:tcW w:w="1335" w:type="dxa"/>
            <w:tcBorders>
              <w:top w:val="nil"/>
              <w:left w:val="nil"/>
              <w:bottom w:val="nil"/>
              <w:right w:val="nil"/>
            </w:tcBorders>
            <w:shd w:val="clear" w:color="auto" w:fill="auto"/>
            <w:noWrap/>
            <w:vAlign w:val="center"/>
            <w:hideMark/>
          </w:tcPr>
          <w:p w14:paraId="27B3C071"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1.81–107.46</w:t>
            </w:r>
          </w:p>
        </w:tc>
        <w:tc>
          <w:tcPr>
            <w:tcW w:w="878" w:type="dxa"/>
            <w:tcBorders>
              <w:top w:val="nil"/>
              <w:left w:val="nil"/>
              <w:bottom w:val="nil"/>
              <w:right w:val="nil"/>
            </w:tcBorders>
            <w:shd w:val="clear" w:color="auto" w:fill="auto"/>
            <w:noWrap/>
            <w:vAlign w:val="bottom"/>
            <w:hideMark/>
          </w:tcPr>
          <w:p w14:paraId="35EA6CB8"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4.5</w:t>
            </w:r>
          </w:p>
        </w:tc>
        <w:tc>
          <w:tcPr>
            <w:tcW w:w="879" w:type="dxa"/>
            <w:tcBorders>
              <w:top w:val="nil"/>
              <w:left w:val="nil"/>
              <w:bottom w:val="nil"/>
              <w:right w:val="nil"/>
            </w:tcBorders>
            <w:shd w:val="clear" w:color="auto" w:fill="auto"/>
            <w:noWrap/>
            <w:vAlign w:val="center"/>
            <w:hideMark/>
          </w:tcPr>
          <w:p w14:paraId="7D599520"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15.0</w:t>
            </w:r>
          </w:p>
        </w:tc>
      </w:tr>
      <w:tr w:rsidR="008C61A3" w:rsidRPr="008C61A3" w14:paraId="263A4EC8"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4A8A3BE3"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Mg, mmol/l</w:t>
            </w:r>
          </w:p>
        </w:tc>
        <w:tc>
          <w:tcPr>
            <w:tcW w:w="877" w:type="dxa"/>
            <w:tcBorders>
              <w:top w:val="nil"/>
              <w:left w:val="nil"/>
              <w:bottom w:val="nil"/>
              <w:right w:val="nil"/>
            </w:tcBorders>
            <w:shd w:val="clear" w:color="auto" w:fill="auto"/>
            <w:noWrap/>
            <w:vAlign w:val="center"/>
            <w:hideMark/>
          </w:tcPr>
          <w:p w14:paraId="34285A0B" w14:textId="5A95D03E"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1.7</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0B132507" w14:textId="73353096"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1.2</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78802687"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2.75</w:t>
            </w:r>
          </w:p>
        </w:tc>
        <w:tc>
          <w:tcPr>
            <w:tcW w:w="1077" w:type="dxa"/>
            <w:tcBorders>
              <w:top w:val="nil"/>
              <w:left w:val="nil"/>
              <w:bottom w:val="nil"/>
              <w:right w:val="nil"/>
            </w:tcBorders>
            <w:shd w:val="clear" w:color="auto" w:fill="auto"/>
            <w:noWrap/>
            <w:vAlign w:val="center"/>
            <w:hideMark/>
          </w:tcPr>
          <w:p w14:paraId="6752F098" w14:textId="2C4521FA"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0.7</w:t>
            </w:r>
            <w:r w:rsidR="00360926" w:rsidRPr="00B41A9C">
              <w:rPr>
                <w:rFonts w:ascii="Arial" w:eastAsia="等线" w:hAnsi="Arial" w:cs="Arial"/>
                <w:color w:val="000000" w:themeColor="text1"/>
                <w:kern w:val="0"/>
                <w:sz w:val="18"/>
                <w:szCs w:val="18"/>
              </w:rPr>
              <w:t>0</w:t>
            </w:r>
          </w:p>
        </w:tc>
        <w:tc>
          <w:tcPr>
            <w:tcW w:w="1078" w:type="dxa"/>
            <w:tcBorders>
              <w:top w:val="nil"/>
              <w:left w:val="nil"/>
              <w:bottom w:val="nil"/>
              <w:right w:val="nil"/>
            </w:tcBorders>
            <w:shd w:val="clear" w:color="auto" w:fill="auto"/>
            <w:noWrap/>
            <w:vAlign w:val="center"/>
            <w:hideMark/>
          </w:tcPr>
          <w:p w14:paraId="73E4D241"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1.96</w:t>
            </w:r>
          </w:p>
        </w:tc>
        <w:tc>
          <w:tcPr>
            <w:tcW w:w="1335" w:type="dxa"/>
            <w:tcBorders>
              <w:top w:val="nil"/>
              <w:left w:val="nil"/>
              <w:bottom w:val="nil"/>
              <w:right w:val="nil"/>
            </w:tcBorders>
            <w:shd w:val="clear" w:color="auto" w:fill="auto"/>
            <w:noWrap/>
            <w:vAlign w:val="center"/>
            <w:hideMark/>
          </w:tcPr>
          <w:p w14:paraId="2C62FC0E"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0.08-4.11</w:t>
            </w:r>
          </w:p>
        </w:tc>
        <w:tc>
          <w:tcPr>
            <w:tcW w:w="878" w:type="dxa"/>
            <w:tcBorders>
              <w:top w:val="nil"/>
              <w:left w:val="nil"/>
              <w:bottom w:val="nil"/>
              <w:right w:val="nil"/>
            </w:tcBorders>
            <w:shd w:val="clear" w:color="auto" w:fill="auto"/>
            <w:noWrap/>
            <w:vAlign w:val="bottom"/>
            <w:hideMark/>
          </w:tcPr>
          <w:p w14:paraId="6C6C630D"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5.5</w:t>
            </w:r>
          </w:p>
        </w:tc>
        <w:tc>
          <w:tcPr>
            <w:tcW w:w="879" w:type="dxa"/>
            <w:tcBorders>
              <w:top w:val="nil"/>
              <w:left w:val="nil"/>
              <w:bottom w:val="nil"/>
              <w:right w:val="nil"/>
            </w:tcBorders>
            <w:shd w:val="clear" w:color="auto" w:fill="auto"/>
            <w:noWrap/>
            <w:vAlign w:val="bottom"/>
            <w:hideMark/>
          </w:tcPr>
          <w:p w14:paraId="1520CBE2"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w:t>
            </w:r>
          </w:p>
        </w:tc>
      </w:tr>
      <w:tr w:rsidR="008C61A3" w:rsidRPr="008C61A3" w14:paraId="5C1D5B43"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25ED128B"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P, mmol/l</w:t>
            </w:r>
          </w:p>
        </w:tc>
        <w:tc>
          <w:tcPr>
            <w:tcW w:w="877" w:type="dxa"/>
            <w:tcBorders>
              <w:top w:val="nil"/>
              <w:left w:val="nil"/>
              <w:bottom w:val="nil"/>
              <w:right w:val="nil"/>
            </w:tcBorders>
            <w:shd w:val="clear" w:color="auto" w:fill="auto"/>
            <w:noWrap/>
            <w:vAlign w:val="center"/>
            <w:hideMark/>
          </w:tcPr>
          <w:p w14:paraId="12ED27B4"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1.71</w:t>
            </w:r>
          </w:p>
        </w:tc>
        <w:tc>
          <w:tcPr>
            <w:tcW w:w="1077" w:type="dxa"/>
            <w:tcBorders>
              <w:top w:val="nil"/>
              <w:left w:val="nil"/>
              <w:bottom w:val="nil"/>
              <w:right w:val="nil"/>
            </w:tcBorders>
            <w:shd w:val="clear" w:color="auto" w:fill="auto"/>
            <w:noWrap/>
            <w:vAlign w:val="center"/>
            <w:hideMark/>
          </w:tcPr>
          <w:p w14:paraId="2F18E9A0"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1.15</w:t>
            </w:r>
          </w:p>
        </w:tc>
        <w:tc>
          <w:tcPr>
            <w:tcW w:w="1077" w:type="dxa"/>
            <w:tcBorders>
              <w:top w:val="nil"/>
              <w:left w:val="nil"/>
              <w:bottom w:val="nil"/>
              <w:right w:val="nil"/>
            </w:tcBorders>
            <w:shd w:val="clear" w:color="auto" w:fill="auto"/>
            <w:noWrap/>
            <w:vAlign w:val="center"/>
            <w:hideMark/>
          </w:tcPr>
          <w:p w14:paraId="69C772AB"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1.59</w:t>
            </w:r>
          </w:p>
        </w:tc>
        <w:tc>
          <w:tcPr>
            <w:tcW w:w="1077" w:type="dxa"/>
            <w:tcBorders>
              <w:top w:val="nil"/>
              <w:left w:val="nil"/>
              <w:bottom w:val="nil"/>
              <w:right w:val="nil"/>
            </w:tcBorders>
            <w:shd w:val="clear" w:color="auto" w:fill="auto"/>
            <w:noWrap/>
            <w:vAlign w:val="center"/>
            <w:hideMark/>
          </w:tcPr>
          <w:p w14:paraId="2386F845"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0.94</w:t>
            </w:r>
          </w:p>
        </w:tc>
        <w:tc>
          <w:tcPr>
            <w:tcW w:w="1078" w:type="dxa"/>
            <w:tcBorders>
              <w:top w:val="nil"/>
              <w:left w:val="nil"/>
              <w:bottom w:val="nil"/>
              <w:right w:val="nil"/>
            </w:tcBorders>
            <w:shd w:val="clear" w:color="auto" w:fill="auto"/>
            <w:noWrap/>
            <w:vAlign w:val="center"/>
            <w:hideMark/>
          </w:tcPr>
          <w:p w14:paraId="0BEF22FF"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1.51</w:t>
            </w:r>
          </w:p>
        </w:tc>
        <w:tc>
          <w:tcPr>
            <w:tcW w:w="1335" w:type="dxa"/>
            <w:tcBorders>
              <w:top w:val="nil"/>
              <w:left w:val="nil"/>
              <w:bottom w:val="nil"/>
              <w:right w:val="nil"/>
            </w:tcBorders>
            <w:shd w:val="clear" w:color="auto" w:fill="auto"/>
            <w:noWrap/>
            <w:vAlign w:val="center"/>
            <w:hideMark/>
          </w:tcPr>
          <w:p w14:paraId="701E3F64"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0.16-4.20</w:t>
            </w:r>
          </w:p>
        </w:tc>
        <w:tc>
          <w:tcPr>
            <w:tcW w:w="878" w:type="dxa"/>
            <w:tcBorders>
              <w:top w:val="nil"/>
              <w:left w:val="nil"/>
              <w:bottom w:val="nil"/>
              <w:right w:val="nil"/>
            </w:tcBorders>
            <w:shd w:val="clear" w:color="auto" w:fill="auto"/>
            <w:noWrap/>
            <w:vAlign w:val="center"/>
            <w:hideMark/>
          </w:tcPr>
          <w:p w14:paraId="5372C65B"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3.0</w:t>
            </w:r>
          </w:p>
        </w:tc>
        <w:tc>
          <w:tcPr>
            <w:tcW w:w="879" w:type="dxa"/>
            <w:tcBorders>
              <w:top w:val="nil"/>
              <w:left w:val="nil"/>
              <w:bottom w:val="nil"/>
              <w:right w:val="nil"/>
            </w:tcBorders>
            <w:shd w:val="clear" w:color="auto" w:fill="auto"/>
            <w:noWrap/>
            <w:vAlign w:val="center"/>
            <w:hideMark/>
          </w:tcPr>
          <w:p w14:paraId="7530619B"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10.0</w:t>
            </w:r>
          </w:p>
        </w:tc>
      </w:tr>
      <w:tr w:rsidR="008C61A3" w:rsidRPr="008C61A3" w14:paraId="61CC5F6A"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6D42FF2A"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Cr, μmol/L</w:t>
            </w:r>
          </w:p>
        </w:tc>
        <w:tc>
          <w:tcPr>
            <w:tcW w:w="877" w:type="dxa"/>
            <w:tcBorders>
              <w:top w:val="nil"/>
              <w:left w:val="nil"/>
              <w:bottom w:val="nil"/>
              <w:right w:val="nil"/>
            </w:tcBorders>
            <w:shd w:val="clear" w:color="auto" w:fill="auto"/>
            <w:noWrap/>
            <w:vAlign w:val="center"/>
            <w:hideMark/>
          </w:tcPr>
          <w:p w14:paraId="3E43E8B1"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0.81</w:t>
            </w:r>
          </w:p>
        </w:tc>
        <w:tc>
          <w:tcPr>
            <w:tcW w:w="1077" w:type="dxa"/>
            <w:tcBorders>
              <w:top w:val="nil"/>
              <w:left w:val="nil"/>
              <w:bottom w:val="nil"/>
              <w:right w:val="nil"/>
            </w:tcBorders>
            <w:shd w:val="clear" w:color="auto" w:fill="auto"/>
            <w:noWrap/>
            <w:vAlign w:val="center"/>
            <w:hideMark/>
          </w:tcPr>
          <w:p w14:paraId="4E42A0A5"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1.29</w:t>
            </w:r>
          </w:p>
        </w:tc>
        <w:tc>
          <w:tcPr>
            <w:tcW w:w="1077" w:type="dxa"/>
            <w:tcBorders>
              <w:top w:val="nil"/>
              <w:left w:val="nil"/>
              <w:bottom w:val="nil"/>
              <w:right w:val="nil"/>
            </w:tcBorders>
            <w:shd w:val="clear" w:color="auto" w:fill="auto"/>
            <w:noWrap/>
            <w:vAlign w:val="center"/>
            <w:hideMark/>
          </w:tcPr>
          <w:p w14:paraId="6D19CBAE"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1.32</w:t>
            </w:r>
          </w:p>
        </w:tc>
        <w:tc>
          <w:tcPr>
            <w:tcW w:w="1077" w:type="dxa"/>
            <w:tcBorders>
              <w:top w:val="nil"/>
              <w:left w:val="nil"/>
              <w:bottom w:val="nil"/>
              <w:right w:val="nil"/>
            </w:tcBorders>
            <w:shd w:val="clear" w:color="auto" w:fill="auto"/>
            <w:noWrap/>
            <w:vAlign w:val="center"/>
            <w:hideMark/>
          </w:tcPr>
          <w:p w14:paraId="11A7C814"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1.97</w:t>
            </w:r>
          </w:p>
        </w:tc>
        <w:tc>
          <w:tcPr>
            <w:tcW w:w="1078" w:type="dxa"/>
            <w:tcBorders>
              <w:top w:val="nil"/>
              <w:left w:val="nil"/>
              <w:bottom w:val="nil"/>
              <w:right w:val="nil"/>
            </w:tcBorders>
            <w:shd w:val="clear" w:color="auto" w:fill="auto"/>
            <w:noWrap/>
            <w:vAlign w:val="center"/>
            <w:hideMark/>
          </w:tcPr>
          <w:p w14:paraId="6CB35019"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1.33</w:t>
            </w:r>
          </w:p>
        </w:tc>
        <w:tc>
          <w:tcPr>
            <w:tcW w:w="1335" w:type="dxa"/>
            <w:tcBorders>
              <w:top w:val="nil"/>
              <w:left w:val="nil"/>
              <w:bottom w:val="nil"/>
              <w:right w:val="nil"/>
            </w:tcBorders>
            <w:shd w:val="clear" w:color="auto" w:fill="auto"/>
            <w:noWrap/>
            <w:vAlign w:val="center"/>
            <w:hideMark/>
          </w:tcPr>
          <w:p w14:paraId="3614CF0F"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13–1238</w:t>
            </w:r>
          </w:p>
        </w:tc>
        <w:tc>
          <w:tcPr>
            <w:tcW w:w="878" w:type="dxa"/>
            <w:tcBorders>
              <w:top w:val="nil"/>
              <w:left w:val="nil"/>
              <w:bottom w:val="nil"/>
              <w:right w:val="nil"/>
            </w:tcBorders>
            <w:shd w:val="clear" w:color="auto" w:fill="auto"/>
            <w:noWrap/>
            <w:vAlign w:val="bottom"/>
            <w:hideMark/>
          </w:tcPr>
          <w:p w14:paraId="57585594"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5.5</w:t>
            </w:r>
          </w:p>
        </w:tc>
        <w:tc>
          <w:tcPr>
            <w:tcW w:w="879" w:type="dxa"/>
            <w:tcBorders>
              <w:top w:val="nil"/>
              <w:left w:val="nil"/>
              <w:bottom w:val="nil"/>
              <w:right w:val="nil"/>
            </w:tcBorders>
            <w:shd w:val="clear" w:color="auto" w:fill="auto"/>
            <w:noWrap/>
            <w:vAlign w:val="bottom"/>
            <w:hideMark/>
          </w:tcPr>
          <w:p w14:paraId="72D7F484"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12.0</w:t>
            </w:r>
          </w:p>
        </w:tc>
      </w:tr>
      <w:tr w:rsidR="008C61A3" w:rsidRPr="008C61A3" w14:paraId="5DEEBAB7"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78756243"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BUN, mmol/l</w:t>
            </w:r>
          </w:p>
        </w:tc>
        <w:tc>
          <w:tcPr>
            <w:tcW w:w="877" w:type="dxa"/>
            <w:tcBorders>
              <w:top w:val="nil"/>
              <w:left w:val="nil"/>
              <w:bottom w:val="nil"/>
              <w:right w:val="nil"/>
            </w:tcBorders>
            <w:shd w:val="clear" w:color="auto" w:fill="auto"/>
            <w:noWrap/>
            <w:vAlign w:val="center"/>
            <w:hideMark/>
          </w:tcPr>
          <w:p w14:paraId="4A478EB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0.54</w:t>
            </w:r>
          </w:p>
        </w:tc>
        <w:tc>
          <w:tcPr>
            <w:tcW w:w="1077" w:type="dxa"/>
            <w:tcBorders>
              <w:top w:val="nil"/>
              <w:left w:val="nil"/>
              <w:bottom w:val="nil"/>
              <w:right w:val="nil"/>
            </w:tcBorders>
            <w:shd w:val="clear" w:color="auto" w:fill="auto"/>
            <w:noWrap/>
            <w:vAlign w:val="center"/>
            <w:hideMark/>
          </w:tcPr>
          <w:p w14:paraId="363BBFCD" w14:textId="32E016E6"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1.4</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2D39FED4"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1.33</w:t>
            </w:r>
          </w:p>
        </w:tc>
        <w:tc>
          <w:tcPr>
            <w:tcW w:w="1077" w:type="dxa"/>
            <w:tcBorders>
              <w:top w:val="nil"/>
              <w:left w:val="nil"/>
              <w:bottom w:val="nil"/>
              <w:right w:val="nil"/>
            </w:tcBorders>
            <w:shd w:val="clear" w:color="auto" w:fill="auto"/>
            <w:noWrap/>
            <w:vAlign w:val="center"/>
            <w:hideMark/>
          </w:tcPr>
          <w:p w14:paraId="24F1DF50" w14:textId="7E30AC0B"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2.2</w:t>
            </w:r>
            <w:r w:rsidR="00360926" w:rsidRPr="00B41A9C">
              <w:rPr>
                <w:rFonts w:ascii="Arial" w:eastAsia="等线" w:hAnsi="Arial" w:cs="Arial"/>
                <w:color w:val="000000" w:themeColor="text1"/>
                <w:kern w:val="0"/>
                <w:sz w:val="18"/>
                <w:szCs w:val="18"/>
              </w:rPr>
              <w:t>0</w:t>
            </w:r>
          </w:p>
        </w:tc>
        <w:tc>
          <w:tcPr>
            <w:tcW w:w="1078" w:type="dxa"/>
            <w:tcBorders>
              <w:top w:val="nil"/>
              <w:left w:val="nil"/>
              <w:bottom w:val="nil"/>
              <w:right w:val="nil"/>
            </w:tcBorders>
            <w:shd w:val="clear" w:color="auto" w:fill="auto"/>
            <w:noWrap/>
            <w:vAlign w:val="center"/>
            <w:hideMark/>
          </w:tcPr>
          <w:p w14:paraId="6E10C0C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1.33</w:t>
            </w:r>
          </w:p>
        </w:tc>
        <w:tc>
          <w:tcPr>
            <w:tcW w:w="1335" w:type="dxa"/>
            <w:tcBorders>
              <w:top w:val="nil"/>
              <w:left w:val="nil"/>
              <w:bottom w:val="nil"/>
              <w:right w:val="nil"/>
            </w:tcBorders>
            <w:shd w:val="clear" w:color="auto" w:fill="auto"/>
            <w:noWrap/>
            <w:vAlign w:val="center"/>
            <w:hideMark/>
          </w:tcPr>
          <w:p w14:paraId="13C14FEB"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0.71–42.83</w:t>
            </w:r>
          </w:p>
        </w:tc>
        <w:tc>
          <w:tcPr>
            <w:tcW w:w="878" w:type="dxa"/>
            <w:tcBorders>
              <w:top w:val="nil"/>
              <w:left w:val="nil"/>
              <w:bottom w:val="nil"/>
              <w:right w:val="nil"/>
            </w:tcBorders>
            <w:shd w:val="clear" w:color="auto" w:fill="auto"/>
            <w:noWrap/>
            <w:vAlign w:val="bottom"/>
            <w:hideMark/>
          </w:tcPr>
          <w:p w14:paraId="7A239CF2"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3.0</w:t>
            </w:r>
          </w:p>
        </w:tc>
        <w:tc>
          <w:tcPr>
            <w:tcW w:w="879" w:type="dxa"/>
            <w:tcBorders>
              <w:top w:val="nil"/>
              <w:left w:val="nil"/>
              <w:bottom w:val="nil"/>
              <w:right w:val="nil"/>
            </w:tcBorders>
            <w:shd w:val="clear" w:color="auto" w:fill="auto"/>
            <w:noWrap/>
            <w:vAlign w:val="bottom"/>
            <w:hideMark/>
          </w:tcPr>
          <w:p w14:paraId="4348E10E"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8.0</w:t>
            </w:r>
          </w:p>
        </w:tc>
      </w:tr>
      <w:tr w:rsidR="008C61A3" w:rsidRPr="008C61A3" w14:paraId="61217B13"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2A7DD626"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UA, μmol/L</w:t>
            </w:r>
          </w:p>
        </w:tc>
        <w:tc>
          <w:tcPr>
            <w:tcW w:w="877" w:type="dxa"/>
            <w:tcBorders>
              <w:top w:val="nil"/>
              <w:left w:val="nil"/>
              <w:bottom w:val="nil"/>
              <w:right w:val="nil"/>
            </w:tcBorders>
            <w:shd w:val="clear" w:color="auto" w:fill="auto"/>
            <w:noWrap/>
            <w:vAlign w:val="center"/>
            <w:hideMark/>
          </w:tcPr>
          <w:p w14:paraId="388D3736"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-2.15</w:t>
            </w:r>
          </w:p>
        </w:tc>
        <w:tc>
          <w:tcPr>
            <w:tcW w:w="1077" w:type="dxa"/>
            <w:tcBorders>
              <w:top w:val="nil"/>
              <w:left w:val="nil"/>
              <w:bottom w:val="nil"/>
              <w:right w:val="nil"/>
            </w:tcBorders>
            <w:shd w:val="clear" w:color="auto" w:fill="auto"/>
            <w:noWrap/>
            <w:vAlign w:val="center"/>
            <w:hideMark/>
          </w:tcPr>
          <w:p w14:paraId="1C8BF06E" w14:textId="7ECA5306"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0.8</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3F936F52"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3.26</w:t>
            </w:r>
          </w:p>
        </w:tc>
        <w:tc>
          <w:tcPr>
            <w:tcW w:w="1077" w:type="dxa"/>
            <w:tcBorders>
              <w:top w:val="nil"/>
              <w:left w:val="nil"/>
              <w:bottom w:val="nil"/>
              <w:right w:val="nil"/>
            </w:tcBorders>
            <w:shd w:val="clear" w:color="auto" w:fill="auto"/>
            <w:noWrap/>
            <w:vAlign w:val="center"/>
            <w:hideMark/>
          </w:tcPr>
          <w:p w14:paraId="162281F2" w14:textId="3D7670AE"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0.4</w:t>
            </w:r>
            <w:r w:rsidR="00360926" w:rsidRPr="00B41A9C">
              <w:rPr>
                <w:rFonts w:ascii="Arial" w:eastAsia="等线" w:hAnsi="Arial" w:cs="Arial"/>
                <w:color w:val="000000" w:themeColor="text1"/>
                <w:kern w:val="0"/>
                <w:sz w:val="18"/>
                <w:szCs w:val="18"/>
              </w:rPr>
              <w:t>0</w:t>
            </w:r>
          </w:p>
        </w:tc>
        <w:tc>
          <w:tcPr>
            <w:tcW w:w="1078" w:type="dxa"/>
            <w:tcBorders>
              <w:top w:val="nil"/>
              <w:left w:val="nil"/>
              <w:bottom w:val="nil"/>
              <w:right w:val="nil"/>
            </w:tcBorders>
            <w:shd w:val="clear" w:color="auto" w:fill="auto"/>
            <w:noWrap/>
            <w:vAlign w:val="center"/>
            <w:hideMark/>
          </w:tcPr>
          <w:p w14:paraId="44DFDCA2" w14:textId="03CD8740"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2.2</w:t>
            </w:r>
            <w:r w:rsidR="00360926" w:rsidRPr="00B41A9C">
              <w:rPr>
                <w:rFonts w:ascii="Arial" w:eastAsia="等线" w:hAnsi="Arial" w:cs="Arial"/>
                <w:color w:val="000000" w:themeColor="text1"/>
                <w:kern w:val="0"/>
                <w:sz w:val="18"/>
                <w:szCs w:val="18"/>
              </w:rPr>
              <w:t>0</w:t>
            </w:r>
          </w:p>
        </w:tc>
        <w:tc>
          <w:tcPr>
            <w:tcW w:w="1335" w:type="dxa"/>
            <w:tcBorders>
              <w:top w:val="nil"/>
              <w:left w:val="nil"/>
              <w:bottom w:val="nil"/>
              <w:right w:val="nil"/>
            </w:tcBorders>
            <w:shd w:val="clear" w:color="auto" w:fill="auto"/>
            <w:noWrap/>
            <w:vAlign w:val="center"/>
            <w:hideMark/>
          </w:tcPr>
          <w:p w14:paraId="5B2003C6"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29.7–1011.2</w:t>
            </w:r>
          </w:p>
        </w:tc>
        <w:tc>
          <w:tcPr>
            <w:tcW w:w="878" w:type="dxa"/>
            <w:tcBorders>
              <w:top w:val="nil"/>
              <w:left w:val="nil"/>
              <w:bottom w:val="nil"/>
              <w:right w:val="nil"/>
            </w:tcBorders>
            <w:shd w:val="clear" w:color="auto" w:fill="auto"/>
            <w:noWrap/>
            <w:vAlign w:val="bottom"/>
            <w:hideMark/>
          </w:tcPr>
          <w:p w14:paraId="763DA35C"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4.5</w:t>
            </w:r>
          </w:p>
        </w:tc>
        <w:tc>
          <w:tcPr>
            <w:tcW w:w="879" w:type="dxa"/>
            <w:tcBorders>
              <w:top w:val="nil"/>
              <w:left w:val="nil"/>
              <w:bottom w:val="nil"/>
              <w:right w:val="nil"/>
            </w:tcBorders>
            <w:shd w:val="clear" w:color="auto" w:fill="auto"/>
            <w:noWrap/>
            <w:vAlign w:val="bottom"/>
            <w:hideMark/>
          </w:tcPr>
          <w:p w14:paraId="35B0F7DC"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12.0</w:t>
            </w:r>
          </w:p>
        </w:tc>
      </w:tr>
      <w:tr w:rsidR="008C61A3" w:rsidRPr="008C61A3" w14:paraId="6175125E"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5C7B8508"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ALT, U/L</w:t>
            </w:r>
          </w:p>
        </w:tc>
        <w:tc>
          <w:tcPr>
            <w:tcW w:w="877" w:type="dxa"/>
            <w:tcBorders>
              <w:top w:val="nil"/>
              <w:left w:val="nil"/>
              <w:bottom w:val="nil"/>
              <w:right w:val="nil"/>
            </w:tcBorders>
            <w:shd w:val="clear" w:color="auto" w:fill="auto"/>
            <w:noWrap/>
            <w:vAlign w:val="center"/>
            <w:hideMark/>
          </w:tcPr>
          <w:p w14:paraId="09AB6AC9" w14:textId="5E6AACDD"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-0.8</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102C638F"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4.08</w:t>
            </w:r>
          </w:p>
        </w:tc>
        <w:tc>
          <w:tcPr>
            <w:tcW w:w="1077" w:type="dxa"/>
            <w:tcBorders>
              <w:top w:val="nil"/>
              <w:left w:val="nil"/>
              <w:bottom w:val="nil"/>
              <w:right w:val="nil"/>
            </w:tcBorders>
            <w:shd w:val="clear" w:color="auto" w:fill="auto"/>
            <w:noWrap/>
            <w:vAlign w:val="center"/>
            <w:hideMark/>
          </w:tcPr>
          <w:p w14:paraId="11F423D1"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4.24</w:t>
            </w:r>
          </w:p>
        </w:tc>
        <w:tc>
          <w:tcPr>
            <w:tcW w:w="1077" w:type="dxa"/>
            <w:tcBorders>
              <w:top w:val="nil"/>
              <w:left w:val="nil"/>
              <w:bottom w:val="nil"/>
              <w:right w:val="nil"/>
            </w:tcBorders>
            <w:shd w:val="clear" w:color="auto" w:fill="auto"/>
            <w:noWrap/>
            <w:vAlign w:val="center"/>
            <w:hideMark/>
          </w:tcPr>
          <w:p w14:paraId="5E0ECB9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1.25</w:t>
            </w:r>
          </w:p>
        </w:tc>
        <w:tc>
          <w:tcPr>
            <w:tcW w:w="1078" w:type="dxa"/>
            <w:tcBorders>
              <w:top w:val="nil"/>
              <w:left w:val="nil"/>
              <w:bottom w:val="nil"/>
              <w:right w:val="nil"/>
            </w:tcBorders>
            <w:shd w:val="clear" w:color="auto" w:fill="auto"/>
            <w:noWrap/>
            <w:vAlign w:val="center"/>
            <w:hideMark/>
          </w:tcPr>
          <w:p w14:paraId="78A612D5"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1.67</w:t>
            </w:r>
          </w:p>
        </w:tc>
        <w:tc>
          <w:tcPr>
            <w:tcW w:w="1335" w:type="dxa"/>
            <w:tcBorders>
              <w:top w:val="nil"/>
              <w:left w:val="nil"/>
              <w:bottom w:val="nil"/>
              <w:right w:val="nil"/>
            </w:tcBorders>
            <w:shd w:val="clear" w:color="auto" w:fill="auto"/>
            <w:noWrap/>
            <w:vAlign w:val="center"/>
            <w:hideMark/>
          </w:tcPr>
          <w:p w14:paraId="162D7C8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6–1000</w:t>
            </w:r>
          </w:p>
        </w:tc>
        <w:tc>
          <w:tcPr>
            <w:tcW w:w="878" w:type="dxa"/>
            <w:tcBorders>
              <w:top w:val="nil"/>
              <w:left w:val="nil"/>
              <w:bottom w:val="nil"/>
              <w:right w:val="nil"/>
            </w:tcBorders>
            <w:shd w:val="clear" w:color="auto" w:fill="auto"/>
            <w:noWrap/>
            <w:vAlign w:val="bottom"/>
            <w:hideMark/>
          </w:tcPr>
          <w:p w14:paraId="6A0FFAC5"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6.0</w:t>
            </w:r>
          </w:p>
        </w:tc>
        <w:tc>
          <w:tcPr>
            <w:tcW w:w="879" w:type="dxa"/>
            <w:tcBorders>
              <w:top w:val="nil"/>
              <w:left w:val="nil"/>
              <w:bottom w:val="nil"/>
              <w:right w:val="nil"/>
            </w:tcBorders>
            <w:shd w:val="clear" w:color="auto" w:fill="auto"/>
            <w:noWrap/>
            <w:vAlign w:val="bottom"/>
            <w:hideMark/>
          </w:tcPr>
          <w:p w14:paraId="021457B3"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16.0</w:t>
            </w:r>
          </w:p>
        </w:tc>
      </w:tr>
      <w:tr w:rsidR="008C61A3" w:rsidRPr="008C61A3" w14:paraId="6F953495"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634E7DA9"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ALP, U/L</w:t>
            </w:r>
          </w:p>
        </w:tc>
        <w:tc>
          <w:tcPr>
            <w:tcW w:w="877" w:type="dxa"/>
            <w:tcBorders>
              <w:top w:val="nil"/>
              <w:left w:val="nil"/>
              <w:bottom w:val="nil"/>
              <w:right w:val="nil"/>
            </w:tcBorders>
            <w:shd w:val="clear" w:color="auto" w:fill="auto"/>
            <w:noWrap/>
            <w:vAlign w:val="center"/>
            <w:hideMark/>
          </w:tcPr>
          <w:p w14:paraId="5537A13F"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1.74</w:t>
            </w:r>
          </w:p>
        </w:tc>
        <w:tc>
          <w:tcPr>
            <w:tcW w:w="1077" w:type="dxa"/>
            <w:tcBorders>
              <w:top w:val="nil"/>
              <w:left w:val="nil"/>
              <w:bottom w:val="nil"/>
              <w:right w:val="nil"/>
            </w:tcBorders>
            <w:shd w:val="clear" w:color="auto" w:fill="auto"/>
            <w:noWrap/>
            <w:vAlign w:val="center"/>
            <w:hideMark/>
          </w:tcPr>
          <w:p w14:paraId="5231DA75"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3.68</w:t>
            </w:r>
          </w:p>
        </w:tc>
        <w:tc>
          <w:tcPr>
            <w:tcW w:w="1077" w:type="dxa"/>
            <w:tcBorders>
              <w:top w:val="nil"/>
              <w:left w:val="nil"/>
              <w:bottom w:val="nil"/>
              <w:right w:val="nil"/>
            </w:tcBorders>
            <w:shd w:val="clear" w:color="auto" w:fill="auto"/>
            <w:noWrap/>
            <w:vAlign w:val="center"/>
            <w:hideMark/>
          </w:tcPr>
          <w:p w14:paraId="5D969BE9"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2.71</w:t>
            </w:r>
          </w:p>
        </w:tc>
        <w:tc>
          <w:tcPr>
            <w:tcW w:w="1077" w:type="dxa"/>
            <w:tcBorders>
              <w:top w:val="nil"/>
              <w:left w:val="nil"/>
              <w:bottom w:val="nil"/>
              <w:right w:val="nil"/>
            </w:tcBorders>
            <w:shd w:val="clear" w:color="auto" w:fill="auto"/>
            <w:noWrap/>
            <w:vAlign w:val="center"/>
            <w:hideMark/>
          </w:tcPr>
          <w:p w14:paraId="75E81893"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3.96</w:t>
            </w:r>
          </w:p>
        </w:tc>
        <w:tc>
          <w:tcPr>
            <w:tcW w:w="1078" w:type="dxa"/>
            <w:tcBorders>
              <w:top w:val="nil"/>
              <w:left w:val="nil"/>
              <w:bottom w:val="nil"/>
              <w:right w:val="nil"/>
            </w:tcBorders>
            <w:shd w:val="clear" w:color="auto" w:fill="auto"/>
            <w:noWrap/>
            <w:vAlign w:val="center"/>
            <w:hideMark/>
          </w:tcPr>
          <w:p w14:paraId="6403C4E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2.98</w:t>
            </w:r>
          </w:p>
        </w:tc>
        <w:tc>
          <w:tcPr>
            <w:tcW w:w="1335" w:type="dxa"/>
            <w:tcBorders>
              <w:top w:val="nil"/>
              <w:left w:val="nil"/>
              <w:bottom w:val="nil"/>
              <w:right w:val="nil"/>
            </w:tcBorders>
            <w:shd w:val="clear" w:color="auto" w:fill="auto"/>
            <w:noWrap/>
            <w:vAlign w:val="center"/>
            <w:hideMark/>
          </w:tcPr>
          <w:p w14:paraId="7FA685F2"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20–1500</w:t>
            </w:r>
          </w:p>
        </w:tc>
        <w:tc>
          <w:tcPr>
            <w:tcW w:w="878" w:type="dxa"/>
            <w:tcBorders>
              <w:top w:val="nil"/>
              <w:left w:val="nil"/>
              <w:bottom w:val="nil"/>
              <w:right w:val="nil"/>
            </w:tcBorders>
            <w:shd w:val="clear" w:color="auto" w:fill="auto"/>
            <w:noWrap/>
            <w:vAlign w:val="bottom"/>
            <w:hideMark/>
          </w:tcPr>
          <w:p w14:paraId="326D8A8D"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10.0</w:t>
            </w:r>
          </w:p>
        </w:tc>
        <w:tc>
          <w:tcPr>
            <w:tcW w:w="879" w:type="dxa"/>
            <w:tcBorders>
              <w:top w:val="nil"/>
              <w:left w:val="nil"/>
              <w:bottom w:val="nil"/>
              <w:right w:val="nil"/>
            </w:tcBorders>
            <w:shd w:val="clear" w:color="auto" w:fill="auto"/>
            <w:noWrap/>
            <w:vAlign w:val="bottom"/>
            <w:hideMark/>
          </w:tcPr>
          <w:p w14:paraId="2F6923F5"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18.0</w:t>
            </w:r>
          </w:p>
        </w:tc>
      </w:tr>
      <w:tr w:rsidR="008C61A3" w:rsidRPr="008C61A3" w14:paraId="222055A7" w14:textId="77777777" w:rsidTr="00B22DC5">
        <w:trPr>
          <w:trHeight w:val="278"/>
        </w:trPr>
        <w:tc>
          <w:tcPr>
            <w:tcW w:w="1618" w:type="dxa"/>
            <w:gridSpan w:val="2"/>
            <w:tcBorders>
              <w:top w:val="nil"/>
              <w:left w:val="nil"/>
              <w:bottom w:val="nil"/>
              <w:right w:val="nil"/>
            </w:tcBorders>
            <w:shd w:val="clear" w:color="auto" w:fill="auto"/>
            <w:noWrap/>
            <w:vAlign w:val="bottom"/>
            <w:hideMark/>
          </w:tcPr>
          <w:p w14:paraId="4A0F3C61"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AST, U/L</w:t>
            </w:r>
          </w:p>
        </w:tc>
        <w:tc>
          <w:tcPr>
            <w:tcW w:w="877" w:type="dxa"/>
            <w:tcBorders>
              <w:top w:val="nil"/>
              <w:left w:val="nil"/>
              <w:bottom w:val="nil"/>
              <w:right w:val="nil"/>
            </w:tcBorders>
            <w:shd w:val="clear" w:color="auto" w:fill="auto"/>
            <w:noWrap/>
            <w:vAlign w:val="center"/>
            <w:hideMark/>
          </w:tcPr>
          <w:p w14:paraId="458C1FA4"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4.86</w:t>
            </w:r>
          </w:p>
        </w:tc>
        <w:tc>
          <w:tcPr>
            <w:tcW w:w="1077" w:type="dxa"/>
            <w:tcBorders>
              <w:top w:val="nil"/>
              <w:left w:val="nil"/>
              <w:bottom w:val="nil"/>
              <w:right w:val="nil"/>
            </w:tcBorders>
            <w:shd w:val="clear" w:color="auto" w:fill="auto"/>
            <w:noWrap/>
            <w:vAlign w:val="center"/>
            <w:hideMark/>
          </w:tcPr>
          <w:p w14:paraId="2BA6BE95" w14:textId="098F6D8F"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1.4</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36EA121A"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1.42</w:t>
            </w:r>
          </w:p>
        </w:tc>
        <w:tc>
          <w:tcPr>
            <w:tcW w:w="1077" w:type="dxa"/>
            <w:tcBorders>
              <w:top w:val="nil"/>
              <w:left w:val="nil"/>
              <w:bottom w:val="nil"/>
              <w:right w:val="nil"/>
            </w:tcBorders>
            <w:shd w:val="clear" w:color="auto" w:fill="auto"/>
            <w:noWrap/>
            <w:vAlign w:val="center"/>
            <w:hideMark/>
          </w:tcPr>
          <w:p w14:paraId="4CC53D38" w14:textId="418795ED"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1.4</w:t>
            </w:r>
            <w:r w:rsidR="00360926" w:rsidRPr="00B41A9C">
              <w:rPr>
                <w:rFonts w:ascii="Arial" w:eastAsia="等线" w:hAnsi="Arial" w:cs="Arial"/>
                <w:color w:val="000000" w:themeColor="text1"/>
                <w:kern w:val="0"/>
                <w:sz w:val="18"/>
                <w:szCs w:val="18"/>
              </w:rPr>
              <w:t>0</w:t>
            </w:r>
          </w:p>
        </w:tc>
        <w:tc>
          <w:tcPr>
            <w:tcW w:w="1078" w:type="dxa"/>
            <w:tcBorders>
              <w:top w:val="nil"/>
              <w:left w:val="nil"/>
              <w:bottom w:val="nil"/>
              <w:right w:val="nil"/>
            </w:tcBorders>
            <w:shd w:val="clear" w:color="auto" w:fill="auto"/>
            <w:noWrap/>
            <w:vAlign w:val="center"/>
            <w:hideMark/>
          </w:tcPr>
          <w:p w14:paraId="45CA7C03"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1.52</w:t>
            </w:r>
          </w:p>
        </w:tc>
        <w:tc>
          <w:tcPr>
            <w:tcW w:w="1335" w:type="dxa"/>
            <w:tcBorders>
              <w:top w:val="nil"/>
              <w:left w:val="nil"/>
              <w:bottom w:val="nil"/>
              <w:right w:val="nil"/>
            </w:tcBorders>
            <w:shd w:val="clear" w:color="auto" w:fill="auto"/>
            <w:noWrap/>
            <w:vAlign w:val="center"/>
            <w:hideMark/>
          </w:tcPr>
          <w:p w14:paraId="040463C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9.0-653</w:t>
            </w:r>
          </w:p>
        </w:tc>
        <w:tc>
          <w:tcPr>
            <w:tcW w:w="878" w:type="dxa"/>
            <w:tcBorders>
              <w:top w:val="nil"/>
              <w:left w:val="nil"/>
              <w:bottom w:val="nil"/>
              <w:right w:val="nil"/>
            </w:tcBorders>
            <w:shd w:val="clear" w:color="auto" w:fill="auto"/>
            <w:noWrap/>
            <w:vAlign w:val="center"/>
            <w:hideMark/>
          </w:tcPr>
          <w:p w14:paraId="37754162" w14:textId="10248954"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w:t>
            </w:r>
            <w:r w:rsidR="00360926" w:rsidRPr="00B41A9C">
              <w:rPr>
                <w:rFonts w:ascii="Arial" w:eastAsia="等线" w:hAnsi="Arial" w:cs="Arial"/>
                <w:color w:val="000000" w:themeColor="text1"/>
                <w:kern w:val="0"/>
                <w:sz w:val="18"/>
                <w:szCs w:val="18"/>
              </w:rPr>
              <w:t>.0</w:t>
            </w:r>
          </w:p>
        </w:tc>
        <w:tc>
          <w:tcPr>
            <w:tcW w:w="879" w:type="dxa"/>
            <w:tcBorders>
              <w:top w:val="nil"/>
              <w:left w:val="nil"/>
              <w:bottom w:val="nil"/>
              <w:right w:val="nil"/>
            </w:tcBorders>
            <w:shd w:val="clear" w:color="auto" w:fill="auto"/>
            <w:noWrap/>
            <w:vAlign w:val="center"/>
            <w:hideMark/>
          </w:tcPr>
          <w:p w14:paraId="285A0FE4" w14:textId="13D01822"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w:t>
            </w:r>
            <w:r w:rsidR="00360926" w:rsidRPr="00B41A9C">
              <w:rPr>
                <w:rFonts w:ascii="Arial" w:eastAsia="等线" w:hAnsi="Arial" w:cs="Arial"/>
                <w:color w:val="000000" w:themeColor="text1"/>
                <w:kern w:val="0"/>
                <w:sz w:val="18"/>
                <w:szCs w:val="18"/>
              </w:rPr>
              <w:t>.0</w:t>
            </w:r>
          </w:p>
        </w:tc>
      </w:tr>
      <w:tr w:rsidR="008C61A3" w:rsidRPr="008C61A3" w14:paraId="7303D82F"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4D82A782"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CHE, U/L</w:t>
            </w:r>
          </w:p>
        </w:tc>
        <w:tc>
          <w:tcPr>
            <w:tcW w:w="877" w:type="dxa"/>
            <w:tcBorders>
              <w:top w:val="nil"/>
              <w:left w:val="nil"/>
              <w:bottom w:val="nil"/>
              <w:right w:val="nil"/>
            </w:tcBorders>
            <w:shd w:val="clear" w:color="auto" w:fill="auto"/>
            <w:noWrap/>
            <w:vAlign w:val="center"/>
            <w:hideMark/>
          </w:tcPr>
          <w:p w14:paraId="2860F6C7"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0.72</w:t>
            </w:r>
          </w:p>
        </w:tc>
        <w:tc>
          <w:tcPr>
            <w:tcW w:w="1077" w:type="dxa"/>
            <w:tcBorders>
              <w:top w:val="nil"/>
              <w:left w:val="nil"/>
              <w:bottom w:val="nil"/>
              <w:right w:val="nil"/>
            </w:tcBorders>
            <w:shd w:val="clear" w:color="auto" w:fill="auto"/>
            <w:noWrap/>
            <w:vAlign w:val="center"/>
            <w:hideMark/>
          </w:tcPr>
          <w:p w14:paraId="2AE7EDE3"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1.82</w:t>
            </w:r>
          </w:p>
        </w:tc>
        <w:tc>
          <w:tcPr>
            <w:tcW w:w="1077" w:type="dxa"/>
            <w:tcBorders>
              <w:top w:val="nil"/>
              <w:left w:val="nil"/>
              <w:bottom w:val="nil"/>
              <w:right w:val="nil"/>
            </w:tcBorders>
            <w:shd w:val="clear" w:color="auto" w:fill="auto"/>
            <w:noWrap/>
            <w:vAlign w:val="center"/>
            <w:hideMark/>
          </w:tcPr>
          <w:p w14:paraId="1E9DDCC8" w14:textId="532758A1"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2.4</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292BAACA"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2.32</w:t>
            </w:r>
          </w:p>
        </w:tc>
        <w:tc>
          <w:tcPr>
            <w:tcW w:w="1078" w:type="dxa"/>
            <w:tcBorders>
              <w:top w:val="nil"/>
              <w:left w:val="nil"/>
              <w:bottom w:val="nil"/>
              <w:right w:val="nil"/>
            </w:tcBorders>
            <w:shd w:val="clear" w:color="auto" w:fill="auto"/>
            <w:noWrap/>
            <w:vAlign w:val="center"/>
            <w:hideMark/>
          </w:tcPr>
          <w:p w14:paraId="0B43E1D3"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3.98</w:t>
            </w:r>
          </w:p>
        </w:tc>
        <w:tc>
          <w:tcPr>
            <w:tcW w:w="1335" w:type="dxa"/>
            <w:tcBorders>
              <w:top w:val="nil"/>
              <w:left w:val="nil"/>
              <w:bottom w:val="nil"/>
              <w:right w:val="nil"/>
            </w:tcBorders>
            <w:shd w:val="clear" w:color="auto" w:fill="auto"/>
            <w:noWrap/>
            <w:vAlign w:val="center"/>
            <w:hideMark/>
          </w:tcPr>
          <w:p w14:paraId="463B1858"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200–12500</w:t>
            </w:r>
          </w:p>
        </w:tc>
        <w:tc>
          <w:tcPr>
            <w:tcW w:w="878" w:type="dxa"/>
            <w:tcBorders>
              <w:top w:val="nil"/>
              <w:left w:val="nil"/>
              <w:bottom w:val="nil"/>
              <w:right w:val="nil"/>
            </w:tcBorders>
            <w:shd w:val="clear" w:color="auto" w:fill="auto"/>
            <w:noWrap/>
            <w:vAlign w:val="center"/>
            <w:hideMark/>
          </w:tcPr>
          <w:p w14:paraId="6421C6C0" w14:textId="301C0871"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w:t>
            </w:r>
            <w:r w:rsidR="00360926" w:rsidRPr="00B41A9C">
              <w:rPr>
                <w:rFonts w:ascii="Arial" w:eastAsia="等线" w:hAnsi="Arial" w:cs="Arial"/>
                <w:color w:val="000000" w:themeColor="text1"/>
                <w:kern w:val="0"/>
                <w:sz w:val="18"/>
                <w:szCs w:val="18"/>
              </w:rPr>
              <w:t>.0</w:t>
            </w:r>
          </w:p>
        </w:tc>
        <w:tc>
          <w:tcPr>
            <w:tcW w:w="879" w:type="dxa"/>
            <w:tcBorders>
              <w:top w:val="nil"/>
              <w:left w:val="nil"/>
              <w:bottom w:val="nil"/>
              <w:right w:val="nil"/>
            </w:tcBorders>
            <w:shd w:val="clear" w:color="auto" w:fill="auto"/>
            <w:noWrap/>
            <w:vAlign w:val="center"/>
            <w:hideMark/>
          </w:tcPr>
          <w:p w14:paraId="7ED2AB55" w14:textId="50E5A923"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w:t>
            </w:r>
            <w:r w:rsidR="00360926" w:rsidRPr="00B41A9C">
              <w:rPr>
                <w:rFonts w:ascii="Arial" w:eastAsia="等线" w:hAnsi="Arial" w:cs="Arial"/>
                <w:color w:val="000000" w:themeColor="text1"/>
                <w:kern w:val="0"/>
                <w:sz w:val="18"/>
                <w:szCs w:val="18"/>
              </w:rPr>
              <w:t>.0</w:t>
            </w:r>
          </w:p>
        </w:tc>
      </w:tr>
      <w:tr w:rsidR="008C61A3" w:rsidRPr="008C61A3" w14:paraId="61BC1316"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75896A19"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CK, U/L</w:t>
            </w:r>
          </w:p>
        </w:tc>
        <w:tc>
          <w:tcPr>
            <w:tcW w:w="877" w:type="dxa"/>
            <w:tcBorders>
              <w:top w:val="nil"/>
              <w:left w:val="nil"/>
              <w:bottom w:val="nil"/>
              <w:right w:val="nil"/>
            </w:tcBorders>
            <w:shd w:val="clear" w:color="auto" w:fill="auto"/>
            <w:noWrap/>
            <w:vAlign w:val="center"/>
            <w:hideMark/>
          </w:tcPr>
          <w:p w14:paraId="33B837FF"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4.85</w:t>
            </w:r>
          </w:p>
        </w:tc>
        <w:tc>
          <w:tcPr>
            <w:tcW w:w="1077" w:type="dxa"/>
            <w:tcBorders>
              <w:top w:val="nil"/>
              <w:left w:val="nil"/>
              <w:bottom w:val="nil"/>
              <w:right w:val="nil"/>
            </w:tcBorders>
            <w:shd w:val="clear" w:color="auto" w:fill="auto"/>
            <w:noWrap/>
            <w:vAlign w:val="center"/>
            <w:hideMark/>
          </w:tcPr>
          <w:p w14:paraId="3D48EF4E"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2.15</w:t>
            </w:r>
          </w:p>
        </w:tc>
        <w:tc>
          <w:tcPr>
            <w:tcW w:w="1077" w:type="dxa"/>
            <w:tcBorders>
              <w:top w:val="nil"/>
              <w:left w:val="nil"/>
              <w:bottom w:val="nil"/>
              <w:right w:val="nil"/>
            </w:tcBorders>
            <w:shd w:val="clear" w:color="auto" w:fill="auto"/>
            <w:noWrap/>
            <w:vAlign w:val="center"/>
            <w:hideMark/>
          </w:tcPr>
          <w:p w14:paraId="3211499F" w14:textId="277FEE22"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4.2</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5C421AC6"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1.79</w:t>
            </w:r>
          </w:p>
        </w:tc>
        <w:tc>
          <w:tcPr>
            <w:tcW w:w="1078" w:type="dxa"/>
            <w:tcBorders>
              <w:top w:val="nil"/>
              <w:left w:val="nil"/>
              <w:bottom w:val="nil"/>
              <w:right w:val="nil"/>
            </w:tcBorders>
            <w:shd w:val="clear" w:color="auto" w:fill="auto"/>
            <w:noWrap/>
            <w:vAlign w:val="center"/>
            <w:hideMark/>
          </w:tcPr>
          <w:p w14:paraId="6F09F8B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3.27</w:t>
            </w:r>
          </w:p>
        </w:tc>
        <w:tc>
          <w:tcPr>
            <w:tcW w:w="1335" w:type="dxa"/>
            <w:tcBorders>
              <w:top w:val="nil"/>
              <w:left w:val="nil"/>
              <w:bottom w:val="nil"/>
              <w:right w:val="nil"/>
            </w:tcBorders>
            <w:shd w:val="clear" w:color="auto" w:fill="auto"/>
            <w:noWrap/>
            <w:vAlign w:val="center"/>
            <w:hideMark/>
          </w:tcPr>
          <w:p w14:paraId="6C98708E"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21.5–1566.0</w:t>
            </w:r>
          </w:p>
        </w:tc>
        <w:tc>
          <w:tcPr>
            <w:tcW w:w="878" w:type="dxa"/>
            <w:tcBorders>
              <w:top w:val="nil"/>
              <w:left w:val="nil"/>
              <w:bottom w:val="nil"/>
              <w:right w:val="nil"/>
            </w:tcBorders>
            <w:shd w:val="clear" w:color="auto" w:fill="auto"/>
            <w:noWrap/>
            <w:vAlign w:val="bottom"/>
            <w:hideMark/>
          </w:tcPr>
          <w:p w14:paraId="2F22E834"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5.5</w:t>
            </w:r>
          </w:p>
        </w:tc>
        <w:tc>
          <w:tcPr>
            <w:tcW w:w="879" w:type="dxa"/>
            <w:tcBorders>
              <w:top w:val="nil"/>
              <w:left w:val="nil"/>
              <w:bottom w:val="nil"/>
              <w:right w:val="nil"/>
            </w:tcBorders>
            <w:shd w:val="clear" w:color="auto" w:fill="auto"/>
            <w:noWrap/>
            <w:vAlign w:val="bottom"/>
            <w:hideMark/>
          </w:tcPr>
          <w:p w14:paraId="6932ED07" w14:textId="0A589C1D"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w:t>
            </w:r>
            <w:r w:rsidR="00360926" w:rsidRPr="00B41A9C">
              <w:rPr>
                <w:rFonts w:ascii="Arial" w:eastAsia="等线" w:hAnsi="Arial" w:cs="Arial"/>
                <w:color w:val="000000" w:themeColor="text1"/>
                <w:kern w:val="0"/>
                <w:sz w:val="18"/>
                <w:szCs w:val="18"/>
              </w:rPr>
              <w:t>.0</w:t>
            </w:r>
          </w:p>
        </w:tc>
      </w:tr>
      <w:tr w:rsidR="008C61A3" w:rsidRPr="008C61A3" w14:paraId="5C1980A5"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07352244"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CKMB, U/L</w:t>
            </w:r>
          </w:p>
        </w:tc>
        <w:tc>
          <w:tcPr>
            <w:tcW w:w="877" w:type="dxa"/>
            <w:tcBorders>
              <w:top w:val="nil"/>
              <w:left w:val="nil"/>
              <w:bottom w:val="nil"/>
              <w:right w:val="nil"/>
            </w:tcBorders>
            <w:shd w:val="clear" w:color="auto" w:fill="auto"/>
            <w:noWrap/>
            <w:vAlign w:val="center"/>
            <w:hideMark/>
          </w:tcPr>
          <w:p w14:paraId="1C703411"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5.51</w:t>
            </w:r>
          </w:p>
        </w:tc>
        <w:tc>
          <w:tcPr>
            <w:tcW w:w="1077" w:type="dxa"/>
            <w:tcBorders>
              <w:top w:val="nil"/>
              <w:left w:val="nil"/>
              <w:bottom w:val="nil"/>
              <w:right w:val="nil"/>
            </w:tcBorders>
            <w:shd w:val="clear" w:color="auto" w:fill="auto"/>
            <w:noWrap/>
            <w:vAlign w:val="center"/>
            <w:hideMark/>
          </w:tcPr>
          <w:p w14:paraId="178A2DD8"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5.18</w:t>
            </w:r>
          </w:p>
        </w:tc>
        <w:tc>
          <w:tcPr>
            <w:tcW w:w="1077" w:type="dxa"/>
            <w:tcBorders>
              <w:top w:val="nil"/>
              <w:left w:val="nil"/>
              <w:bottom w:val="nil"/>
              <w:right w:val="nil"/>
            </w:tcBorders>
            <w:shd w:val="clear" w:color="auto" w:fill="auto"/>
            <w:noWrap/>
            <w:vAlign w:val="center"/>
            <w:hideMark/>
          </w:tcPr>
          <w:p w14:paraId="2B0D7DC1" w14:textId="71DF596D"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5.2</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3F9E1720" w14:textId="2076AAF4"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4.3</w:t>
            </w:r>
            <w:r w:rsidR="00360926" w:rsidRPr="00B41A9C">
              <w:rPr>
                <w:rFonts w:ascii="Arial" w:eastAsia="等线" w:hAnsi="Arial" w:cs="Arial"/>
                <w:color w:val="000000" w:themeColor="text1"/>
                <w:kern w:val="0"/>
                <w:sz w:val="18"/>
                <w:szCs w:val="18"/>
              </w:rPr>
              <w:t>0</w:t>
            </w:r>
          </w:p>
        </w:tc>
        <w:tc>
          <w:tcPr>
            <w:tcW w:w="1078" w:type="dxa"/>
            <w:tcBorders>
              <w:top w:val="nil"/>
              <w:left w:val="nil"/>
              <w:bottom w:val="nil"/>
              <w:right w:val="nil"/>
            </w:tcBorders>
            <w:shd w:val="clear" w:color="auto" w:fill="auto"/>
            <w:noWrap/>
            <w:vAlign w:val="center"/>
            <w:hideMark/>
          </w:tcPr>
          <w:p w14:paraId="2EEA0171"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4.31</w:t>
            </w:r>
          </w:p>
        </w:tc>
        <w:tc>
          <w:tcPr>
            <w:tcW w:w="1335" w:type="dxa"/>
            <w:tcBorders>
              <w:top w:val="nil"/>
              <w:left w:val="nil"/>
              <w:bottom w:val="nil"/>
              <w:right w:val="nil"/>
            </w:tcBorders>
            <w:shd w:val="clear" w:color="auto" w:fill="auto"/>
            <w:noWrap/>
            <w:vAlign w:val="center"/>
            <w:hideMark/>
          </w:tcPr>
          <w:p w14:paraId="62460538"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2.7–300.0</w:t>
            </w:r>
          </w:p>
        </w:tc>
        <w:tc>
          <w:tcPr>
            <w:tcW w:w="878" w:type="dxa"/>
            <w:tcBorders>
              <w:top w:val="nil"/>
              <w:left w:val="nil"/>
              <w:bottom w:val="nil"/>
              <w:right w:val="nil"/>
            </w:tcBorders>
            <w:shd w:val="clear" w:color="auto" w:fill="auto"/>
            <w:noWrap/>
            <w:vAlign w:val="bottom"/>
            <w:hideMark/>
          </w:tcPr>
          <w:p w14:paraId="334325E3" w14:textId="4A7AF553"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7</w:t>
            </w:r>
            <w:r w:rsidR="00360926" w:rsidRPr="00B41A9C">
              <w:rPr>
                <w:rFonts w:ascii="Arial" w:eastAsia="等线" w:hAnsi="Arial" w:cs="Arial"/>
                <w:color w:val="000000" w:themeColor="text1"/>
                <w:kern w:val="0"/>
                <w:sz w:val="18"/>
                <w:szCs w:val="18"/>
              </w:rPr>
              <w:t>.0</w:t>
            </w:r>
          </w:p>
        </w:tc>
        <w:tc>
          <w:tcPr>
            <w:tcW w:w="879" w:type="dxa"/>
            <w:tcBorders>
              <w:top w:val="nil"/>
              <w:left w:val="nil"/>
              <w:bottom w:val="nil"/>
              <w:right w:val="nil"/>
            </w:tcBorders>
            <w:shd w:val="clear" w:color="auto" w:fill="auto"/>
            <w:noWrap/>
            <w:vAlign w:val="bottom"/>
            <w:hideMark/>
          </w:tcPr>
          <w:p w14:paraId="32114890" w14:textId="420DF3A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22</w:t>
            </w:r>
            <w:r w:rsidR="00360926" w:rsidRPr="00B41A9C">
              <w:rPr>
                <w:rFonts w:ascii="Arial" w:eastAsia="等线" w:hAnsi="Arial" w:cs="Arial"/>
                <w:color w:val="000000" w:themeColor="text1"/>
                <w:kern w:val="0"/>
                <w:sz w:val="18"/>
                <w:szCs w:val="18"/>
              </w:rPr>
              <w:t>.0</w:t>
            </w:r>
          </w:p>
        </w:tc>
      </w:tr>
      <w:tr w:rsidR="008C61A3" w:rsidRPr="008C61A3" w14:paraId="02401D13" w14:textId="77777777" w:rsidTr="00B22DC5">
        <w:trPr>
          <w:trHeight w:val="278"/>
        </w:trPr>
        <w:tc>
          <w:tcPr>
            <w:tcW w:w="1618" w:type="dxa"/>
            <w:gridSpan w:val="2"/>
            <w:tcBorders>
              <w:top w:val="nil"/>
              <w:left w:val="nil"/>
              <w:bottom w:val="nil"/>
              <w:right w:val="nil"/>
            </w:tcBorders>
            <w:shd w:val="clear" w:color="auto" w:fill="auto"/>
            <w:noWrap/>
            <w:vAlign w:val="bottom"/>
            <w:hideMark/>
          </w:tcPr>
          <w:p w14:paraId="59692CF5"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GGT, U/L</w:t>
            </w:r>
          </w:p>
        </w:tc>
        <w:tc>
          <w:tcPr>
            <w:tcW w:w="877" w:type="dxa"/>
            <w:tcBorders>
              <w:top w:val="nil"/>
              <w:left w:val="nil"/>
              <w:bottom w:val="nil"/>
              <w:right w:val="nil"/>
            </w:tcBorders>
            <w:shd w:val="clear" w:color="auto" w:fill="auto"/>
            <w:noWrap/>
            <w:vAlign w:val="center"/>
            <w:hideMark/>
          </w:tcPr>
          <w:p w14:paraId="32EE85E0"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0.19</w:t>
            </w:r>
          </w:p>
        </w:tc>
        <w:tc>
          <w:tcPr>
            <w:tcW w:w="1077" w:type="dxa"/>
            <w:tcBorders>
              <w:top w:val="nil"/>
              <w:left w:val="nil"/>
              <w:bottom w:val="nil"/>
              <w:right w:val="nil"/>
            </w:tcBorders>
            <w:shd w:val="clear" w:color="auto" w:fill="auto"/>
            <w:noWrap/>
            <w:vAlign w:val="center"/>
            <w:hideMark/>
          </w:tcPr>
          <w:p w14:paraId="0392B82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3.22</w:t>
            </w:r>
          </w:p>
        </w:tc>
        <w:tc>
          <w:tcPr>
            <w:tcW w:w="1077" w:type="dxa"/>
            <w:tcBorders>
              <w:top w:val="nil"/>
              <w:left w:val="nil"/>
              <w:bottom w:val="nil"/>
              <w:right w:val="nil"/>
            </w:tcBorders>
            <w:shd w:val="clear" w:color="auto" w:fill="auto"/>
            <w:noWrap/>
            <w:vAlign w:val="center"/>
            <w:hideMark/>
          </w:tcPr>
          <w:p w14:paraId="2EB022A3"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4.98</w:t>
            </w:r>
          </w:p>
        </w:tc>
        <w:tc>
          <w:tcPr>
            <w:tcW w:w="1077" w:type="dxa"/>
            <w:tcBorders>
              <w:top w:val="nil"/>
              <w:left w:val="nil"/>
              <w:bottom w:val="nil"/>
              <w:right w:val="nil"/>
            </w:tcBorders>
            <w:shd w:val="clear" w:color="auto" w:fill="auto"/>
            <w:noWrap/>
            <w:vAlign w:val="center"/>
            <w:hideMark/>
          </w:tcPr>
          <w:p w14:paraId="362D98F6"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2.42</w:t>
            </w:r>
          </w:p>
        </w:tc>
        <w:tc>
          <w:tcPr>
            <w:tcW w:w="1078" w:type="dxa"/>
            <w:tcBorders>
              <w:top w:val="nil"/>
              <w:left w:val="nil"/>
              <w:bottom w:val="nil"/>
              <w:right w:val="nil"/>
            </w:tcBorders>
            <w:shd w:val="clear" w:color="auto" w:fill="auto"/>
            <w:noWrap/>
            <w:vAlign w:val="center"/>
            <w:hideMark/>
          </w:tcPr>
          <w:p w14:paraId="0E51F5BA" w14:textId="38702E26"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1.8</w:t>
            </w:r>
            <w:r w:rsidR="00360926" w:rsidRPr="00B41A9C">
              <w:rPr>
                <w:rFonts w:ascii="Arial" w:eastAsia="等线" w:hAnsi="Arial" w:cs="Arial"/>
                <w:color w:val="000000" w:themeColor="text1"/>
                <w:kern w:val="0"/>
                <w:sz w:val="18"/>
                <w:szCs w:val="18"/>
              </w:rPr>
              <w:t>0</w:t>
            </w:r>
          </w:p>
        </w:tc>
        <w:tc>
          <w:tcPr>
            <w:tcW w:w="1335" w:type="dxa"/>
            <w:tcBorders>
              <w:top w:val="nil"/>
              <w:left w:val="nil"/>
              <w:bottom w:val="nil"/>
              <w:right w:val="nil"/>
            </w:tcBorders>
            <w:shd w:val="clear" w:color="auto" w:fill="auto"/>
            <w:noWrap/>
            <w:vAlign w:val="center"/>
            <w:hideMark/>
          </w:tcPr>
          <w:p w14:paraId="794CAAA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10–1400</w:t>
            </w:r>
          </w:p>
        </w:tc>
        <w:tc>
          <w:tcPr>
            <w:tcW w:w="878" w:type="dxa"/>
            <w:tcBorders>
              <w:top w:val="nil"/>
              <w:left w:val="nil"/>
              <w:bottom w:val="nil"/>
              <w:right w:val="nil"/>
            </w:tcBorders>
            <w:shd w:val="clear" w:color="auto" w:fill="auto"/>
            <w:noWrap/>
            <w:vAlign w:val="center"/>
            <w:hideMark/>
          </w:tcPr>
          <w:p w14:paraId="0D3C7AFA"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5.5</w:t>
            </w:r>
          </w:p>
        </w:tc>
        <w:tc>
          <w:tcPr>
            <w:tcW w:w="879" w:type="dxa"/>
            <w:tcBorders>
              <w:top w:val="nil"/>
              <w:left w:val="nil"/>
              <w:bottom w:val="nil"/>
              <w:right w:val="nil"/>
            </w:tcBorders>
            <w:shd w:val="clear" w:color="auto" w:fill="auto"/>
            <w:noWrap/>
            <w:vAlign w:val="center"/>
            <w:hideMark/>
          </w:tcPr>
          <w:p w14:paraId="64469146" w14:textId="6726D85D"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11</w:t>
            </w:r>
            <w:r w:rsidR="00360926" w:rsidRPr="00B41A9C">
              <w:rPr>
                <w:rFonts w:ascii="Arial" w:eastAsia="等线" w:hAnsi="Arial" w:cs="Arial"/>
                <w:color w:val="000000" w:themeColor="text1"/>
                <w:kern w:val="0"/>
                <w:sz w:val="18"/>
                <w:szCs w:val="18"/>
              </w:rPr>
              <w:t>.0</w:t>
            </w:r>
          </w:p>
        </w:tc>
      </w:tr>
      <w:tr w:rsidR="008C61A3" w:rsidRPr="008C61A3" w14:paraId="6F811A60" w14:textId="77777777" w:rsidTr="00B22DC5">
        <w:trPr>
          <w:trHeight w:val="278"/>
        </w:trPr>
        <w:tc>
          <w:tcPr>
            <w:tcW w:w="1618" w:type="dxa"/>
            <w:gridSpan w:val="2"/>
            <w:tcBorders>
              <w:top w:val="nil"/>
              <w:left w:val="nil"/>
              <w:bottom w:val="nil"/>
              <w:right w:val="nil"/>
            </w:tcBorders>
            <w:shd w:val="clear" w:color="auto" w:fill="auto"/>
            <w:noWrap/>
            <w:vAlign w:val="bottom"/>
            <w:hideMark/>
          </w:tcPr>
          <w:p w14:paraId="70A811EE"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LDH, U/L</w:t>
            </w:r>
          </w:p>
        </w:tc>
        <w:tc>
          <w:tcPr>
            <w:tcW w:w="877" w:type="dxa"/>
            <w:tcBorders>
              <w:top w:val="nil"/>
              <w:left w:val="nil"/>
              <w:bottom w:val="nil"/>
              <w:right w:val="nil"/>
            </w:tcBorders>
            <w:shd w:val="clear" w:color="auto" w:fill="auto"/>
            <w:noWrap/>
            <w:vAlign w:val="center"/>
            <w:hideMark/>
          </w:tcPr>
          <w:p w14:paraId="7AC4C1D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1.91</w:t>
            </w:r>
          </w:p>
        </w:tc>
        <w:tc>
          <w:tcPr>
            <w:tcW w:w="1077" w:type="dxa"/>
            <w:tcBorders>
              <w:top w:val="nil"/>
              <w:left w:val="nil"/>
              <w:bottom w:val="nil"/>
              <w:right w:val="nil"/>
            </w:tcBorders>
            <w:shd w:val="clear" w:color="auto" w:fill="auto"/>
            <w:noWrap/>
            <w:vAlign w:val="center"/>
            <w:hideMark/>
          </w:tcPr>
          <w:p w14:paraId="694E0324" w14:textId="731CF1AB"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2.3</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70DB5D68"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2.33</w:t>
            </w:r>
          </w:p>
        </w:tc>
        <w:tc>
          <w:tcPr>
            <w:tcW w:w="1077" w:type="dxa"/>
            <w:tcBorders>
              <w:top w:val="nil"/>
              <w:left w:val="nil"/>
              <w:bottom w:val="nil"/>
              <w:right w:val="nil"/>
            </w:tcBorders>
            <w:shd w:val="clear" w:color="auto" w:fill="auto"/>
            <w:noWrap/>
            <w:vAlign w:val="center"/>
            <w:hideMark/>
          </w:tcPr>
          <w:p w14:paraId="2A9B5D1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1.85</w:t>
            </w:r>
          </w:p>
        </w:tc>
        <w:tc>
          <w:tcPr>
            <w:tcW w:w="1078" w:type="dxa"/>
            <w:tcBorders>
              <w:top w:val="nil"/>
              <w:left w:val="nil"/>
              <w:bottom w:val="nil"/>
              <w:right w:val="nil"/>
            </w:tcBorders>
            <w:shd w:val="clear" w:color="auto" w:fill="auto"/>
            <w:noWrap/>
            <w:vAlign w:val="center"/>
            <w:hideMark/>
          </w:tcPr>
          <w:p w14:paraId="254FDE9B" w14:textId="42A7398D"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1.9</w:t>
            </w:r>
            <w:r w:rsidR="00360926" w:rsidRPr="00B41A9C">
              <w:rPr>
                <w:rFonts w:ascii="Arial" w:eastAsia="等线" w:hAnsi="Arial" w:cs="Arial"/>
                <w:color w:val="000000" w:themeColor="text1"/>
                <w:kern w:val="0"/>
                <w:sz w:val="18"/>
                <w:szCs w:val="18"/>
              </w:rPr>
              <w:t>0</w:t>
            </w:r>
          </w:p>
        </w:tc>
        <w:tc>
          <w:tcPr>
            <w:tcW w:w="1335" w:type="dxa"/>
            <w:tcBorders>
              <w:top w:val="nil"/>
              <w:left w:val="nil"/>
              <w:bottom w:val="nil"/>
              <w:right w:val="nil"/>
            </w:tcBorders>
            <w:shd w:val="clear" w:color="auto" w:fill="auto"/>
            <w:noWrap/>
            <w:vAlign w:val="center"/>
            <w:hideMark/>
          </w:tcPr>
          <w:p w14:paraId="041B9536"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100-2150</w:t>
            </w:r>
          </w:p>
        </w:tc>
        <w:tc>
          <w:tcPr>
            <w:tcW w:w="878" w:type="dxa"/>
            <w:tcBorders>
              <w:top w:val="nil"/>
              <w:left w:val="nil"/>
              <w:bottom w:val="nil"/>
              <w:right w:val="nil"/>
            </w:tcBorders>
            <w:shd w:val="clear" w:color="auto" w:fill="auto"/>
            <w:noWrap/>
            <w:vAlign w:val="bottom"/>
            <w:hideMark/>
          </w:tcPr>
          <w:p w14:paraId="3137F53C" w14:textId="08FC669B"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w:t>
            </w:r>
            <w:r w:rsidR="00360926" w:rsidRPr="00B41A9C">
              <w:rPr>
                <w:rFonts w:ascii="Arial" w:eastAsia="等线" w:hAnsi="Arial" w:cs="Arial"/>
                <w:color w:val="000000" w:themeColor="text1"/>
                <w:kern w:val="0"/>
                <w:sz w:val="18"/>
                <w:szCs w:val="18"/>
              </w:rPr>
              <w:t>.0</w:t>
            </w:r>
          </w:p>
        </w:tc>
        <w:tc>
          <w:tcPr>
            <w:tcW w:w="879" w:type="dxa"/>
            <w:tcBorders>
              <w:top w:val="nil"/>
              <w:left w:val="nil"/>
              <w:bottom w:val="nil"/>
              <w:right w:val="nil"/>
            </w:tcBorders>
            <w:shd w:val="clear" w:color="auto" w:fill="auto"/>
            <w:noWrap/>
            <w:vAlign w:val="bottom"/>
            <w:hideMark/>
          </w:tcPr>
          <w:p w14:paraId="4AC7D69D" w14:textId="429BD28E"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11</w:t>
            </w:r>
            <w:r w:rsidR="00360926" w:rsidRPr="00B41A9C">
              <w:rPr>
                <w:rFonts w:ascii="Arial" w:eastAsia="等线" w:hAnsi="Arial" w:cs="Arial"/>
                <w:color w:val="000000" w:themeColor="text1"/>
                <w:kern w:val="0"/>
                <w:sz w:val="18"/>
                <w:szCs w:val="18"/>
              </w:rPr>
              <w:t>.0</w:t>
            </w:r>
          </w:p>
        </w:tc>
      </w:tr>
      <w:tr w:rsidR="008C61A3" w:rsidRPr="008C61A3" w14:paraId="1E9883F1"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46DDD0CE"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Alb, g/L</w:t>
            </w:r>
          </w:p>
        </w:tc>
        <w:tc>
          <w:tcPr>
            <w:tcW w:w="877" w:type="dxa"/>
            <w:tcBorders>
              <w:top w:val="nil"/>
              <w:left w:val="nil"/>
              <w:bottom w:val="nil"/>
              <w:right w:val="nil"/>
            </w:tcBorders>
            <w:shd w:val="clear" w:color="auto" w:fill="auto"/>
            <w:noWrap/>
            <w:vAlign w:val="center"/>
            <w:hideMark/>
          </w:tcPr>
          <w:p w14:paraId="46A05975"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-0.55</w:t>
            </w:r>
          </w:p>
        </w:tc>
        <w:tc>
          <w:tcPr>
            <w:tcW w:w="1077" w:type="dxa"/>
            <w:tcBorders>
              <w:top w:val="nil"/>
              <w:left w:val="nil"/>
              <w:bottom w:val="nil"/>
              <w:right w:val="nil"/>
            </w:tcBorders>
            <w:shd w:val="clear" w:color="auto" w:fill="auto"/>
            <w:noWrap/>
            <w:vAlign w:val="center"/>
            <w:hideMark/>
          </w:tcPr>
          <w:p w14:paraId="1094C98E" w14:textId="28D79FDF"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0.6</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3704FD37"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1.79</w:t>
            </w:r>
          </w:p>
        </w:tc>
        <w:tc>
          <w:tcPr>
            <w:tcW w:w="1077" w:type="dxa"/>
            <w:tcBorders>
              <w:top w:val="nil"/>
              <w:left w:val="nil"/>
              <w:bottom w:val="nil"/>
              <w:right w:val="nil"/>
            </w:tcBorders>
            <w:shd w:val="clear" w:color="auto" w:fill="auto"/>
            <w:noWrap/>
            <w:vAlign w:val="center"/>
            <w:hideMark/>
          </w:tcPr>
          <w:p w14:paraId="5572FC66" w14:textId="6F158D38"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0.8</w:t>
            </w:r>
            <w:r w:rsidR="00360926" w:rsidRPr="00B41A9C">
              <w:rPr>
                <w:rFonts w:ascii="Arial" w:eastAsia="等线" w:hAnsi="Arial" w:cs="Arial"/>
                <w:color w:val="000000" w:themeColor="text1"/>
                <w:kern w:val="0"/>
                <w:sz w:val="18"/>
                <w:szCs w:val="18"/>
              </w:rPr>
              <w:t>0</w:t>
            </w:r>
          </w:p>
        </w:tc>
        <w:tc>
          <w:tcPr>
            <w:tcW w:w="1078" w:type="dxa"/>
            <w:tcBorders>
              <w:top w:val="nil"/>
              <w:left w:val="nil"/>
              <w:bottom w:val="nil"/>
              <w:right w:val="nil"/>
            </w:tcBorders>
            <w:shd w:val="clear" w:color="auto" w:fill="auto"/>
            <w:noWrap/>
            <w:vAlign w:val="center"/>
            <w:hideMark/>
          </w:tcPr>
          <w:p w14:paraId="3749B198" w14:textId="2457B695"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1.2</w:t>
            </w:r>
            <w:r w:rsidR="00360926" w:rsidRPr="00B41A9C">
              <w:rPr>
                <w:rFonts w:ascii="Arial" w:eastAsia="等线" w:hAnsi="Arial" w:cs="Arial"/>
                <w:color w:val="000000" w:themeColor="text1"/>
                <w:kern w:val="0"/>
                <w:sz w:val="18"/>
                <w:szCs w:val="18"/>
              </w:rPr>
              <w:t>0</w:t>
            </w:r>
          </w:p>
        </w:tc>
        <w:tc>
          <w:tcPr>
            <w:tcW w:w="1335" w:type="dxa"/>
            <w:tcBorders>
              <w:top w:val="nil"/>
              <w:left w:val="nil"/>
              <w:bottom w:val="nil"/>
              <w:right w:val="nil"/>
            </w:tcBorders>
            <w:shd w:val="clear" w:color="auto" w:fill="auto"/>
            <w:noWrap/>
            <w:vAlign w:val="center"/>
            <w:hideMark/>
          </w:tcPr>
          <w:p w14:paraId="212ED436"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10.0–60.0</w:t>
            </w:r>
          </w:p>
        </w:tc>
        <w:tc>
          <w:tcPr>
            <w:tcW w:w="878" w:type="dxa"/>
            <w:tcBorders>
              <w:top w:val="nil"/>
              <w:left w:val="nil"/>
              <w:bottom w:val="nil"/>
              <w:right w:val="nil"/>
            </w:tcBorders>
            <w:shd w:val="clear" w:color="auto" w:fill="auto"/>
            <w:noWrap/>
            <w:vAlign w:val="bottom"/>
            <w:hideMark/>
          </w:tcPr>
          <w:p w14:paraId="1C8FD3BE"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2.0</w:t>
            </w:r>
          </w:p>
        </w:tc>
        <w:tc>
          <w:tcPr>
            <w:tcW w:w="879" w:type="dxa"/>
            <w:tcBorders>
              <w:top w:val="nil"/>
              <w:left w:val="nil"/>
              <w:bottom w:val="nil"/>
              <w:right w:val="nil"/>
            </w:tcBorders>
            <w:shd w:val="clear" w:color="auto" w:fill="auto"/>
            <w:noWrap/>
            <w:vAlign w:val="bottom"/>
            <w:hideMark/>
          </w:tcPr>
          <w:p w14:paraId="54BAD55F"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6.0</w:t>
            </w:r>
          </w:p>
        </w:tc>
      </w:tr>
      <w:tr w:rsidR="008C61A3" w:rsidRPr="008C61A3" w14:paraId="0F9915C9"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5C0A73A4"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TP, g/L</w:t>
            </w:r>
          </w:p>
        </w:tc>
        <w:tc>
          <w:tcPr>
            <w:tcW w:w="877" w:type="dxa"/>
            <w:tcBorders>
              <w:top w:val="nil"/>
              <w:left w:val="nil"/>
              <w:bottom w:val="nil"/>
              <w:right w:val="nil"/>
            </w:tcBorders>
            <w:shd w:val="clear" w:color="auto" w:fill="auto"/>
            <w:noWrap/>
            <w:vAlign w:val="center"/>
            <w:hideMark/>
          </w:tcPr>
          <w:p w14:paraId="1803322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-0.12</w:t>
            </w:r>
          </w:p>
        </w:tc>
        <w:tc>
          <w:tcPr>
            <w:tcW w:w="1077" w:type="dxa"/>
            <w:tcBorders>
              <w:top w:val="nil"/>
              <w:left w:val="nil"/>
              <w:bottom w:val="nil"/>
              <w:right w:val="nil"/>
            </w:tcBorders>
            <w:shd w:val="clear" w:color="auto" w:fill="auto"/>
            <w:noWrap/>
            <w:vAlign w:val="center"/>
            <w:hideMark/>
          </w:tcPr>
          <w:p w14:paraId="4DA8826C" w14:textId="1941097C"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1.1</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54A04B2A"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1.66</w:t>
            </w:r>
          </w:p>
        </w:tc>
        <w:tc>
          <w:tcPr>
            <w:tcW w:w="1077" w:type="dxa"/>
            <w:tcBorders>
              <w:top w:val="nil"/>
              <w:left w:val="nil"/>
              <w:bottom w:val="nil"/>
              <w:right w:val="nil"/>
            </w:tcBorders>
            <w:shd w:val="clear" w:color="auto" w:fill="auto"/>
            <w:noWrap/>
            <w:vAlign w:val="center"/>
            <w:hideMark/>
          </w:tcPr>
          <w:p w14:paraId="2470739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1.82</w:t>
            </w:r>
          </w:p>
        </w:tc>
        <w:tc>
          <w:tcPr>
            <w:tcW w:w="1078" w:type="dxa"/>
            <w:tcBorders>
              <w:top w:val="nil"/>
              <w:left w:val="nil"/>
              <w:bottom w:val="nil"/>
              <w:right w:val="nil"/>
            </w:tcBorders>
            <w:shd w:val="clear" w:color="auto" w:fill="auto"/>
            <w:noWrap/>
            <w:vAlign w:val="center"/>
            <w:hideMark/>
          </w:tcPr>
          <w:p w14:paraId="090FE9FD"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2.13</w:t>
            </w:r>
          </w:p>
        </w:tc>
        <w:tc>
          <w:tcPr>
            <w:tcW w:w="1335" w:type="dxa"/>
            <w:tcBorders>
              <w:top w:val="nil"/>
              <w:left w:val="nil"/>
              <w:bottom w:val="nil"/>
              <w:right w:val="nil"/>
            </w:tcBorders>
            <w:shd w:val="clear" w:color="auto" w:fill="auto"/>
            <w:noWrap/>
            <w:vAlign w:val="center"/>
            <w:hideMark/>
          </w:tcPr>
          <w:p w14:paraId="429038DF"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20.0–110.0</w:t>
            </w:r>
          </w:p>
        </w:tc>
        <w:tc>
          <w:tcPr>
            <w:tcW w:w="878" w:type="dxa"/>
            <w:tcBorders>
              <w:top w:val="nil"/>
              <w:left w:val="nil"/>
              <w:bottom w:val="nil"/>
              <w:right w:val="nil"/>
            </w:tcBorders>
            <w:shd w:val="clear" w:color="auto" w:fill="auto"/>
            <w:noWrap/>
            <w:vAlign w:val="bottom"/>
            <w:hideMark/>
          </w:tcPr>
          <w:p w14:paraId="31E29210"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2.0</w:t>
            </w:r>
          </w:p>
        </w:tc>
        <w:tc>
          <w:tcPr>
            <w:tcW w:w="879" w:type="dxa"/>
            <w:tcBorders>
              <w:top w:val="nil"/>
              <w:left w:val="nil"/>
              <w:bottom w:val="nil"/>
              <w:right w:val="nil"/>
            </w:tcBorders>
            <w:shd w:val="clear" w:color="auto" w:fill="auto"/>
            <w:noWrap/>
            <w:vAlign w:val="bottom"/>
            <w:hideMark/>
          </w:tcPr>
          <w:p w14:paraId="5C0A3B7D"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5.0</w:t>
            </w:r>
          </w:p>
        </w:tc>
      </w:tr>
      <w:tr w:rsidR="008C61A3" w:rsidRPr="008C61A3" w14:paraId="676DD172"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7EE57EA8"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TIBC, μmol/L</w:t>
            </w:r>
          </w:p>
        </w:tc>
        <w:tc>
          <w:tcPr>
            <w:tcW w:w="877" w:type="dxa"/>
            <w:tcBorders>
              <w:top w:val="nil"/>
              <w:left w:val="nil"/>
              <w:bottom w:val="nil"/>
              <w:right w:val="nil"/>
            </w:tcBorders>
            <w:shd w:val="clear" w:color="auto" w:fill="auto"/>
            <w:noWrap/>
            <w:vAlign w:val="center"/>
            <w:hideMark/>
          </w:tcPr>
          <w:p w14:paraId="4538ED8A"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-0.47</w:t>
            </w:r>
          </w:p>
        </w:tc>
        <w:tc>
          <w:tcPr>
            <w:tcW w:w="1077" w:type="dxa"/>
            <w:tcBorders>
              <w:top w:val="nil"/>
              <w:left w:val="nil"/>
              <w:bottom w:val="nil"/>
              <w:right w:val="nil"/>
            </w:tcBorders>
            <w:shd w:val="clear" w:color="auto" w:fill="auto"/>
            <w:noWrap/>
            <w:vAlign w:val="center"/>
            <w:hideMark/>
          </w:tcPr>
          <w:p w14:paraId="33FDA060" w14:textId="4C69FDF9"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0.6</w:t>
            </w:r>
            <w:r w:rsidR="00360926" w:rsidRPr="00B41A9C">
              <w:rPr>
                <w:rFonts w:ascii="Arial" w:eastAsia="等线" w:hAnsi="Arial" w:cs="Arial"/>
                <w:color w:val="000000" w:themeColor="text1"/>
                <w:kern w:val="0"/>
                <w:sz w:val="18"/>
                <w:szCs w:val="18"/>
              </w:rPr>
              <w:t>0</w:t>
            </w:r>
          </w:p>
        </w:tc>
        <w:tc>
          <w:tcPr>
            <w:tcW w:w="1077" w:type="dxa"/>
            <w:tcBorders>
              <w:top w:val="nil"/>
              <w:left w:val="nil"/>
              <w:bottom w:val="nil"/>
              <w:right w:val="nil"/>
            </w:tcBorders>
            <w:shd w:val="clear" w:color="auto" w:fill="auto"/>
            <w:noWrap/>
            <w:vAlign w:val="center"/>
            <w:hideMark/>
          </w:tcPr>
          <w:p w14:paraId="23FE432A"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1.79</w:t>
            </w:r>
          </w:p>
        </w:tc>
        <w:tc>
          <w:tcPr>
            <w:tcW w:w="1077" w:type="dxa"/>
            <w:tcBorders>
              <w:top w:val="nil"/>
              <w:left w:val="nil"/>
              <w:bottom w:val="nil"/>
              <w:right w:val="nil"/>
            </w:tcBorders>
            <w:shd w:val="clear" w:color="auto" w:fill="auto"/>
            <w:noWrap/>
            <w:vAlign w:val="center"/>
            <w:hideMark/>
          </w:tcPr>
          <w:p w14:paraId="6C637640"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0.98</w:t>
            </w:r>
          </w:p>
        </w:tc>
        <w:tc>
          <w:tcPr>
            <w:tcW w:w="1078" w:type="dxa"/>
            <w:tcBorders>
              <w:top w:val="nil"/>
              <w:left w:val="nil"/>
              <w:bottom w:val="nil"/>
              <w:right w:val="nil"/>
            </w:tcBorders>
            <w:shd w:val="clear" w:color="auto" w:fill="auto"/>
            <w:noWrap/>
            <w:vAlign w:val="center"/>
            <w:hideMark/>
          </w:tcPr>
          <w:p w14:paraId="3EBC66D7" w14:textId="54043C3B"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2.2</w:t>
            </w:r>
            <w:r w:rsidR="00360926" w:rsidRPr="00B41A9C">
              <w:rPr>
                <w:rFonts w:ascii="Arial" w:eastAsia="等线" w:hAnsi="Arial" w:cs="Arial"/>
                <w:color w:val="000000" w:themeColor="text1"/>
                <w:kern w:val="0"/>
                <w:sz w:val="18"/>
                <w:szCs w:val="18"/>
              </w:rPr>
              <w:t>0</w:t>
            </w:r>
          </w:p>
        </w:tc>
        <w:tc>
          <w:tcPr>
            <w:tcW w:w="1335" w:type="dxa"/>
            <w:tcBorders>
              <w:top w:val="nil"/>
              <w:left w:val="nil"/>
              <w:bottom w:val="nil"/>
              <w:right w:val="nil"/>
            </w:tcBorders>
            <w:shd w:val="clear" w:color="auto" w:fill="auto"/>
            <w:noWrap/>
            <w:vAlign w:val="center"/>
            <w:hideMark/>
          </w:tcPr>
          <w:p w14:paraId="5CC22E08"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15.2–116.4</w:t>
            </w:r>
          </w:p>
        </w:tc>
        <w:tc>
          <w:tcPr>
            <w:tcW w:w="878" w:type="dxa"/>
            <w:tcBorders>
              <w:top w:val="nil"/>
              <w:left w:val="nil"/>
              <w:bottom w:val="nil"/>
              <w:right w:val="nil"/>
            </w:tcBorders>
            <w:shd w:val="clear" w:color="auto" w:fill="auto"/>
            <w:noWrap/>
            <w:vAlign w:val="bottom"/>
            <w:hideMark/>
          </w:tcPr>
          <w:p w14:paraId="206CC046"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3.0</w:t>
            </w:r>
          </w:p>
        </w:tc>
        <w:tc>
          <w:tcPr>
            <w:tcW w:w="879" w:type="dxa"/>
            <w:tcBorders>
              <w:top w:val="nil"/>
              <w:left w:val="nil"/>
              <w:bottom w:val="nil"/>
              <w:right w:val="nil"/>
            </w:tcBorders>
            <w:shd w:val="clear" w:color="auto" w:fill="auto"/>
            <w:noWrap/>
            <w:vAlign w:val="bottom"/>
            <w:hideMark/>
          </w:tcPr>
          <w:p w14:paraId="07190F55" w14:textId="77777777"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8.0</w:t>
            </w:r>
          </w:p>
        </w:tc>
      </w:tr>
      <w:tr w:rsidR="008C61A3" w:rsidRPr="008C61A3" w14:paraId="1FC1ED48" w14:textId="77777777" w:rsidTr="00B22DC5">
        <w:trPr>
          <w:trHeight w:val="280"/>
        </w:trPr>
        <w:tc>
          <w:tcPr>
            <w:tcW w:w="1618" w:type="dxa"/>
            <w:gridSpan w:val="2"/>
            <w:tcBorders>
              <w:top w:val="nil"/>
              <w:left w:val="nil"/>
              <w:bottom w:val="nil"/>
              <w:right w:val="nil"/>
            </w:tcBorders>
            <w:shd w:val="clear" w:color="auto" w:fill="auto"/>
            <w:noWrap/>
            <w:vAlign w:val="bottom"/>
            <w:hideMark/>
          </w:tcPr>
          <w:p w14:paraId="7B08EAA3"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TCHO, mmol/l</w:t>
            </w:r>
          </w:p>
        </w:tc>
        <w:tc>
          <w:tcPr>
            <w:tcW w:w="877" w:type="dxa"/>
            <w:tcBorders>
              <w:top w:val="nil"/>
              <w:left w:val="nil"/>
              <w:bottom w:val="nil"/>
              <w:right w:val="nil"/>
            </w:tcBorders>
            <w:shd w:val="clear" w:color="auto" w:fill="auto"/>
            <w:noWrap/>
            <w:vAlign w:val="center"/>
            <w:hideMark/>
          </w:tcPr>
          <w:p w14:paraId="201E6275" w14:textId="46089ACC" w:rsidR="008C61A3" w:rsidRPr="00B41A9C" w:rsidRDefault="00360926"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1.50</w:t>
            </w:r>
          </w:p>
        </w:tc>
        <w:tc>
          <w:tcPr>
            <w:tcW w:w="1077" w:type="dxa"/>
            <w:tcBorders>
              <w:top w:val="nil"/>
              <w:left w:val="nil"/>
              <w:bottom w:val="nil"/>
              <w:right w:val="nil"/>
            </w:tcBorders>
            <w:shd w:val="clear" w:color="auto" w:fill="auto"/>
            <w:noWrap/>
            <w:vAlign w:val="center"/>
            <w:hideMark/>
          </w:tcPr>
          <w:p w14:paraId="48B3E411"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0.81</w:t>
            </w:r>
          </w:p>
        </w:tc>
        <w:tc>
          <w:tcPr>
            <w:tcW w:w="1077" w:type="dxa"/>
            <w:tcBorders>
              <w:top w:val="nil"/>
              <w:left w:val="nil"/>
              <w:bottom w:val="nil"/>
              <w:right w:val="nil"/>
            </w:tcBorders>
            <w:shd w:val="clear" w:color="auto" w:fill="auto"/>
            <w:noWrap/>
            <w:vAlign w:val="center"/>
            <w:hideMark/>
          </w:tcPr>
          <w:p w14:paraId="3841378B"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1.62</w:t>
            </w:r>
          </w:p>
        </w:tc>
        <w:tc>
          <w:tcPr>
            <w:tcW w:w="1077" w:type="dxa"/>
            <w:tcBorders>
              <w:top w:val="nil"/>
              <w:left w:val="nil"/>
              <w:bottom w:val="nil"/>
              <w:right w:val="nil"/>
            </w:tcBorders>
            <w:shd w:val="clear" w:color="auto" w:fill="auto"/>
            <w:noWrap/>
            <w:vAlign w:val="center"/>
            <w:hideMark/>
          </w:tcPr>
          <w:p w14:paraId="38FCA165"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0.62</w:t>
            </w:r>
          </w:p>
        </w:tc>
        <w:tc>
          <w:tcPr>
            <w:tcW w:w="1078" w:type="dxa"/>
            <w:tcBorders>
              <w:top w:val="nil"/>
              <w:left w:val="nil"/>
              <w:bottom w:val="nil"/>
              <w:right w:val="nil"/>
            </w:tcBorders>
            <w:shd w:val="clear" w:color="auto" w:fill="auto"/>
            <w:noWrap/>
            <w:vAlign w:val="center"/>
            <w:hideMark/>
          </w:tcPr>
          <w:p w14:paraId="4EC8679F"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1.72</w:t>
            </w:r>
          </w:p>
        </w:tc>
        <w:tc>
          <w:tcPr>
            <w:tcW w:w="1335" w:type="dxa"/>
            <w:tcBorders>
              <w:top w:val="nil"/>
              <w:left w:val="nil"/>
              <w:bottom w:val="nil"/>
              <w:right w:val="nil"/>
            </w:tcBorders>
            <w:shd w:val="clear" w:color="auto" w:fill="auto"/>
            <w:noWrap/>
            <w:vAlign w:val="center"/>
            <w:hideMark/>
          </w:tcPr>
          <w:p w14:paraId="793C26FC"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1.29-8.40</w:t>
            </w:r>
          </w:p>
        </w:tc>
        <w:tc>
          <w:tcPr>
            <w:tcW w:w="878" w:type="dxa"/>
            <w:tcBorders>
              <w:top w:val="nil"/>
              <w:left w:val="nil"/>
              <w:bottom w:val="nil"/>
              <w:right w:val="nil"/>
            </w:tcBorders>
            <w:shd w:val="clear" w:color="auto" w:fill="auto"/>
            <w:noWrap/>
            <w:vAlign w:val="bottom"/>
            <w:hideMark/>
          </w:tcPr>
          <w:p w14:paraId="13B084CA" w14:textId="4AFA2A09"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w:t>
            </w:r>
            <w:r w:rsidR="00360926" w:rsidRPr="00B41A9C">
              <w:rPr>
                <w:rFonts w:ascii="Arial" w:eastAsia="等线" w:hAnsi="Arial" w:cs="Arial"/>
                <w:color w:val="000000" w:themeColor="text1"/>
                <w:kern w:val="0"/>
                <w:sz w:val="18"/>
                <w:szCs w:val="18"/>
              </w:rPr>
              <w:t>.0</w:t>
            </w:r>
          </w:p>
        </w:tc>
        <w:tc>
          <w:tcPr>
            <w:tcW w:w="879" w:type="dxa"/>
            <w:tcBorders>
              <w:top w:val="nil"/>
              <w:left w:val="nil"/>
              <w:bottom w:val="nil"/>
              <w:right w:val="nil"/>
            </w:tcBorders>
            <w:shd w:val="clear" w:color="auto" w:fill="auto"/>
            <w:noWrap/>
            <w:vAlign w:val="bottom"/>
            <w:hideMark/>
          </w:tcPr>
          <w:p w14:paraId="75E2FAF1" w14:textId="73911E4D"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9</w:t>
            </w:r>
            <w:r w:rsidR="00360926" w:rsidRPr="00B41A9C">
              <w:rPr>
                <w:rFonts w:ascii="Arial" w:eastAsia="等线" w:hAnsi="Arial" w:cs="Arial"/>
                <w:color w:val="000000" w:themeColor="text1"/>
                <w:kern w:val="0"/>
                <w:sz w:val="18"/>
                <w:szCs w:val="18"/>
              </w:rPr>
              <w:t>.0</w:t>
            </w:r>
          </w:p>
        </w:tc>
      </w:tr>
      <w:tr w:rsidR="008C61A3" w:rsidRPr="008C61A3" w14:paraId="09DC975B" w14:textId="77777777" w:rsidTr="00B22DC5">
        <w:trPr>
          <w:trHeight w:val="280"/>
        </w:trPr>
        <w:tc>
          <w:tcPr>
            <w:tcW w:w="1618" w:type="dxa"/>
            <w:gridSpan w:val="2"/>
            <w:tcBorders>
              <w:top w:val="nil"/>
              <w:left w:val="nil"/>
              <w:right w:val="nil"/>
            </w:tcBorders>
            <w:shd w:val="clear" w:color="auto" w:fill="auto"/>
            <w:noWrap/>
            <w:vAlign w:val="bottom"/>
            <w:hideMark/>
          </w:tcPr>
          <w:p w14:paraId="6DB8B533"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HDL-C, mmol/l</w:t>
            </w:r>
          </w:p>
        </w:tc>
        <w:tc>
          <w:tcPr>
            <w:tcW w:w="877" w:type="dxa"/>
            <w:tcBorders>
              <w:top w:val="nil"/>
              <w:left w:val="nil"/>
              <w:right w:val="nil"/>
            </w:tcBorders>
            <w:shd w:val="clear" w:color="auto" w:fill="auto"/>
            <w:noWrap/>
            <w:vAlign w:val="center"/>
            <w:hideMark/>
          </w:tcPr>
          <w:p w14:paraId="620C61C2" w14:textId="3B9CB47C"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2.6</w:t>
            </w:r>
            <w:r w:rsidR="00360926" w:rsidRPr="00B41A9C">
              <w:rPr>
                <w:rFonts w:ascii="Arial" w:eastAsia="等线" w:hAnsi="Arial" w:cs="Arial"/>
                <w:color w:val="000000" w:themeColor="text1"/>
                <w:kern w:val="0"/>
                <w:sz w:val="18"/>
                <w:szCs w:val="18"/>
              </w:rPr>
              <w:t>0</w:t>
            </w:r>
          </w:p>
        </w:tc>
        <w:tc>
          <w:tcPr>
            <w:tcW w:w="1077" w:type="dxa"/>
            <w:tcBorders>
              <w:top w:val="nil"/>
              <w:left w:val="nil"/>
              <w:right w:val="nil"/>
            </w:tcBorders>
            <w:shd w:val="clear" w:color="auto" w:fill="auto"/>
            <w:noWrap/>
            <w:vAlign w:val="center"/>
            <w:hideMark/>
          </w:tcPr>
          <w:p w14:paraId="100F2F9D" w14:textId="05C4C3E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w:t>
            </w:r>
            <w:r w:rsidR="00360926" w:rsidRPr="00B41A9C">
              <w:rPr>
                <w:rFonts w:ascii="Arial" w:eastAsia="等线" w:hAnsi="Arial" w:cs="Arial"/>
                <w:color w:val="000000" w:themeColor="text1"/>
                <w:kern w:val="0"/>
                <w:sz w:val="18"/>
                <w:szCs w:val="18"/>
              </w:rPr>
              <w:t>.00</w:t>
            </w:r>
          </w:p>
        </w:tc>
        <w:tc>
          <w:tcPr>
            <w:tcW w:w="1077" w:type="dxa"/>
            <w:tcBorders>
              <w:top w:val="nil"/>
              <w:left w:val="nil"/>
              <w:right w:val="nil"/>
            </w:tcBorders>
            <w:shd w:val="clear" w:color="auto" w:fill="auto"/>
            <w:noWrap/>
            <w:vAlign w:val="center"/>
            <w:hideMark/>
          </w:tcPr>
          <w:p w14:paraId="31A24F3C" w14:textId="689C3A00"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3</w:t>
            </w:r>
            <w:r w:rsidR="00360926" w:rsidRPr="00B41A9C">
              <w:rPr>
                <w:rFonts w:ascii="Arial" w:eastAsia="等线" w:hAnsi="Arial" w:cs="Arial"/>
                <w:color w:val="000000" w:themeColor="text1"/>
                <w:kern w:val="0"/>
                <w:sz w:val="18"/>
                <w:szCs w:val="18"/>
              </w:rPr>
              <w:t>.00</w:t>
            </w:r>
          </w:p>
        </w:tc>
        <w:tc>
          <w:tcPr>
            <w:tcW w:w="1077" w:type="dxa"/>
            <w:tcBorders>
              <w:top w:val="nil"/>
              <w:left w:val="nil"/>
              <w:right w:val="nil"/>
            </w:tcBorders>
            <w:shd w:val="clear" w:color="auto" w:fill="auto"/>
            <w:noWrap/>
            <w:vAlign w:val="center"/>
            <w:hideMark/>
          </w:tcPr>
          <w:p w14:paraId="3AC6894A"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1.49</w:t>
            </w:r>
          </w:p>
        </w:tc>
        <w:tc>
          <w:tcPr>
            <w:tcW w:w="1078" w:type="dxa"/>
            <w:tcBorders>
              <w:top w:val="nil"/>
              <w:left w:val="nil"/>
              <w:right w:val="nil"/>
            </w:tcBorders>
            <w:shd w:val="clear" w:color="auto" w:fill="auto"/>
            <w:noWrap/>
            <w:vAlign w:val="center"/>
            <w:hideMark/>
          </w:tcPr>
          <w:p w14:paraId="6D8DA336"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2.23</w:t>
            </w:r>
          </w:p>
        </w:tc>
        <w:tc>
          <w:tcPr>
            <w:tcW w:w="1335" w:type="dxa"/>
            <w:tcBorders>
              <w:top w:val="nil"/>
              <w:left w:val="nil"/>
              <w:right w:val="nil"/>
            </w:tcBorders>
            <w:shd w:val="clear" w:color="auto" w:fill="auto"/>
            <w:noWrap/>
            <w:vAlign w:val="center"/>
            <w:hideMark/>
          </w:tcPr>
          <w:p w14:paraId="6DBB4BD2"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0.13-2.84</w:t>
            </w:r>
          </w:p>
        </w:tc>
        <w:tc>
          <w:tcPr>
            <w:tcW w:w="878" w:type="dxa"/>
            <w:tcBorders>
              <w:top w:val="nil"/>
              <w:left w:val="nil"/>
              <w:right w:val="nil"/>
            </w:tcBorders>
            <w:shd w:val="clear" w:color="auto" w:fill="auto"/>
            <w:noWrap/>
            <w:vAlign w:val="bottom"/>
            <w:hideMark/>
          </w:tcPr>
          <w:p w14:paraId="4558A535" w14:textId="4BF03BF0"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4</w:t>
            </w:r>
            <w:r w:rsidR="00360926" w:rsidRPr="00B41A9C">
              <w:rPr>
                <w:rFonts w:ascii="Arial" w:eastAsia="等线" w:hAnsi="Arial" w:cs="Arial"/>
                <w:color w:val="000000" w:themeColor="text1"/>
                <w:kern w:val="0"/>
                <w:sz w:val="18"/>
                <w:szCs w:val="18"/>
              </w:rPr>
              <w:t>.0</w:t>
            </w:r>
          </w:p>
        </w:tc>
        <w:tc>
          <w:tcPr>
            <w:tcW w:w="879" w:type="dxa"/>
            <w:tcBorders>
              <w:top w:val="nil"/>
              <w:left w:val="nil"/>
              <w:right w:val="nil"/>
            </w:tcBorders>
            <w:shd w:val="clear" w:color="auto" w:fill="auto"/>
            <w:noWrap/>
            <w:vAlign w:val="bottom"/>
            <w:hideMark/>
          </w:tcPr>
          <w:p w14:paraId="74C6CE13" w14:textId="596DC1A5"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9</w:t>
            </w:r>
            <w:r w:rsidR="00360926" w:rsidRPr="00B41A9C">
              <w:rPr>
                <w:rFonts w:ascii="Arial" w:eastAsia="等线" w:hAnsi="Arial" w:cs="Arial"/>
                <w:color w:val="000000" w:themeColor="text1"/>
                <w:kern w:val="0"/>
                <w:sz w:val="18"/>
                <w:szCs w:val="18"/>
              </w:rPr>
              <w:t>.0</w:t>
            </w:r>
          </w:p>
        </w:tc>
      </w:tr>
      <w:tr w:rsidR="008C61A3" w:rsidRPr="008C61A3" w14:paraId="7AA779D5" w14:textId="77777777" w:rsidTr="00B22DC5">
        <w:trPr>
          <w:trHeight w:val="280"/>
        </w:trPr>
        <w:tc>
          <w:tcPr>
            <w:tcW w:w="1618" w:type="dxa"/>
            <w:gridSpan w:val="2"/>
            <w:tcBorders>
              <w:top w:val="nil"/>
              <w:left w:val="nil"/>
              <w:bottom w:val="single" w:sz="12" w:space="0" w:color="auto"/>
              <w:right w:val="nil"/>
            </w:tcBorders>
            <w:shd w:val="clear" w:color="auto" w:fill="auto"/>
            <w:noWrap/>
            <w:vAlign w:val="bottom"/>
            <w:hideMark/>
          </w:tcPr>
          <w:p w14:paraId="6EA739A0" w14:textId="77777777" w:rsidR="008C61A3" w:rsidRPr="00B41A9C" w:rsidRDefault="008C61A3" w:rsidP="008C61A3">
            <w:pPr>
              <w:widowControl/>
              <w:jc w:val="lef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TRIG, mmol/l</w:t>
            </w:r>
          </w:p>
        </w:tc>
        <w:tc>
          <w:tcPr>
            <w:tcW w:w="877" w:type="dxa"/>
            <w:tcBorders>
              <w:top w:val="nil"/>
              <w:left w:val="nil"/>
              <w:bottom w:val="single" w:sz="12" w:space="0" w:color="auto"/>
              <w:right w:val="nil"/>
            </w:tcBorders>
            <w:shd w:val="clear" w:color="auto" w:fill="auto"/>
            <w:noWrap/>
            <w:vAlign w:val="center"/>
            <w:hideMark/>
          </w:tcPr>
          <w:p w14:paraId="205A987A" w14:textId="39C9E9CD"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2</w:t>
            </w:r>
            <w:r w:rsidR="00360926" w:rsidRPr="00B41A9C">
              <w:rPr>
                <w:rFonts w:ascii="Arial" w:eastAsia="等线" w:hAnsi="Arial" w:cs="Arial"/>
                <w:color w:val="000000" w:themeColor="text1"/>
                <w:kern w:val="0"/>
                <w:sz w:val="18"/>
                <w:szCs w:val="18"/>
              </w:rPr>
              <w:t>.00</w:t>
            </w:r>
          </w:p>
        </w:tc>
        <w:tc>
          <w:tcPr>
            <w:tcW w:w="1077" w:type="dxa"/>
            <w:tcBorders>
              <w:top w:val="nil"/>
              <w:left w:val="nil"/>
              <w:bottom w:val="single" w:sz="12" w:space="0" w:color="auto"/>
              <w:right w:val="nil"/>
            </w:tcBorders>
            <w:shd w:val="clear" w:color="auto" w:fill="auto"/>
            <w:noWrap/>
            <w:vAlign w:val="center"/>
            <w:hideMark/>
          </w:tcPr>
          <w:p w14:paraId="4E9842C8"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0.84</w:t>
            </w:r>
          </w:p>
        </w:tc>
        <w:tc>
          <w:tcPr>
            <w:tcW w:w="1077" w:type="dxa"/>
            <w:tcBorders>
              <w:top w:val="nil"/>
              <w:left w:val="nil"/>
              <w:bottom w:val="single" w:sz="12" w:space="0" w:color="auto"/>
              <w:right w:val="nil"/>
            </w:tcBorders>
            <w:shd w:val="clear" w:color="auto" w:fill="auto"/>
            <w:noWrap/>
            <w:vAlign w:val="center"/>
            <w:hideMark/>
          </w:tcPr>
          <w:p w14:paraId="4246D0EB"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1.68</w:t>
            </w:r>
          </w:p>
        </w:tc>
        <w:tc>
          <w:tcPr>
            <w:tcW w:w="1077" w:type="dxa"/>
            <w:tcBorders>
              <w:top w:val="nil"/>
              <w:left w:val="nil"/>
              <w:bottom w:val="single" w:sz="12" w:space="0" w:color="auto"/>
              <w:right w:val="nil"/>
            </w:tcBorders>
            <w:shd w:val="clear" w:color="auto" w:fill="auto"/>
            <w:noWrap/>
            <w:vAlign w:val="center"/>
            <w:hideMark/>
          </w:tcPr>
          <w:p w14:paraId="31C98E2E" w14:textId="03890BF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0.9</w:t>
            </w:r>
            <w:r w:rsidR="00360926" w:rsidRPr="00B41A9C">
              <w:rPr>
                <w:rFonts w:ascii="Arial" w:eastAsia="等线" w:hAnsi="Arial" w:cs="Arial"/>
                <w:color w:val="000000" w:themeColor="text1"/>
                <w:kern w:val="0"/>
                <w:sz w:val="18"/>
                <w:szCs w:val="18"/>
              </w:rPr>
              <w:t>0</w:t>
            </w:r>
          </w:p>
        </w:tc>
        <w:tc>
          <w:tcPr>
            <w:tcW w:w="1078" w:type="dxa"/>
            <w:tcBorders>
              <w:top w:val="nil"/>
              <w:left w:val="nil"/>
              <w:bottom w:val="single" w:sz="12" w:space="0" w:color="auto"/>
              <w:right w:val="nil"/>
            </w:tcBorders>
            <w:shd w:val="clear" w:color="auto" w:fill="auto"/>
            <w:noWrap/>
            <w:vAlign w:val="center"/>
            <w:hideMark/>
          </w:tcPr>
          <w:p w14:paraId="1C604724"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1.32</w:t>
            </w:r>
          </w:p>
        </w:tc>
        <w:tc>
          <w:tcPr>
            <w:tcW w:w="1335" w:type="dxa"/>
            <w:tcBorders>
              <w:top w:val="nil"/>
              <w:left w:val="nil"/>
              <w:bottom w:val="single" w:sz="12" w:space="0" w:color="auto"/>
              <w:right w:val="nil"/>
            </w:tcBorders>
            <w:shd w:val="clear" w:color="auto" w:fill="auto"/>
            <w:noWrap/>
            <w:vAlign w:val="center"/>
            <w:hideMark/>
          </w:tcPr>
          <w:p w14:paraId="3495EE0B" w14:textId="77777777" w:rsidR="008C61A3" w:rsidRPr="00B41A9C" w:rsidRDefault="008C61A3" w:rsidP="008C61A3">
            <w:pPr>
              <w:widowControl/>
              <w:jc w:val="right"/>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0.11–5.93</w:t>
            </w:r>
          </w:p>
        </w:tc>
        <w:tc>
          <w:tcPr>
            <w:tcW w:w="878" w:type="dxa"/>
            <w:tcBorders>
              <w:top w:val="nil"/>
              <w:left w:val="nil"/>
              <w:bottom w:val="single" w:sz="12" w:space="0" w:color="auto"/>
              <w:right w:val="nil"/>
            </w:tcBorders>
            <w:shd w:val="clear" w:color="auto" w:fill="auto"/>
            <w:noWrap/>
            <w:vAlign w:val="bottom"/>
            <w:hideMark/>
          </w:tcPr>
          <w:p w14:paraId="76D9FE26" w14:textId="39848F28"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5</w:t>
            </w:r>
            <w:r w:rsidR="00360926" w:rsidRPr="00B41A9C">
              <w:rPr>
                <w:rFonts w:ascii="Arial" w:eastAsia="等线" w:hAnsi="Arial" w:cs="Arial"/>
                <w:color w:val="000000" w:themeColor="text1"/>
                <w:kern w:val="0"/>
                <w:sz w:val="18"/>
                <w:szCs w:val="18"/>
              </w:rPr>
              <w:t>.0</w:t>
            </w:r>
          </w:p>
        </w:tc>
        <w:tc>
          <w:tcPr>
            <w:tcW w:w="879" w:type="dxa"/>
            <w:tcBorders>
              <w:top w:val="nil"/>
              <w:left w:val="nil"/>
              <w:bottom w:val="single" w:sz="12" w:space="0" w:color="auto"/>
              <w:right w:val="nil"/>
            </w:tcBorders>
            <w:shd w:val="clear" w:color="auto" w:fill="auto"/>
            <w:noWrap/>
            <w:vAlign w:val="bottom"/>
            <w:hideMark/>
          </w:tcPr>
          <w:p w14:paraId="23F7F610" w14:textId="7503E92C" w:rsidR="008C61A3" w:rsidRPr="00B41A9C" w:rsidRDefault="008C61A3" w:rsidP="008C61A3">
            <w:pPr>
              <w:widowControl/>
              <w:jc w:val="center"/>
              <w:rPr>
                <w:rFonts w:ascii="Arial" w:eastAsia="等线" w:hAnsi="Arial" w:cs="Arial"/>
                <w:color w:val="000000" w:themeColor="text1"/>
                <w:kern w:val="0"/>
                <w:sz w:val="18"/>
                <w:szCs w:val="18"/>
              </w:rPr>
            </w:pPr>
            <w:r w:rsidRPr="00B41A9C">
              <w:rPr>
                <w:rFonts w:ascii="Arial" w:eastAsia="等线" w:hAnsi="Arial" w:cs="Arial"/>
                <w:color w:val="000000" w:themeColor="text1"/>
                <w:kern w:val="0"/>
                <w:sz w:val="18"/>
                <w:szCs w:val="18"/>
              </w:rPr>
              <w:t>14</w:t>
            </w:r>
            <w:r w:rsidR="00360926" w:rsidRPr="00B41A9C">
              <w:rPr>
                <w:rFonts w:ascii="Arial" w:eastAsia="等线" w:hAnsi="Arial" w:cs="Arial"/>
                <w:color w:val="000000" w:themeColor="text1"/>
                <w:kern w:val="0"/>
                <w:sz w:val="18"/>
                <w:szCs w:val="18"/>
              </w:rPr>
              <w:t>.0</w:t>
            </w:r>
          </w:p>
        </w:tc>
      </w:tr>
    </w:tbl>
    <w:p w14:paraId="3FD66A42" w14:textId="4F24D5F6" w:rsidR="007A7BCC" w:rsidRPr="00B22DC5" w:rsidRDefault="00B22DC5" w:rsidP="004E5103">
      <w:r w:rsidRPr="00B22DC5">
        <w:t>*</w:t>
      </w:r>
      <w:r w:rsidR="004C0C60" w:rsidRPr="00B22DC5">
        <w:t>Bias and total error</w:t>
      </w:r>
      <w:r w:rsidR="007E3203">
        <w:t>(TE)</w:t>
      </w:r>
      <w:r w:rsidR="004C0C60" w:rsidRPr="00B22DC5">
        <w:t xml:space="preserve"> criteria are from Analytical quality specification for routine analytes in clinical biochemistry published by the Ministry of Health of the People’s Republic of China; due to lack of criteria for </w:t>
      </w:r>
      <w:r w:rsidR="007E3203">
        <w:t>B</w:t>
      </w:r>
      <w:r w:rsidR="007E3203">
        <w:rPr>
          <w:rFonts w:hint="eastAsia"/>
        </w:rPr>
        <w:t>u</w:t>
      </w:r>
      <w:r w:rsidR="007E3203">
        <w:t xml:space="preserve">, </w:t>
      </w:r>
      <w:r w:rsidR="004C0C60" w:rsidRPr="00B22DC5">
        <w:t>CKMB,</w:t>
      </w:r>
      <w:r w:rsidR="007E3203" w:rsidRPr="007E3203">
        <w:rPr>
          <w:rFonts w:eastAsia="等线"/>
          <w:color w:val="000000"/>
          <w:kern w:val="0"/>
        </w:rPr>
        <w:t xml:space="preserve"> </w:t>
      </w:r>
      <w:r w:rsidR="007E3203" w:rsidRPr="008C61A3">
        <w:rPr>
          <w:rFonts w:eastAsia="等线"/>
          <w:color w:val="000000"/>
          <w:kern w:val="0"/>
        </w:rPr>
        <w:t>CO</w:t>
      </w:r>
      <w:r w:rsidR="007E3203" w:rsidRPr="008C61A3">
        <w:rPr>
          <w:rFonts w:eastAsia="等线"/>
          <w:color w:val="000000"/>
          <w:kern w:val="0"/>
          <w:vertAlign w:val="subscript"/>
        </w:rPr>
        <w:t>2</w:t>
      </w:r>
      <w:r w:rsidR="007E3203">
        <w:rPr>
          <w:rFonts w:eastAsia="等线"/>
          <w:color w:val="000000"/>
          <w:kern w:val="0"/>
          <w:vertAlign w:val="subscript"/>
        </w:rPr>
        <w:t>,</w:t>
      </w:r>
      <w:r w:rsidR="007E3203" w:rsidRPr="007E3203">
        <w:rPr>
          <w:rFonts w:eastAsia="等线"/>
          <w:color w:val="000000"/>
          <w:kern w:val="0"/>
        </w:rPr>
        <w:t xml:space="preserve"> </w:t>
      </w:r>
      <w:r w:rsidR="007E3203" w:rsidRPr="008C61A3">
        <w:rPr>
          <w:rFonts w:eastAsia="等线"/>
          <w:color w:val="000000"/>
          <w:kern w:val="0"/>
        </w:rPr>
        <w:t>CHE</w:t>
      </w:r>
      <w:r w:rsidR="007E3203">
        <w:rPr>
          <w:rFonts w:eastAsia="等线"/>
          <w:color w:val="000000"/>
          <w:kern w:val="0"/>
        </w:rPr>
        <w:t xml:space="preserve"> and</w:t>
      </w:r>
      <w:r w:rsidR="007E3203" w:rsidRPr="007E3203">
        <w:t xml:space="preserve"> </w:t>
      </w:r>
      <w:r w:rsidR="007E3203" w:rsidRPr="007E3203">
        <w:rPr>
          <w:rFonts w:eastAsia="等线"/>
          <w:color w:val="000000"/>
          <w:kern w:val="0"/>
        </w:rPr>
        <w:t>TIBC</w:t>
      </w:r>
      <w:r w:rsidR="007E3203">
        <w:rPr>
          <w:rFonts w:eastAsia="等线"/>
          <w:color w:val="000000"/>
          <w:kern w:val="0"/>
        </w:rPr>
        <w:t>,</w:t>
      </w:r>
      <w:r w:rsidR="004C0C60" w:rsidRPr="00B22DC5">
        <w:t xml:space="preserve"> bias and TE were recommended by our own clinical laboratory. Coefficient of variation (CV) for within-day precision should be&lt;1/4</w:t>
      </w:r>
      <w:r w:rsidR="007E3203">
        <w:t xml:space="preserve"> </w:t>
      </w:r>
      <w:r w:rsidR="004C0C60" w:rsidRPr="00B22DC5">
        <w:t>TE, and CV for between-day precision should be&lt;1/3</w:t>
      </w:r>
      <w:r w:rsidR="007E3203">
        <w:t xml:space="preserve"> </w:t>
      </w:r>
      <w:r w:rsidR="004C0C60" w:rsidRPr="00B22DC5">
        <w:t>TE according to Guidance on the Application of Accreditation Criteria for the Medical Laboratory Quality and Competence in the Field of Clinical Chemistry published by the China National Accreditation Service for Conformity Assessment.</w:t>
      </w:r>
    </w:p>
    <w:sectPr w:rsidR="007A7BCC" w:rsidRPr="00B22DC5" w:rsidSect="00B22DC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89903" w14:textId="77777777" w:rsidR="009F2C9C" w:rsidRDefault="009F2C9C" w:rsidP="008C61A3">
      <w:r>
        <w:separator/>
      </w:r>
    </w:p>
  </w:endnote>
  <w:endnote w:type="continuationSeparator" w:id="0">
    <w:p w14:paraId="20647745" w14:textId="77777777" w:rsidR="009F2C9C" w:rsidRDefault="009F2C9C" w:rsidP="008C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D39B4" w14:textId="77777777" w:rsidR="009F2C9C" w:rsidRDefault="009F2C9C" w:rsidP="008C61A3">
      <w:r>
        <w:separator/>
      </w:r>
    </w:p>
  </w:footnote>
  <w:footnote w:type="continuationSeparator" w:id="0">
    <w:p w14:paraId="6402E684" w14:textId="77777777" w:rsidR="009F2C9C" w:rsidRDefault="009F2C9C" w:rsidP="008C6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1A"/>
    <w:rsid w:val="00017B2C"/>
    <w:rsid w:val="00360926"/>
    <w:rsid w:val="004C0C60"/>
    <w:rsid w:val="004E5103"/>
    <w:rsid w:val="007A7BCC"/>
    <w:rsid w:val="007B6ED9"/>
    <w:rsid w:val="007E3203"/>
    <w:rsid w:val="008C61A3"/>
    <w:rsid w:val="009F2C9C"/>
    <w:rsid w:val="00B22DC5"/>
    <w:rsid w:val="00B41A9C"/>
    <w:rsid w:val="00B6531A"/>
    <w:rsid w:val="00D56A99"/>
    <w:rsid w:val="00ED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05EF89"/>
  <w15:chartTrackingRefBased/>
  <w15:docId w15:val="{CA1788D3-55CF-4EA4-BD18-14BF843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1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61A3"/>
    <w:rPr>
      <w:sz w:val="18"/>
      <w:szCs w:val="18"/>
    </w:rPr>
  </w:style>
  <w:style w:type="paragraph" w:styleId="a5">
    <w:name w:val="footer"/>
    <w:basedOn w:val="a"/>
    <w:link w:val="a6"/>
    <w:uiPriority w:val="99"/>
    <w:unhideWhenUsed/>
    <w:rsid w:val="008C61A3"/>
    <w:pPr>
      <w:tabs>
        <w:tab w:val="center" w:pos="4153"/>
        <w:tab w:val="right" w:pos="8306"/>
      </w:tabs>
      <w:snapToGrid w:val="0"/>
      <w:jc w:val="left"/>
    </w:pPr>
    <w:rPr>
      <w:sz w:val="18"/>
      <w:szCs w:val="18"/>
    </w:rPr>
  </w:style>
  <w:style w:type="character" w:customStyle="1" w:styleId="a6">
    <w:name w:val="页脚 字符"/>
    <w:basedOn w:val="a0"/>
    <w:link w:val="a5"/>
    <w:uiPriority w:val="99"/>
    <w:rsid w:val="008C61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32130">
      <w:bodyDiv w:val="1"/>
      <w:marLeft w:val="0"/>
      <w:marRight w:val="0"/>
      <w:marTop w:val="0"/>
      <w:marBottom w:val="0"/>
      <w:divBdr>
        <w:top w:val="none" w:sz="0" w:space="0" w:color="auto"/>
        <w:left w:val="none" w:sz="0" w:space="0" w:color="auto"/>
        <w:bottom w:val="none" w:sz="0" w:space="0" w:color="auto"/>
        <w:right w:val="none" w:sz="0" w:space="0" w:color="auto"/>
      </w:divBdr>
    </w:div>
    <w:div w:id="12753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kj</dc:creator>
  <cp:keywords/>
  <dc:description/>
  <cp:lastModifiedBy>wang kj</cp:lastModifiedBy>
  <cp:revision>11</cp:revision>
  <dcterms:created xsi:type="dcterms:W3CDTF">2020-09-21T10:33:00Z</dcterms:created>
  <dcterms:modified xsi:type="dcterms:W3CDTF">2020-11-20T08:52:00Z</dcterms:modified>
</cp:coreProperties>
</file>