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6A993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Habitat Radiomics-Based Stacking Ensemble Model for Predicting Disease-Free Survival in Early-Stage Cervical Cancer</w:t>
      </w:r>
    </w:p>
    <w:p w14:paraId="2194595A">
      <w:pPr>
        <w:spacing w:line="360" w:lineRule="auto"/>
        <w:jc w:val="both"/>
        <w:rPr>
          <w:sz w:val="28"/>
          <w:szCs w:val="28"/>
        </w:rPr>
      </w:pPr>
    </w:p>
    <w:p w14:paraId="3F76CD8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ELECTRONIC SUPPLEMENTARY MATERIAL</w:t>
      </w:r>
    </w:p>
    <w:p w14:paraId="186B7BB1">
      <w:pPr>
        <w:spacing w:line="360" w:lineRule="auto"/>
        <w:jc w:val="both"/>
        <w:rPr>
          <w:b/>
          <w:bCs/>
          <w:sz w:val="28"/>
          <w:szCs w:val="28"/>
        </w:rPr>
      </w:pPr>
    </w:p>
    <w:p w14:paraId="6AFCFA47">
      <w:pPr>
        <w:spacing w:line="360" w:lineRule="auto"/>
        <w:jc w:val="both"/>
        <w:rPr>
          <w:rFonts w:hint="eastAsia" w:eastAsia="宋体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Supplementary Figures</w:t>
      </w:r>
      <w:r>
        <w:rPr>
          <w:rFonts w:hint="eastAsia" w:eastAsia="宋体"/>
          <w:b/>
          <w:bCs/>
          <w:sz w:val="24"/>
          <w:szCs w:val="24"/>
          <w:lang w:eastAsia="zh-CN"/>
        </w:rPr>
        <w:t>：</w:t>
      </w:r>
    </w:p>
    <w:p w14:paraId="7D72D9F3">
      <w:pPr>
        <w:spacing w:line="360" w:lineRule="auto"/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285347A5">
      <w:pPr>
        <w:spacing w:line="360" w:lineRule="auto"/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1113CB1C">
      <w:pPr>
        <w:spacing w:line="360" w:lineRule="auto"/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7C0864D4">
      <w:pPr>
        <w:spacing w:line="360" w:lineRule="auto"/>
        <w:jc w:val="both"/>
        <w:rPr>
          <w:rFonts w:hint="eastAsia" w:eastAsia="宋体"/>
          <w:b/>
          <w:bCs/>
          <w:sz w:val="24"/>
          <w:szCs w:val="24"/>
          <w:lang w:eastAsia="zh-CN"/>
        </w:rPr>
      </w:pPr>
      <w:r>
        <w:rPr>
          <w:rFonts w:hint="eastAsia" w:eastAsia="宋体"/>
          <w:b/>
          <w:bCs/>
          <w:sz w:val="24"/>
          <w:szCs w:val="24"/>
          <w:lang w:eastAsia="zh-CN"/>
        </w:rPr>
        <w:t xml:space="preserve">Figure 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S1.</w:t>
      </w:r>
      <w:r>
        <w:rPr>
          <w:rFonts w:hint="eastAsia" w:eastAsia="宋体"/>
          <w:b/>
          <w:bCs/>
          <w:sz w:val="24"/>
          <w:szCs w:val="24"/>
          <w:lang w:eastAsia="zh-CN"/>
        </w:rPr>
        <w:t xml:space="preserve"> Heatmap of selected predictive features 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associated with</w:t>
      </w:r>
      <w:r>
        <w:rPr>
          <w:rFonts w:hint="eastAsia" w:eastAsia="宋体"/>
          <w:b/>
          <w:bCs/>
          <w:sz w:val="24"/>
          <w:szCs w:val="24"/>
          <w:lang w:eastAsia="zh-CN"/>
        </w:rPr>
        <w:t xml:space="preserve"> Recurrence/Metastasis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 in Cervical Cancer</w:t>
      </w:r>
      <w:r>
        <w:rPr>
          <w:rFonts w:hint="eastAsia" w:eastAsia="宋体"/>
          <w:b/>
          <w:bCs/>
          <w:sz w:val="24"/>
          <w:szCs w:val="24"/>
          <w:lang w:eastAsia="zh-CN"/>
        </w:rPr>
        <w:t xml:space="preserve">. </w:t>
      </w:r>
    </w:p>
    <w:p w14:paraId="79C22CF0">
      <w:pPr>
        <w:jc w:val="both"/>
        <w:rPr>
          <w:rFonts w:eastAsia="宋体"/>
          <w:b/>
          <w:bCs/>
          <w:sz w:val="24"/>
          <w:szCs w:val="24"/>
          <w:lang w:eastAsia="zh-CN"/>
        </w:rPr>
      </w:pPr>
      <w:r>
        <w:rPr>
          <w:rFonts w:eastAsia="宋体"/>
          <w:b/>
          <w:bCs/>
          <w:sz w:val="24"/>
          <w:szCs w:val="24"/>
          <w:lang w:eastAsia="zh-CN"/>
        </w:rPr>
        <w:drawing>
          <wp:inline distT="0" distB="0" distL="114300" distR="114300">
            <wp:extent cx="6637655" cy="4395470"/>
            <wp:effectExtent l="0" t="0" r="6985" b="8890"/>
            <wp:docPr id="2" name="图片 2" descr="Figure1_Feature_Heat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1_Feature_Heatma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2F377">
      <w:pPr>
        <w:jc w:val="both"/>
        <w:rPr>
          <w:b/>
          <w:bCs/>
          <w:sz w:val="24"/>
          <w:szCs w:val="24"/>
        </w:rPr>
      </w:pPr>
    </w:p>
    <w:p w14:paraId="2AC93960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1287A7E6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25238CA7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190F1435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5F36FF50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101C076A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450B16B5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  <w:r>
        <w:rPr>
          <w:rFonts w:hint="eastAsia" w:eastAsia="宋体"/>
          <w:b/>
          <w:bCs/>
          <w:sz w:val="24"/>
          <w:szCs w:val="24"/>
          <w:lang w:eastAsia="zh-CN"/>
        </w:rPr>
        <w:t>Figure S2.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eastAsia="宋体"/>
          <w:b/>
          <w:bCs/>
          <w:sz w:val="24"/>
          <w:szCs w:val="24"/>
          <w:lang w:eastAsia="zh-CN"/>
        </w:rPr>
        <w:t xml:space="preserve">Pearson correlation heatmap between clinicopathological features and radiomics scores. </w:t>
      </w:r>
    </w:p>
    <w:p w14:paraId="336AC85E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5572FB7D">
      <w:pPr>
        <w:jc w:val="both"/>
        <w:rPr>
          <w:rFonts w:eastAsia="宋体"/>
          <w:b/>
          <w:bCs/>
          <w:sz w:val="24"/>
          <w:szCs w:val="24"/>
          <w:lang w:eastAsia="zh-CN"/>
        </w:rPr>
      </w:pPr>
    </w:p>
    <w:p w14:paraId="30A31C1D">
      <w:pPr>
        <w:jc w:val="both"/>
        <w:rPr>
          <w:rFonts w:eastAsia="宋体"/>
          <w:b/>
          <w:bCs/>
          <w:sz w:val="24"/>
          <w:szCs w:val="24"/>
          <w:lang w:eastAsia="zh-CN"/>
        </w:rPr>
      </w:pPr>
      <w:r>
        <w:rPr>
          <w:rFonts w:eastAsia="宋体"/>
          <w:b/>
          <w:bCs/>
          <w:sz w:val="24"/>
          <w:szCs w:val="24"/>
          <w:lang w:eastAsia="zh-CN"/>
        </w:rPr>
        <w:drawing>
          <wp:inline distT="0" distB="0" distL="114300" distR="114300">
            <wp:extent cx="6641465" cy="5973445"/>
            <wp:effectExtent l="0" t="0" r="3175" b="635"/>
            <wp:docPr id="3" name="图片 3" descr="Figure2_Correlation_Heat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2_Correlation_Heatmap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597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A58FA">
      <w:pPr>
        <w:jc w:val="both"/>
        <w:rPr>
          <w:rFonts w:eastAsia="宋体"/>
          <w:b/>
          <w:bCs/>
          <w:sz w:val="24"/>
          <w:szCs w:val="24"/>
          <w:lang w:eastAsia="zh-CN"/>
        </w:rPr>
      </w:pPr>
    </w:p>
    <w:p w14:paraId="7CB463DB">
      <w:pPr>
        <w:jc w:val="both"/>
        <w:rPr>
          <w:rFonts w:eastAsia="宋体"/>
          <w:b/>
          <w:bCs/>
          <w:sz w:val="24"/>
          <w:szCs w:val="24"/>
          <w:lang w:eastAsia="zh-CN"/>
        </w:rPr>
      </w:pPr>
    </w:p>
    <w:p w14:paraId="2F67BE46">
      <w:pPr>
        <w:jc w:val="both"/>
        <w:rPr>
          <w:rFonts w:eastAsia="宋体"/>
          <w:b/>
          <w:bCs/>
          <w:sz w:val="24"/>
          <w:szCs w:val="24"/>
          <w:lang w:eastAsia="zh-CN"/>
        </w:rPr>
      </w:pPr>
    </w:p>
    <w:p w14:paraId="39FB44B1">
      <w:pPr>
        <w:jc w:val="both"/>
        <w:rPr>
          <w:rFonts w:eastAsia="宋体"/>
          <w:b/>
          <w:bCs/>
          <w:sz w:val="24"/>
          <w:szCs w:val="24"/>
          <w:lang w:eastAsia="zh-CN"/>
        </w:rPr>
      </w:pPr>
    </w:p>
    <w:p w14:paraId="77871C27">
      <w:pPr>
        <w:jc w:val="both"/>
        <w:rPr>
          <w:rFonts w:eastAsia="宋体"/>
          <w:b/>
          <w:bCs/>
          <w:sz w:val="24"/>
          <w:szCs w:val="24"/>
          <w:lang w:eastAsia="zh-CN"/>
        </w:rPr>
      </w:pPr>
    </w:p>
    <w:p w14:paraId="15500CEA">
      <w:pPr>
        <w:jc w:val="both"/>
        <w:rPr>
          <w:rFonts w:eastAsia="宋体"/>
          <w:b/>
          <w:bCs/>
          <w:sz w:val="24"/>
          <w:szCs w:val="24"/>
          <w:lang w:eastAsia="zh-CN"/>
        </w:rPr>
      </w:pPr>
    </w:p>
    <w:p w14:paraId="30BBEE00">
      <w:pPr>
        <w:jc w:val="both"/>
        <w:rPr>
          <w:b/>
          <w:bCs/>
          <w:sz w:val="24"/>
          <w:szCs w:val="24"/>
        </w:rPr>
      </w:pPr>
    </w:p>
    <w:p w14:paraId="43EEF7DE">
      <w:pPr>
        <w:jc w:val="both"/>
        <w:rPr>
          <w:b/>
          <w:bCs/>
          <w:sz w:val="24"/>
          <w:szCs w:val="24"/>
        </w:rPr>
      </w:pPr>
    </w:p>
    <w:p w14:paraId="0459DBD9">
      <w:pPr>
        <w:jc w:val="both"/>
        <w:rPr>
          <w:b/>
          <w:bCs/>
          <w:sz w:val="24"/>
          <w:szCs w:val="24"/>
        </w:rPr>
      </w:pPr>
    </w:p>
    <w:p w14:paraId="55E559C5">
      <w:pPr>
        <w:jc w:val="both"/>
        <w:rPr>
          <w:b/>
          <w:bCs/>
          <w:sz w:val="24"/>
          <w:szCs w:val="24"/>
        </w:rPr>
      </w:pPr>
    </w:p>
    <w:p w14:paraId="79C1D5E9">
      <w:pPr>
        <w:jc w:val="both"/>
        <w:rPr>
          <w:b/>
          <w:bCs/>
          <w:sz w:val="24"/>
          <w:szCs w:val="24"/>
        </w:rPr>
      </w:pPr>
    </w:p>
    <w:p w14:paraId="2F232812">
      <w:pPr>
        <w:jc w:val="both"/>
        <w:rPr>
          <w:b/>
          <w:bCs/>
          <w:sz w:val="24"/>
          <w:szCs w:val="24"/>
        </w:rPr>
      </w:pPr>
    </w:p>
    <w:p w14:paraId="678D9775">
      <w:pPr>
        <w:jc w:val="both"/>
        <w:rPr>
          <w:b/>
          <w:bCs/>
          <w:sz w:val="24"/>
          <w:szCs w:val="24"/>
        </w:rPr>
      </w:pPr>
    </w:p>
    <w:p w14:paraId="1AA4A207">
      <w:pPr>
        <w:jc w:val="both"/>
        <w:rPr>
          <w:b/>
          <w:bCs/>
          <w:sz w:val="24"/>
          <w:szCs w:val="24"/>
        </w:rPr>
      </w:pPr>
    </w:p>
    <w:p w14:paraId="287EA29D">
      <w:pPr>
        <w:jc w:val="both"/>
        <w:rPr>
          <w:b/>
          <w:bCs/>
          <w:sz w:val="24"/>
          <w:szCs w:val="24"/>
        </w:rPr>
      </w:pPr>
    </w:p>
    <w:p w14:paraId="36D5C098">
      <w:pPr>
        <w:jc w:val="both"/>
        <w:rPr>
          <w:rFonts w:hint="eastAsia" w:eastAsia="宋体"/>
          <w:b/>
          <w:bCs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>Figure S</w:t>
      </w:r>
      <w:r>
        <w:rPr>
          <w:rFonts w:hint="eastAsia" w:eastAsia="宋体"/>
          <w:b/>
          <w:bCs/>
          <w:sz w:val="24"/>
          <w:szCs w:val="24"/>
          <w:lang w:eastAsia="zh-CN"/>
        </w:rPr>
        <w:t>3</w:t>
      </w:r>
      <w:r>
        <w:rPr>
          <w:b/>
          <w:bCs/>
          <w:sz w:val="24"/>
          <w:szCs w:val="24"/>
        </w:rPr>
        <w:t>.</w:t>
      </w:r>
      <w:r>
        <w:rPr>
          <w:b/>
          <w:bCs/>
        </w:rPr>
        <w:t xml:space="preserve"> </w:t>
      </w:r>
      <w:r>
        <w:rPr>
          <w:rFonts w:hint="eastAsia"/>
          <w:b/>
          <w:bCs/>
          <w:sz w:val="24"/>
          <w:szCs w:val="24"/>
        </w:rPr>
        <w:t xml:space="preserve">Forest plot of clinicopathological features </w:t>
      </w:r>
      <w:r>
        <w:rPr>
          <w:rFonts w:hint="eastAsia" w:eastAsia="宋体"/>
          <w:b/>
          <w:bCs/>
          <w:sz w:val="24"/>
          <w:szCs w:val="24"/>
          <w:lang w:eastAsia="zh-CN"/>
        </w:rPr>
        <w:t xml:space="preserve">and habitat radiomics scores </w:t>
      </w:r>
      <w:r>
        <w:rPr>
          <w:rFonts w:hint="eastAsia"/>
          <w:b/>
          <w:bCs/>
          <w:sz w:val="24"/>
          <w:szCs w:val="24"/>
        </w:rPr>
        <w:t xml:space="preserve">associated with </w:t>
      </w:r>
      <w:r>
        <w:rPr>
          <w:rFonts w:hint="eastAsia" w:eastAsia="宋体"/>
          <w:b/>
          <w:bCs/>
          <w:sz w:val="24"/>
          <w:szCs w:val="24"/>
          <w:lang w:eastAsia="zh-CN"/>
        </w:rPr>
        <w:t>disease-free survival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.</w:t>
      </w:r>
    </w:p>
    <w:p w14:paraId="0801584B">
      <w:pPr>
        <w:jc w:val="both"/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rFonts w:hint="default" w:eastAsia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6645910" cy="4297680"/>
            <wp:effectExtent l="0" t="0" r="13970" b="0"/>
            <wp:docPr id="4" name="图片 4" descr="Figure3_Forest_Plot_Univariate_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3_Forest_Plot_Univariate_E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9997F">
      <w:pPr>
        <w:jc w:val="both"/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rFonts w:hint="default" w:eastAsia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6645910" cy="3641725"/>
            <wp:effectExtent l="0" t="0" r="13970" b="635"/>
            <wp:docPr id="5" name="图片 5" descr="Figure4_Forest_Plot_Multivariable_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4_Forest_Plot_Multivariable_E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15ED">
      <w:pPr>
        <w:jc w:val="both"/>
        <w:rPr>
          <w:b/>
          <w:bCs/>
          <w:sz w:val="24"/>
          <w:szCs w:val="24"/>
        </w:rPr>
      </w:pPr>
    </w:p>
    <w:p w14:paraId="77A266CF">
      <w:pPr>
        <w:jc w:val="both"/>
        <w:rPr>
          <w:b/>
          <w:bCs/>
          <w:sz w:val="24"/>
          <w:szCs w:val="24"/>
        </w:rPr>
      </w:pPr>
    </w:p>
    <w:p w14:paraId="40ACC09B">
      <w:pPr>
        <w:jc w:val="both"/>
        <w:rPr>
          <w:b/>
          <w:bCs/>
          <w:sz w:val="24"/>
          <w:szCs w:val="24"/>
        </w:rPr>
      </w:pPr>
    </w:p>
    <w:p w14:paraId="17451DD8">
      <w:pPr>
        <w:jc w:val="both"/>
        <w:rPr>
          <w:b/>
          <w:bCs/>
          <w:sz w:val="24"/>
          <w:szCs w:val="24"/>
        </w:rPr>
      </w:pPr>
    </w:p>
    <w:p w14:paraId="3CFD2C70">
      <w:pPr>
        <w:jc w:val="both"/>
        <w:rPr>
          <w:b/>
          <w:bCs/>
          <w:sz w:val="24"/>
          <w:szCs w:val="24"/>
        </w:rPr>
      </w:pPr>
    </w:p>
    <w:p w14:paraId="070F0464">
      <w:pPr>
        <w:jc w:val="both"/>
        <w:rPr>
          <w:b/>
          <w:bCs/>
          <w:sz w:val="24"/>
          <w:szCs w:val="24"/>
        </w:rPr>
      </w:pPr>
    </w:p>
    <w:p w14:paraId="54D12820">
      <w:pPr>
        <w:jc w:val="both"/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Figure S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4</w:t>
      </w:r>
      <w:r>
        <w:rPr>
          <w:b/>
          <w:bCs/>
          <w:sz w:val="24"/>
          <w:szCs w:val="24"/>
        </w:rPr>
        <w:t>.</w:t>
      </w:r>
      <w:r>
        <w:rPr>
          <w:b/>
          <w:bCs/>
        </w:rPr>
        <w:t xml:space="preserve"> </w:t>
      </w:r>
      <w:r>
        <w:rPr>
          <w:rFonts w:hint="eastAsia" w:eastAsia="宋体"/>
          <w:b/>
          <w:bCs/>
          <w:lang w:val="en-US" w:eastAsia="zh-CN"/>
        </w:rPr>
        <w:t xml:space="preserve">(A) </w:t>
      </w:r>
      <w:r>
        <w:rPr>
          <w:rFonts w:hint="eastAsia"/>
          <w:b/>
          <w:bCs/>
          <w:sz w:val="24"/>
          <w:szCs w:val="24"/>
        </w:rPr>
        <w:t>Venn diagram showing the overlap between the 10 radiomic features selected in the LNM prediction model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</w:rPr>
        <w:t xml:space="preserve">and the 9 features selected in the prognostic Cox model. The intersection (8 features) represents a shared radiomic phenotype associated with both nodal metastasis and recurrence. 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(B) </w:t>
      </w:r>
      <w:r>
        <w:rPr>
          <w:rFonts w:hint="eastAsia"/>
          <w:b/>
          <w:bCs/>
          <w:sz w:val="24"/>
          <w:szCs w:val="24"/>
        </w:rPr>
        <w:t xml:space="preserve">Clustermap visualizing the expression patterns of the 8 core radiomic features shared between the LNM prediction model and the prognostic 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model.</w:t>
      </w:r>
      <w:r>
        <w:rPr>
          <w:rFonts w:hint="eastAsia"/>
          <w:b/>
          <w:bCs/>
          <w:sz w:val="24"/>
          <w:szCs w:val="24"/>
        </w:rPr>
        <w:t xml:space="preserve"> </w:t>
      </w:r>
    </w:p>
    <w:p w14:paraId="634D72F8">
      <w:pPr>
        <w:jc w:val="both"/>
        <w:rPr>
          <w:rFonts w:hint="eastAsia"/>
          <w:b/>
          <w:bCs/>
          <w:sz w:val="24"/>
          <w:szCs w:val="24"/>
        </w:rPr>
      </w:pPr>
    </w:p>
    <w:p w14:paraId="2E6240E7">
      <w:pPr>
        <w:jc w:val="both"/>
        <w:rPr>
          <w:rFonts w:hint="eastAsia"/>
          <w:b/>
          <w:bCs/>
          <w:sz w:val="24"/>
          <w:szCs w:val="24"/>
        </w:rPr>
      </w:pPr>
    </w:p>
    <w:p w14:paraId="2CAB7F53">
      <w:pPr>
        <w:jc w:val="both"/>
        <w:rPr>
          <w:rFonts w:hint="eastAsia"/>
          <w:b/>
          <w:bCs/>
          <w:sz w:val="24"/>
          <w:szCs w:val="24"/>
        </w:rPr>
      </w:pPr>
    </w:p>
    <w:p w14:paraId="18593D5E">
      <w:pPr>
        <w:jc w:val="both"/>
        <w:rPr>
          <w:rFonts w:hint="eastAsia" w:eastAsia="宋体"/>
          <w:b/>
          <w:bCs/>
          <w:sz w:val="24"/>
          <w:szCs w:val="24"/>
          <w:lang w:val="en-US" w:eastAsia="zh-CN"/>
        </w:rPr>
      </w:pPr>
      <w:r>
        <w:rPr>
          <w:rFonts w:hint="eastAsia" w:eastAsia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878455" cy="2459990"/>
            <wp:effectExtent l="0" t="0" r="1905" b="8890"/>
            <wp:docPr id="6" name="图片 6" descr="Figure12A_Ve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12A_Ven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8455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852420" cy="2486660"/>
            <wp:effectExtent l="0" t="0" r="12700" b="12700"/>
            <wp:docPr id="15" name="图片 15" descr="Figure12B_Cluster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12B_Clustermap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242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2F39">
      <w:pPr>
        <w:jc w:val="both"/>
        <w:rPr>
          <w:rFonts w:hint="eastAsia" w:eastAsia="宋体"/>
          <w:b/>
          <w:bCs/>
          <w:sz w:val="24"/>
          <w:szCs w:val="24"/>
          <w:lang w:val="en-US" w:eastAsia="zh-CN"/>
        </w:rPr>
      </w:pPr>
    </w:p>
    <w:p w14:paraId="094E9595">
      <w:pPr>
        <w:jc w:val="both"/>
        <w:rPr>
          <w:rFonts w:hint="eastAsia" w:eastAsia="宋体"/>
          <w:b/>
          <w:bCs/>
          <w:sz w:val="24"/>
          <w:szCs w:val="24"/>
          <w:lang w:val="en-US" w:eastAsia="zh-CN"/>
        </w:rPr>
      </w:pPr>
    </w:p>
    <w:p w14:paraId="75F507D0">
      <w:pPr>
        <w:jc w:val="both"/>
        <w:rPr>
          <w:rFonts w:hint="eastAsia" w:eastAsia="宋体"/>
          <w:b/>
          <w:bCs/>
          <w:sz w:val="24"/>
          <w:szCs w:val="24"/>
          <w:lang w:val="en-US" w:eastAsia="zh-CN"/>
        </w:rPr>
      </w:pPr>
    </w:p>
    <w:p w14:paraId="0D48AE7D">
      <w:pPr>
        <w:jc w:val="both"/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Figure S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5</w:t>
      </w:r>
      <w:r>
        <w:rPr>
          <w:b/>
          <w:bCs/>
          <w:sz w:val="24"/>
          <w:szCs w:val="24"/>
        </w:rPr>
        <w:t>.</w:t>
      </w:r>
      <w:r>
        <w:rPr>
          <w:b/>
          <w:bCs/>
        </w:rPr>
        <w:t xml:space="preserve"> </w:t>
      </w:r>
      <w:r>
        <w:rPr>
          <w:rFonts w:hint="eastAsia" w:eastAsia="宋体"/>
          <w:b/>
          <w:bCs/>
          <w:lang w:val="en-US" w:eastAsia="zh-CN"/>
        </w:rPr>
        <w:t>R</w:t>
      </w:r>
      <w:r>
        <w:rPr>
          <w:rFonts w:hint="eastAsia"/>
          <w:b/>
          <w:bCs/>
        </w:rPr>
        <w:t>adar plots</w:t>
      </w:r>
      <w:r>
        <w:rPr>
          <w:rFonts w:hint="eastAsia" w:eastAsia="宋体"/>
          <w:b/>
          <w:bCs/>
          <w:lang w:val="en-US" w:eastAsia="zh-CN"/>
        </w:rPr>
        <w:t xml:space="preserve"> across the three cohorts</w:t>
      </w:r>
      <w:r>
        <w:rPr>
          <w:rFonts w:hint="eastAsia"/>
          <w:b/>
          <w:bCs/>
          <w:sz w:val="24"/>
          <w:szCs w:val="24"/>
        </w:rPr>
        <w:t>.</w:t>
      </w:r>
    </w:p>
    <w:p w14:paraId="1C221137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  <w:r>
        <w:rPr>
          <w:rFonts w:hint="eastAsia" w:eastAsia="宋体"/>
          <w:b/>
          <w:bCs/>
          <w:sz w:val="24"/>
          <w:szCs w:val="24"/>
          <w:lang w:eastAsia="zh-CN"/>
        </w:rPr>
        <w:drawing>
          <wp:inline distT="0" distB="0" distL="114300" distR="114300">
            <wp:extent cx="2176145" cy="2039620"/>
            <wp:effectExtent l="0" t="0" r="3175" b="2540"/>
            <wp:docPr id="7" name="图片 7" descr="2_Radar_Training_Coh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_Radar_Training_Cohort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bCs/>
          <w:sz w:val="24"/>
          <w:szCs w:val="24"/>
          <w:lang w:eastAsia="zh-CN"/>
        </w:rPr>
        <w:drawing>
          <wp:inline distT="0" distB="0" distL="114300" distR="114300">
            <wp:extent cx="2181860" cy="2047240"/>
            <wp:effectExtent l="0" t="0" r="12700" b="10160"/>
            <wp:docPr id="8" name="图片 8" descr="2_Radar_Internal_Validation_Coh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_Radar_Internal_Validation_Cohor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bCs/>
          <w:sz w:val="24"/>
          <w:szCs w:val="24"/>
          <w:lang w:eastAsia="zh-CN"/>
        </w:rPr>
        <w:drawing>
          <wp:inline distT="0" distB="0" distL="114300" distR="114300">
            <wp:extent cx="2196465" cy="2067560"/>
            <wp:effectExtent l="0" t="0" r="13335" b="5080"/>
            <wp:docPr id="9" name="图片 9" descr="2_Radar_External_Validation_Coh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_Radar_External_Validation_Cohor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6465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72602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197722DA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11263A48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176307DB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7C04DD12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35BA3508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39D95064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68E850B1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6514EDF4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652A35C8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3CD1BDD0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6F77308A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6A397B22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49CC6B08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</w:rPr>
        <w:t>Figure S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eastAsia="宋体"/>
          <w:b/>
          <w:bCs/>
          <w:sz w:val="24"/>
          <w:szCs w:val="24"/>
          <w:lang w:eastAsia="zh-CN"/>
        </w:rPr>
        <w:t>. DeLong test results comparing Meta-model with 5 base learns.</w:t>
      </w:r>
    </w:p>
    <w:p w14:paraId="628E8E84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  <w:r>
        <w:rPr>
          <w:rFonts w:hint="eastAsia" w:eastAsia="宋体"/>
          <w:b/>
          <w:bCs/>
          <w:sz w:val="24"/>
          <w:szCs w:val="24"/>
          <w:lang w:eastAsia="zh-CN"/>
        </w:rPr>
        <w:drawing>
          <wp:inline distT="0" distB="0" distL="114300" distR="114300">
            <wp:extent cx="5575300" cy="5146675"/>
            <wp:effectExtent l="0" t="0" r="2540" b="4445"/>
            <wp:docPr id="11" name="图片 11" descr="dafad506-cfd9-4152-bfe6-b3b7b0a2ca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afad506-cfd9-4152-bfe6-b3b7b0a2ca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51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2A6C6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2FE52486">
      <w:pPr>
        <w:jc w:val="both"/>
        <w:rPr>
          <w:rFonts w:hint="eastAsia" w:eastAsia="宋体"/>
          <w:b/>
          <w:bCs/>
          <w:sz w:val="24"/>
          <w:szCs w:val="24"/>
          <w:lang w:eastAsia="zh-CN"/>
        </w:rPr>
      </w:pPr>
    </w:p>
    <w:p w14:paraId="788481B4">
      <w:pPr>
        <w:jc w:val="both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>Figure S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7</w:t>
      </w:r>
      <w:r>
        <w:rPr>
          <w:rFonts w:hint="eastAsia" w:eastAsia="宋体"/>
          <w:b/>
          <w:bCs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Incremental predictive value of the Meta-Model over other stacking models assessed by Net Reclassification Index (NRI) and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Integrated Discrimination Improvement (IDI)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. </w:t>
      </w:r>
    </w:p>
    <w:p w14:paraId="36C78E49">
      <w:pPr>
        <w:jc w:val="both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6638290" cy="2987675"/>
            <wp:effectExtent l="0" t="0" r="6350" b="14605"/>
            <wp:docPr id="12" name="图片 12" descr="Figure6_NRI_IDI_Heat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6_NRI_IDI_Heatmap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4E7AF">
      <w:pPr>
        <w:jc w:val="both"/>
        <w:rPr>
          <w:b/>
          <w:bCs/>
          <w:sz w:val="24"/>
          <w:szCs w:val="24"/>
        </w:rPr>
      </w:pPr>
    </w:p>
    <w:p w14:paraId="11B8392B">
      <w:pPr>
        <w:jc w:val="both"/>
        <w:rPr>
          <w:b/>
          <w:bCs/>
          <w:sz w:val="24"/>
          <w:szCs w:val="24"/>
        </w:rPr>
      </w:pPr>
    </w:p>
    <w:p w14:paraId="716DEC7B">
      <w:pPr>
        <w:jc w:val="both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>Figure S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8</w:t>
      </w:r>
      <w:r>
        <w:rPr>
          <w:rFonts w:hint="eastAsia" w:eastAsia="宋体"/>
          <w:b/>
          <w:bCs/>
          <w:sz w:val="24"/>
          <w:szCs w:val="24"/>
          <w:lang w:eastAsia="zh-CN"/>
        </w:rPr>
        <w:t>. DFS stratified by pLNM (cutoff: 0.29) in pathologically node‑negative patients. High pLNM was associated with significantly shorter DFS (log‑rank P &lt; 0.001). Tick marks indicate censored data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. </w:t>
      </w:r>
    </w:p>
    <w:p w14:paraId="3C90ED98">
      <w:pPr>
        <w:jc w:val="both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6642735" cy="3707765"/>
            <wp:effectExtent l="0" t="0" r="1905" b="10795"/>
            <wp:docPr id="14" name="图片 14" descr="c52a24d3-dfda-41e8-9eee-4500df6265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52a24d3-dfda-41e8-9eee-4500df62657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6AD2A">
      <w:pPr>
        <w:jc w:val="both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28A0E083">
      <w:pPr>
        <w:jc w:val="both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35FBCD78">
      <w:pPr>
        <w:jc w:val="both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7D73555E">
      <w:pPr>
        <w:jc w:val="both"/>
        <w:rPr>
          <w:rFonts w:hint="eastAsia" w:eastAsia="宋体"/>
          <w:b/>
          <w:bCs/>
          <w:sz w:val="24"/>
          <w:szCs w:val="24"/>
          <w:lang w:val="en-US" w:eastAsia="zh-CN"/>
        </w:rPr>
      </w:pPr>
    </w:p>
    <w:p w14:paraId="6A04A141">
      <w:pPr>
        <w:jc w:val="both"/>
        <w:rPr>
          <w:rFonts w:eastAsia="宋体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Supplementary Tables</w:t>
      </w:r>
      <w:r>
        <w:rPr>
          <w:rFonts w:hint="eastAsia" w:eastAsia="宋体"/>
          <w:b/>
          <w:bCs/>
          <w:sz w:val="24"/>
          <w:szCs w:val="24"/>
          <w:lang w:eastAsia="zh-CN"/>
        </w:rPr>
        <w:t>：</w:t>
      </w:r>
    </w:p>
    <w:p w14:paraId="4EAB27DC">
      <w:pPr>
        <w:jc w:val="both"/>
        <w:rPr>
          <w:b/>
          <w:bCs/>
          <w:sz w:val="24"/>
          <w:szCs w:val="24"/>
        </w:rPr>
      </w:pPr>
    </w:p>
    <w:p w14:paraId="1F81ED1D">
      <w:pPr>
        <w:rPr>
          <w:rFonts w:eastAsia="宋体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Table S1</w:t>
      </w:r>
      <w:r>
        <w:rPr>
          <w:rFonts w:hint="eastAsia" w:eastAsia="宋体"/>
          <w:b/>
          <w:bCs/>
          <w:sz w:val="24"/>
          <w:szCs w:val="24"/>
          <w:lang w:eastAsia="zh-CN"/>
        </w:rPr>
        <w:t>.</w:t>
      </w:r>
      <w:r>
        <w:rPr>
          <w:rFonts w:hint="eastAsia"/>
          <w:b/>
          <w:bCs/>
          <w:sz w:val="24"/>
          <w:szCs w:val="24"/>
        </w:rPr>
        <w:t xml:space="preserve"> The Optimal Features for the Model Construction</w:t>
      </w:r>
      <w:r>
        <w:rPr>
          <w:rFonts w:hint="eastAsia"/>
          <w:b/>
          <w:bCs/>
          <w:color w:val="auto"/>
          <w:sz w:val="24"/>
          <w:szCs w:val="24"/>
          <w:lang w:eastAsia="zh-CN"/>
        </w:rPr>
        <w:t>.</w:t>
      </w:r>
    </w:p>
    <w:p w14:paraId="000A61A3">
      <w:pPr>
        <w:tabs>
          <w:tab w:val="left" w:pos="742"/>
        </w:tabs>
        <w:jc w:val="both"/>
        <w:rPr>
          <w:sz w:val="24"/>
        </w:rPr>
      </w:pPr>
    </w:p>
    <w:tbl>
      <w:tblPr>
        <w:tblStyle w:val="4"/>
        <w:tblW w:w="96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4931"/>
        <w:gridCol w:w="1034"/>
        <w:gridCol w:w="1249"/>
      </w:tblGrid>
      <w:tr w14:paraId="0E741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06220A4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Radiomic Signature</w:t>
            </w:r>
          </w:p>
        </w:tc>
        <w:tc>
          <w:tcPr>
            <w:tcW w:w="49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28F552D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Feature Name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1A06548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Sequence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24B5D8F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Coefficient / Weight)</w:t>
            </w:r>
          </w:p>
        </w:tc>
      </w:tr>
      <w:tr w14:paraId="0437E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2FD3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Intratumoral Rad-score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n=7)</w:t>
            </w:r>
          </w:p>
        </w:tc>
        <w:tc>
          <w:tcPr>
            <w:tcW w:w="49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7246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wavelet-HLL_glrlm_RunEntropy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10A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7ECE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-0.0786</w:t>
            </w:r>
          </w:p>
        </w:tc>
      </w:tr>
      <w:tr w14:paraId="278F4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7E2D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F7B4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log-sigma-3-0-mm-3D_glrlm_RunEntropy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AC5B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695F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-0.0051</w:t>
            </w:r>
          </w:p>
        </w:tc>
      </w:tr>
      <w:tr w14:paraId="7240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9A17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D6CE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log-sigma-5-0-mm-3D_glcm_Correlation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386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DWI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CD9B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-0.008</w:t>
            </w:r>
          </w:p>
        </w:tc>
      </w:tr>
      <w:tr w14:paraId="4234B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B41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94B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original_shape_LeastAxisLength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AE08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681B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0.0142</w:t>
            </w:r>
          </w:p>
        </w:tc>
      </w:tr>
      <w:tr w14:paraId="4536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A565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349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original_shape_MajorAxisLength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A94A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577C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-0.0215</w:t>
            </w:r>
          </w:p>
        </w:tc>
      </w:tr>
      <w:tr w14:paraId="27834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2710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8826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original_shape_Maximum2DDiameterColumn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9B14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4FD5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0.0093</w:t>
            </w:r>
          </w:p>
        </w:tc>
      </w:tr>
      <w:tr w14:paraId="539DE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8DD4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14FC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wavelet-LHL_glcm_Idmn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7D98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T2WI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4A90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-0.0154</w:t>
            </w:r>
          </w:p>
        </w:tc>
      </w:tr>
      <w:tr w14:paraId="153F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3A07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Peritumoral Rad-score ( n=8)</w:t>
            </w: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775D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gradient_glrlm_ShortRunLowGrayLevelEmphasis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BBF4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A7DC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</w:t>
            </w:r>
          </w:p>
        </w:tc>
      </w:tr>
      <w:tr w14:paraId="7DF80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1CB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A3B3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log-sigma-4-0-mm-3D_glrlm_RunEntropy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9EC2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3C2D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-0.0428</w:t>
            </w:r>
          </w:p>
        </w:tc>
      </w:tr>
      <w:tr w14:paraId="2FC8C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6761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1B4A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log-sigma-5-0-mm-3D_glszm_LowGrayLevelZoneEmphasis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0433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6B14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0.0074</w:t>
            </w:r>
          </w:p>
        </w:tc>
      </w:tr>
      <w:tr w14:paraId="48FDF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3343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F23E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wavelet-LLH_glrlm_ShortRunLowGrayLevelEmphasis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C82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T2WI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8139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0.0222</w:t>
            </w:r>
          </w:p>
        </w:tc>
      </w:tr>
      <w:tr w14:paraId="56075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9FF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DE2C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wavelet-HHL_gldm_SmallDependenceLowGrayLevelEmphasis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3FA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T2WI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6954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</w:tr>
      <w:tr w14:paraId="6E920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9901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715F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original_shape_Maximum2DDiameterRow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94B9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5F54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-0.0177</w:t>
            </w:r>
          </w:p>
        </w:tc>
      </w:tr>
      <w:tr w14:paraId="33ABC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CBA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8EE7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original_shape_Maximum2DDiameterSlice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B22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AB79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0.0116</w:t>
            </w:r>
          </w:p>
        </w:tc>
      </w:tr>
      <w:tr w14:paraId="179C2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69B0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2EB9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original_shape_MeshVolume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9E5F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6133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</w:tr>
      <w:tr w14:paraId="72E6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B991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Intra+Peri Fusion Score ( n=11)</w:t>
            </w: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572A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wavelet-HLL_glrlm_RunEntropy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D27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279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-0.0786</w:t>
            </w:r>
          </w:p>
        </w:tc>
      </w:tr>
      <w:tr w14:paraId="07755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64BB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6B5C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gradient_glrlm_ShortRunLowGrayLevelEmphasis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2AE1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1A92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</w:t>
            </w:r>
          </w:p>
        </w:tc>
      </w:tr>
      <w:tr w14:paraId="18B0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D7F7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CD0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log-sigma-3-0-mm-3D_glrlm_RunEntropy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9457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2FE9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-0.0051</w:t>
            </w:r>
          </w:p>
        </w:tc>
      </w:tr>
      <w:tr w14:paraId="5DE48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03A4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06F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log-sigma-4-0-mm-3D_glrlm_RunEntropy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9755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2568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-0.0428</w:t>
            </w:r>
          </w:p>
        </w:tc>
      </w:tr>
      <w:tr w14:paraId="78D17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3AA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E48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log-sigma-5-0-mm-3D_glszm_LowGrayLevelZoneEmphasis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E23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B66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0.0074</w:t>
            </w:r>
          </w:p>
        </w:tc>
      </w:tr>
      <w:tr w14:paraId="1E2D9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41E9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1E3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log-sigma-5-0-mm-3D_glcm_Correlation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65B8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DWI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DB9D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-0.008</w:t>
            </w:r>
          </w:p>
        </w:tc>
      </w:tr>
      <w:tr w14:paraId="1D694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33EA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EE2B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wavelet-LLH_glrlm_ShortRunLowGrayLevelEmphasis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8254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T2WI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5630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0.0222</w:t>
            </w:r>
          </w:p>
        </w:tc>
      </w:tr>
      <w:tr w14:paraId="670E7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D7A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F4D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wavelet-HHL_gldm_SmallDependenceLowGrayLevelEmphasis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6FE7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T2WI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F5E0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0.0193</w:t>
            </w:r>
          </w:p>
        </w:tc>
      </w:tr>
      <w:tr w14:paraId="59FEA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21B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CA43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original_shape_Elongation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D2E5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324A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0.0125</w:t>
            </w:r>
          </w:p>
        </w:tc>
      </w:tr>
      <w:tr w14:paraId="09281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E6D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18E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original_shape_Flatness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953A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5C2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-0.0083</w:t>
            </w:r>
          </w:p>
        </w:tc>
      </w:tr>
      <w:tr w14:paraId="56EF9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AF32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4252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original_shape_SurfaceVolumeRatio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9B29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T2WI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85F6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</w:tr>
      <w:tr w14:paraId="03F41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AB0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ITH Integrated Score ( n=8)</w:t>
            </w: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C17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logarithm_firstorder_10Percentile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A264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E7A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-0.0412</w:t>
            </w:r>
          </w:p>
        </w:tc>
      </w:tr>
      <w:tr w14:paraId="17145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662B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65F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logarithm_firstorder_90Percentile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58A7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32C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0.0387</w:t>
            </w:r>
          </w:p>
        </w:tc>
      </w:tr>
      <w:tr w14:paraId="30047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C03E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1577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logarithm_firstorder_Energy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AB07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B8DD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0.0295</w:t>
            </w:r>
          </w:p>
        </w:tc>
      </w:tr>
      <w:tr w14:paraId="77C1F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7DF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9279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logarithm_firstorder_Entropy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45E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9E98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-0.0551</w:t>
            </w:r>
          </w:p>
        </w:tc>
      </w:tr>
      <w:tr w14:paraId="7185E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75D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747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logarithm_firstorder_InterquartileRange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058B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B56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</w:t>
            </w:r>
          </w:p>
        </w:tc>
      </w:tr>
      <w:tr w14:paraId="0F12D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BF8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B29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logarithm_firstorder_Kurtosis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CEE2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CB76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-0.0204</w:t>
            </w:r>
          </w:p>
        </w:tc>
      </w:tr>
      <w:tr w14:paraId="5EFE4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5760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A845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wavelet-HLL_glrlm_RunEntropy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A73B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DD31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-0.0786</w:t>
            </w:r>
          </w:p>
        </w:tc>
      </w:tr>
      <w:tr w14:paraId="31245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46D7AF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C3A06E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log-sigma-4-0-mm-3D_glrlm_RunEntropy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3BA290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DCE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BDCB43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-0.0428</w:t>
            </w:r>
          </w:p>
        </w:tc>
      </w:tr>
    </w:tbl>
    <w:p w14:paraId="5B49E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</w:pPr>
    </w:p>
    <w:p w14:paraId="6B438CE5">
      <w:pPr>
        <w:jc w:val="both"/>
        <w:rPr>
          <w:b/>
          <w:bCs/>
          <w:sz w:val="24"/>
          <w:szCs w:val="24"/>
        </w:rPr>
      </w:pPr>
    </w:p>
    <w:p w14:paraId="56ED7486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  <w:r>
        <w:rPr>
          <w:b/>
          <w:bCs/>
          <w:sz w:val="24"/>
          <w:szCs w:val="24"/>
        </w:rPr>
        <w:t>T</w:t>
      </w:r>
      <w:r>
        <w:rPr>
          <w:rFonts w:eastAsia="宋体"/>
          <w:b/>
          <w:bCs/>
          <w:color w:val="000000"/>
          <w:sz w:val="24"/>
          <w:szCs w:val="24"/>
          <w:lang w:eastAsia="zh-CN" w:bidi="ar"/>
        </w:rPr>
        <w:t xml:space="preserve">able </w:t>
      </w:r>
      <w:r>
        <w:rPr>
          <w:rFonts w:hint="eastAsia" w:eastAsia="宋体"/>
          <w:b/>
          <w:bCs/>
          <w:color w:val="000000"/>
          <w:sz w:val="24"/>
          <w:szCs w:val="24"/>
          <w:lang w:eastAsia="zh-CN" w:bidi="ar"/>
        </w:rPr>
        <w:t>S</w:t>
      </w:r>
      <w:r>
        <w:rPr>
          <w:rFonts w:hint="eastAsia" w:eastAsia="宋体"/>
          <w:b/>
          <w:bCs/>
          <w:color w:val="000000"/>
          <w:sz w:val="24"/>
          <w:szCs w:val="24"/>
          <w:lang w:val="en-US" w:eastAsia="zh-CN" w:bidi="ar"/>
        </w:rPr>
        <w:t>2</w:t>
      </w:r>
      <w:r>
        <w:rPr>
          <w:rFonts w:hint="eastAsia" w:eastAsia="宋体"/>
          <w:b/>
          <w:bCs/>
          <w:color w:val="000000"/>
          <w:sz w:val="24"/>
          <w:szCs w:val="24"/>
          <w:lang w:eastAsia="zh-CN" w:bidi="ar"/>
        </w:rPr>
        <w:t>.</w:t>
      </w:r>
      <w:r>
        <w:rPr>
          <w:rFonts w:hint="eastAsia" w:eastAsia="宋体"/>
          <w:b/>
          <w:bCs/>
          <w:color w:val="000000"/>
          <w:sz w:val="24"/>
          <w:szCs w:val="24"/>
          <w:lang w:val="en-US" w:eastAsia="zh-CN" w:bidi="ar"/>
        </w:rPr>
        <w:t xml:space="preserve"> </w:t>
      </w:r>
      <w:r>
        <w:rPr>
          <w:rFonts w:eastAsia="宋体"/>
          <w:b/>
          <w:bCs/>
          <w:color w:val="000000"/>
          <w:sz w:val="24"/>
          <w:szCs w:val="24"/>
          <w:lang w:eastAsia="zh-CN" w:bidi="ar"/>
        </w:rPr>
        <w:t xml:space="preserve">Comparison of clinicopathological and radiomics features between </w:t>
      </w:r>
      <w:r>
        <w:rPr>
          <w:rFonts w:hint="eastAsia" w:eastAsia="宋体"/>
          <w:b/>
          <w:bCs/>
          <w:color w:val="000000"/>
          <w:sz w:val="24"/>
          <w:szCs w:val="24"/>
          <w:lang w:val="en-US" w:eastAsia="zh-CN" w:bidi="ar"/>
        </w:rPr>
        <w:t>Recurrence/Metastasis and Disease-Free Groups.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5"/>
        <w:gridCol w:w="2821"/>
        <w:gridCol w:w="2896"/>
        <w:gridCol w:w="876"/>
      </w:tblGrid>
      <w:tr w14:paraId="7412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43644FC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4854D50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Disease-free survival (n=198)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16B9F0D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Recurrence/Metastasis (n=95)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0D360EB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 w14:paraId="225BF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E05E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Follow-up time (months), median [IQR]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D09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 [48.00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52.00]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326A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18.00 [12.50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24.00]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1BDB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99A6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E5FA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 (years), median [IQR]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3CAA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56.50 [50.25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F15A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 [43.00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A671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204C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041D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Maximum diameter (mm), median [IQR]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414F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28.47 [22.11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35.24]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BCA6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26.44 [20.73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4B3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0.083</w:t>
            </w:r>
          </w:p>
        </w:tc>
      </w:tr>
      <w:tr w14:paraId="02604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E883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Delivery times, n (%)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A93F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9E57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68AB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620</w:t>
            </w:r>
          </w:p>
        </w:tc>
      </w:tr>
      <w:tr w14:paraId="0490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08B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&lt;3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A3C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 (55.4%)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2B9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 (55.3%)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1749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</w:p>
        </w:tc>
      </w:tr>
      <w:tr w14:paraId="7B19C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6A89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≥3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9EB9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 (44.6%)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B066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 (44.7%)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ADA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</w:p>
        </w:tc>
      </w:tr>
      <w:tr w14:paraId="23846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48E0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Ki67, median [IQR]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6FB7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 [51.25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910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 [60.00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D82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0.429</w:t>
            </w:r>
          </w:p>
        </w:tc>
      </w:tr>
      <w:tr w14:paraId="2CB38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FDAF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SCC-Ag, median [IQR]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965A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 [1.10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D3F2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6.90 [1.21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793B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</w:tr>
      <w:tr w14:paraId="5EE90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1CC7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MSI, median [IQR]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09D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 [1.17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28DB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 [1.19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138B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0.363</w:t>
            </w:r>
          </w:p>
        </w:tc>
      </w:tr>
      <w:tr w14:paraId="01F1E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E63F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SER, median [IQR]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8D9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 [0.97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110F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 [0.93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7C34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0.435</w:t>
            </w:r>
          </w:p>
        </w:tc>
      </w:tr>
      <w:tr w14:paraId="3D88B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2CD2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ADCmean, median [IQR]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159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 [0.97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74C1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 [0.91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772D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0.382</w:t>
            </w:r>
          </w:p>
        </w:tc>
      </w:tr>
      <w:tr w14:paraId="0C446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9F2A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ADCmin, median [IQR]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9983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 [0.73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081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 [0.74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10D7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0.627</w:t>
            </w:r>
          </w:p>
        </w:tc>
      </w:tr>
      <w:tr w14:paraId="757F1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AD14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Lymph node metastasis,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17D8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A7C8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6ECF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805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EE7F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6F6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 (77.8%)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055C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 (57.9%)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A8FF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58DA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9BFE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A27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 (22.2%)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7F5B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 (42.1%)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FEBE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D92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5CE9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Postoperative treatment,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E32C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CE6D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755E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840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7318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Radiotherapy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73F6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 (38.9%)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9099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 (16.8%)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31E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44BF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8737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Chemotherapy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2B82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 (18.2%)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7C9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34DC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D9A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4ECB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Chemoradiotherapy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B551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 (16.2%)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78B6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 (17.9%)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C63B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E3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1BB1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5FF1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 (26.8%)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922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 (61.1%)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16F3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9A4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0070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Menopause,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11FE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9CFA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3DF0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900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EF8A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0FAA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 (30.3%)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B549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 (64.2%)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D7E4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6EE9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C450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7CEF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 (69.7%)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BF04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 (35.8%)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3EF9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652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BC9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Smoke history,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0C1E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070A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FD3D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C22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9254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F14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 (75.8%)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064A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(71.6%)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1F17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0.532</w:t>
            </w:r>
          </w:p>
        </w:tc>
      </w:tr>
      <w:tr w14:paraId="73BD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204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A67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 (24.2%)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247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 (28.4%)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ADE7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BFE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DC99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HPV status,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7EBB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D33FE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B3D6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5EB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A2B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Negative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E678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 (12.6%)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576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(13.7%)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D12B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0.947</w:t>
            </w:r>
          </w:p>
        </w:tc>
      </w:tr>
      <w:tr w14:paraId="671B8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C56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Positive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3BC1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 (87.4%)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8C48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 (86.3%)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C7E6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612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AA99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FIGO stage,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9A06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5CC1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E07D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DB5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03A9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B68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 (42.9%)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DF5B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 (49.5%)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F61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0.353</w:t>
            </w:r>
          </w:p>
        </w:tc>
      </w:tr>
      <w:tr w14:paraId="11A7F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3B53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4453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 (57.1%)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CA6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 (50.5%)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2899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3BC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4672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Pathological type,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A2A8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44B7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D087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491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367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Squamous carcinoma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A38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 (85.4%)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BA5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 (76.8%)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3C77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</w:t>
            </w:r>
          </w:p>
        </w:tc>
      </w:tr>
      <w:tr w14:paraId="4D289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0694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Adenocarcinoma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30E7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 (9.1%)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6A46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 (15.8%)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EEFB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81E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AF36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Adenosquamous carcinoma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579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 (4.5%)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0F3D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 (5.3%)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DB01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728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8F28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E9DB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B73C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9163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AE2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2981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Pathological grade,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13F7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9638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45DD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53B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4067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4E3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 (72.7%)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73A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(71.6%)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9DA6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0.053</w:t>
            </w:r>
          </w:p>
        </w:tc>
      </w:tr>
      <w:tr w14:paraId="434F7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9B4B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F46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 (13.6%)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8226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 (22.1%)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22AC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3DD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8D6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G3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B12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 (13.6%)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D276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(6.3%)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CE18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A5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1FCD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1/2 Stromal infiltration,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406D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90D7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F4D1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537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044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9548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 (59.6%)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78DD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 (45.3%)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BB86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</w:t>
            </w:r>
          </w:p>
        </w:tc>
      </w:tr>
      <w:tr w14:paraId="4CEA1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8A4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24FA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 (40.4%)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EB44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 (54.7%)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7092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8D3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5CB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Parametrial infiltration,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0A04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77D9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EF47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763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1A83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DCCF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 (67.2%)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5E0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 (50.5%)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266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</w:p>
        </w:tc>
      </w:tr>
      <w:tr w14:paraId="40A8F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B117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FFD9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 (32.8%)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6612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 (49.5%)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CEF4B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780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EFD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LVI (Lymphovascular invasion),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C1DB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6A8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5D68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03F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0860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3F86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 (50.5%)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A34E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 (33.7%)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B0F0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0.010</w:t>
            </w:r>
          </w:p>
        </w:tc>
      </w:tr>
      <w:tr w14:paraId="11737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75F4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3105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 (49.5%)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CD2B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 (66.3%)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635D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E83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F9CA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Rad-score_intra, median [IQR]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7594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 (0.25, 0.76)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8ABA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 (0.75, 1.35)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DB06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314D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C9AE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Rad-score_peri, median [IQR]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06B4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 (0.21, 0.68)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19B3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 (0.55, 1.15)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8A71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7B56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6F4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Rad-score_intra+peri, median [IQR]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E2CB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 (0.51, 1.35)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6BC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 (1.42, 2.45)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C2E1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7145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E4F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ITH_integrated_score, median [IQR]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ABE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 (0.85, 1.65)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2E7E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3.45 (2.80, 4.15)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6B6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4B5B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F16F38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pLNM, median [IQR]</w:t>
            </w:r>
          </w:p>
        </w:tc>
        <w:tc>
          <w:tcPr>
            <w:tcW w:w="28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6AD997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 [0.44, 0.45]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38B3E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 [0.44, 0.71]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B16FA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</w:tbl>
    <w:p w14:paraId="7E490675">
      <w:pPr>
        <w:jc w:val="both"/>
        <w:rPr>
          <w:rFonts w:eastAsia="宋体"/>
          <w:b/>
          <w:bCs/>
          <w:color w:val="000000"/>
          <w:sz w:val="24"/>
          <w:szCs w:val="24"/>
          <w:lang w:eastAsia="zh-CN" w:bidi="ar"/>
        </w:rPr>
      </w:pPr>
    </w:p>
    <w:p w14:paraId="0B1611F5">
      <w:pPr>
        <w:spacing w:before="22" w:line="249" w:lineRule="auto"/>
        <w:ind w:right="1169"/>
        <w:jc w:val="both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Table 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S3</w:t>
      </w:r>
      <w:r>
        <w:rPr>
          <w:rFonts w:hint="eastAsia"/>
          <w:b/>
          <w:bCs/>
          <w:sz w:val="24"/>
          <w:szCs w:val="24"/>
        </w:rPr>
        <w:t>. Incremental predictive value of the Meta model over each base model assessed by NRI and IDI.</w:t>
      </w:r>
    </w:p>
    <w:tbl>
      <w:tblPr>
        <w:tblStyle w:val="4"/>
        <w:tblW w:w="513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856"/>
        <w:gridCol w:w="815"/>
        <w:gridCol w:w="824"/>
        <w:gridCol w:w="803"/>
        <w:gridCol w:w="825"/>
        <w:gridCol w:w="797"/>
        <w:gridCol w:w="831"/>
        <w:gridCol w:w="796"/>
        <w:gridCol w:w="855"/>
        <w:gridCol w:w="832"/>
        <w:gridCol w:w="843"/>
        <w:gridCol w:w="847"/>
      </w:tblGrid>
      <w:tr w14:paraId="51C22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72" w:type="pct"/>
            <w:vMerge w:val="restart"/>
            <w:tcBorders>
              <w:top w:val="single" w:color="auto" w:sz="4" w:space="0"/>
              <w:left w:val="nil"/>
              <w:right w:val="nil"/>
            </w:tcBorders>
            <w:noWrap/>
          </w:tcPr>
          <w:p w14:paraId="4FEEF57D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Base model</w:t>
            </w:r>
          </w:p>
        </w:tc>
        <w:tc>
          <w:tcPr>
            <w:tcW w:w="1504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34B47579">
            <w:pPr>
              <w:widowControl/>
              <w:jc w:val="both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Tra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ining </w:t>
            </w:r>
          </w:p>
          <w:p w14:paraId="05DF4C1B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cohort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482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1566AC61">
            <w:pPr>
              <w:widowControl/>
              <w:jc w:val="both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Internal validation </w:t>
            </w:r>
          </w:p>
          <w:p w14:paraId="2431634E">
            <w:pPr>
              <w:widowControl/>
              <w:jc w:val="both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cohort </w:t>
            </w:r>
          </w:p>
        </w:tc>
        <w:tc>
          <w:tcPr>
            <w:tcW w:w="154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033C6354">
            <w:pPr>
              <w:widowControl/>
              <w:jc w:val="both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External validation </w:t>
            </w:r>
          </w:p>
          <w:p w14:paraId="549EBCA8">
            <w:pPr>
              <w:widowControl/>
              <w:jc w:val="both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cohort </w:t>
            </w:r>
          </w:p>
        </w:tc>
      </w:tr>
      <w:tr w14:paraId="3BD7B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72" w:type="pct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</w:tcPr>
          <w:p w14:paraId="2E88A679">
            <w:pPr>
              <w:widowControl/>
              <w:jc w:val="both"/>
              <w:textAlignment w:val="top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2B5C2301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NRI </w:t>
            </w:r>
          </w:p>
          <w:p w14:paraId="6AA4E434">
            <w:pPr>
              <w:widowControl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 CI)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13B90F88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 value</w:t>
            </w:r>
          </w:p>
        </w:tc>
        <w:tc>
          <w:tcPr>
            <w:tcW w:w="3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2881AA9D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IDI </w:t>
            </w:r>
          </w:p>
          <w:p w14:paraId="6D77EBDA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 CI)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53C2A1F6">
            <w:pPr>
              <w:widowControl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 value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21355E18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NRI</w:t>
            </w:r>
          </w:p>
          <w:p w14:paraId="18A2A4EB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(95% CI)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128E4AEB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 value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2A707402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IDI </w:t>
            </w:r>
          </w:p>
          <w:p w14:paraId="35BE03B7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 CI)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0E8D0348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 value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1A25C94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NRI</w:t>
            </w:r>
          </w:p>
          <w:p w14:paraId="6C039721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 CI)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7E6FEF8A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 value</w:t>
            </w:r>
          </w:p>
        </w:tc>
        <w:tc>
          <w:tcPr>
            <w:tcW w:w="38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619799AF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IDI </w:t>
            </w:r>
          </w:p>
          <w:p w14:paraId="3B727912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 CI)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07167C4D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 value</w:t>
            </w:r>
          </w:p>
        </w:tc>
      </w:tr>
      <w:tr w14:paraId="23625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472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0714BC3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Cox </w:t>
            </w:r>
          </w:p>
          <w:p w14:paraId="6E4F36FE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odel</w:t>
            </w:r>
          </w:p>
        </w:tc>
        <w:tc>
          <w:tcPr>
            <w:tcW w:w="3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697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0.308 (0.253-</w:t>
            </w:r>
          </w:p>
          <w:p w14:paraId="7DE227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0.365)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C1CAA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5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1163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0.241 (0.204-</w:t>
            </w:r>
          </w:p>
          <w:p w14:paraId="685474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0.273)</w:t>
            </w:r>
          </w:p>
        </w:tc>
        <w:tc>
          <w:tcPr>
            <w:tcW w:w="36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54B0D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B34A9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0.324 (0.272-</w:t>
            </w:r>
          </w:p>
          <w:p w14:paraId="54FD18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0.373)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A514D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91A59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0.250 (0.204-0.286)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3C1AB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9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7BCA9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0.313 (0.269-0.372)</w:t>
            </w:r>
          </w:p>
        </w:tc>
        <w:tc>
          <w:tcPr>
            <w:tcW w:w="37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FBB05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8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23DC3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 (0.201-0.280)</w:t>
            </w:r>
          </w:p>
        </w:tc>
        <w:tc>
          <w:tcPr>
            <w:tcW w:w="38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6347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DEA9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00D2C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RSF model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A35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0.181 (0.127-0.231)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424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EA28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0.129 (0.093-0.168)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34C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07A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0.165 (0.118-0.219)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50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20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0.138 (0.103-0.187)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2162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3CF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0.175 (0.117-0.217)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748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7E3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0.131 (0.092-0.173)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379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BAA9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24430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Elastic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Net-Cox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982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0.246 (0.199-0.289)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3A4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E5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0.192 (0.157-0.222)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207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0B9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 (0.191-0.297)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8B4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BD8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0.196 (0.156-0.244)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358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CA9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0.230 (0.172-0.289)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68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B28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0.186 (0.146-0.223)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D8B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1A04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38E9F">
            <w:pPr>
              <w:keepNext w:val="0"/>
              <w:keepLines w:val="0"/>
              <w:widowControl/>
              <w:suppressLineNumbers w:val="0"/>
              <w:jc w:val="both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DeepSurv model</w:t>
            </w:r>
          </w:p>
          <w:p w14:paraId="19FE7B24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D49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0.118 (0.074-0.163)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1FD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306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0.090 (0.042-0.131)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270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15A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0.127 (0.083-0.178)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D2C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D3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0.108 (0.060-0.141)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00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F8A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0.112 (0.058-0.167)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750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152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0.097 (0.047-0.138)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349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B87C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7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B01A8BD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SVR model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DA197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0.088 (0.030-0.137)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89B6D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</w:t>
            </w:r>
          </w:p>
        </w:tc>
        <w:tc>
          <w:tcPr>
            <w:tcW w:w="3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D3F7F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0.058 (0.025-0.101)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D0E2C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8E87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0.079 (0.026-0.126)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83D34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24801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0.057 (0.021-0.094)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9512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D4398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0.069 (0.017-0.114)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8D2F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</w:t>
            </w:r>
          </w:p>
        </w:tc>
        <w:tc>
          <w:tcPr>
            <w:tcW w:w="38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E7EF4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0.059 (0.023-0.097)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EB718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</w:t>
            </w:r>
          </w:p>
        </w:tc>
      </w:tr>
    </w:tbl>
    <w:p w14:paraId="5EDCF03A">
      <w:pPr>
        <w:spacing w:before="22" w:line="249" w:lineRule="auto"/>
        <w:ind w:right="1169"/>
        <w:jc w:val="both"/>
        <w:rPr>
          <w:rFonts w:hint="eastAsia"/>
          <w:b/>
          <w:bCs/>
          <w:sz w:val="24"/>
          <w:szCs w:val="24"/>
        </w:rPr>
      </w:pPr>
    </w:p>
    <w:p w14:paraId="2F646741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</w:rPr>
        <w:t xml:space="preserve">Table 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S4</w:t>
      </w:r>
      <w:r>
        <w:rPr>
          <w:rFonts w:hint="eastAsia"/>
          <w:b/>
          <w:bCs/>
          <w:sz w:val="24"/>
          <w:szCs w:val="24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Time-dependent AUC of the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  <w:t>five base models and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 Meta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 m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  <w:t>odel across the three cohorts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  <w:t>.</w:t>
      </w:r>
    </w:p>
    <w:p w14:paraId="2864C10D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</w:pPr>
    </w:p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163"/>
        <w:gridCol w:w="1383"/>
        <w:gridCol w:w="1420"/>
        <w:gridCol w:w="1393"/>
        <w:gridCol w:w="1420"/>
        <w:gridCol w:w="1391"/>
        <w:gridCol w:w="1448"/>
      </w:tblGrid>
      <w:tr w14:paraId="18DF3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4234F91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Cohort</w:t>
            </w:r>
          </w:p>
        </w:tc>
        <w:tc>
          <w:tcPr>
            <w:tcW w:w="5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FE212DC">
            <w:pPr>
              <w:widowControl/>
              <w:jc w:val="both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Time point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743EC13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COX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FE906A2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RSF</w:t>
            </w:r>
          </w:p>
        </w:tc>
        <w:tc>
          <w:tcPr>
            <w:tcW w:w="6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7D79ECD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Elastic Net-Cox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04C4D3F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DeepSurv</w:t>
            </w:r>
          </w:p>
        </w:tc>
        <w:tc>
          <w:tcPr>
            <w:tcW w:w="6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978B8F7">
            <w:pPr>
              <w:widowControl/>
              <w:jc w:val="both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SV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R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DC6A757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Meta</w:t>
            </w:r>
          </w:p>
        </w:tc>
      </w:tr>
      <w:tr w14:paraId="27238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49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BB6E916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</w:t>
            </w:r>
          </w:p>
        </w:tc>
        <w:tc>
          <w:tcPr>
            <w:tcW w:w="54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9DAF845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12 months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57809B4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0.745 (0.703-0.792)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6F395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0.828 (0.791-0.870)</w:t>
            </w:r>
          </w:p>
        </w:tc>
        <w:tc>
          <w:tcPr>
            <w:tcW w:w="652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CDB8F96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0.789 (0.754-0.836)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12C0F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.856 (0.818-0.891)</w:t>
            </w:r>
          </w:p>
        </w:tc>
        <w:tc>
          <w:tcPr>
            <w:tcW w:w="65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1BBFE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0.877 (0.831-0.919)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05328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0.915 (0.872-0.954)</w:t>
            </w:r>
          </w:p>
        </w:tc>
      </w:tr>
      <w:tr w14:paraId="13719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9E1C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37EA62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24 months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D665D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0.733 (0.697-0.773)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B8E18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0.811 (0.773-0.846)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5614A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0.776 (0.732-0.819)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B3969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0.839 (0.801-0.874)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EF11E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0.866 (0.828-0.914)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C9BAE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0.902 (0.856-0.938)</w:t>
            </w:r>
          </w:p>
        </w:tc>
      </w:tr>
      <w:tr w14:paraId="6A2E1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20299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1710A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36 months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AECE7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0.726 (0.685-0.767)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D7B2B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0.801 (0.762-0.838)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1AFE3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0.766 (0.727-0.813)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C5C08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0.830 (0.795-0.866)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3E1EF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0.857 (0.815-0.892)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454FC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0.889 (0.846-0.926)</w:t>
            </w:r>
          </w:p>
        </w:tc>
      </w:tr>
      <w:tr w14:paraId="2D827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3CE3C">
            <w:pPr>
              <w:widowControl/>
              <w:jc w:val="both"/>
              <w:textAlignment w:val="bottom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0"/>
                <w:szCs w:val="20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29808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12 months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8B8E1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0.733 (0.691-0.775)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0626A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0.813 (0.766-0.855)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9D523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0.774 (0.729-0.821)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76832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0.840 (0.799-0.886)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48A72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0.865 (0.822-0.903)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5AC12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0.901 (0.858-0.944)</w:t>
            </w:r>
          </w:p>
        </w:tc>
      </w:tr>
      <w:tr w14:paraId="43DF2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713529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0"/>
                <w:szCs w:val="20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EDBB5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24 months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32A12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0.718 (0.672-0.755)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4D2E5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0.803 (0.758-0.843)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89809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0.766 (0.726-0.804)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D016F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0.825 (0.781-0.863)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90A8F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0.851 (0.808-0.893)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C5C58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0.888 (0.848-0.929)</w:t>
            </w:r>
          </w:p>
        </w:tc>
      </w:tr>
      <w:tr w14:paraId="707BB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14380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0"/>
                <w:szCs w:val="20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1D944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36 months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34C0C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0.709 (0.664-0.746)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773D8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0.791 (0.754-0.830)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04E5D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0.749 (0.709-0.796)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0D63A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0.813 (0.775-0.852)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381C2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0.842 (0.802-0.884)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140B0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0.877 (0.839-0.922)</w:t>
            </w:r>
          </w:p>
        </w:tc>
      </w:tr>
      <w:tr w14:paraId="15204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BAF93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5C193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12 months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9A780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0.721 (0.683-0.766)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C628E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0.802 (0.766-0.842)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AEE86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0.761 (0.720-0.802)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EE017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0.825 (0.778-0.863)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BE6FC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0.850 (0.807-0.895)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1F366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0.887 (0.845-0.930)</w:t>
            </w:r>
          </w:p>
        </w:tc>
      </w:tr>
      <w:tr w14:paraId="13BDF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2D48B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5836F3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24 months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08B79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0.705 (0.658-0.743)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D54DE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0.786 (0.742-0.832)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7DE05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0.748 (0.704-0.788)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BBC50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0.814 (0.769-0.859)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D66CE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0.842 (0.803-0.880)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902A9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0.875 (0.828-0.920)</w:t>
            </w:r>
          </w:p>
        </w:tc>
      </w:tr>
      <w:tr w14:paraId="4FC4B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F52EC8E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94844FA">
            <w:pPr>
              <w:widowControl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36 months</w:t>
            </w:r>
          </w:p>
        </w:tc>
        <w:tc>
          <w:tcPr>
            <w:tcW w:w="647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BB16A53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0.697 (0.657-0.742)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7262E62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0.774 (0.729-0.810)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4C266A3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0.738 (0.701-0.785)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EC3B14E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0.804 (0.765-0.840)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12814B0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0.830 (0.788-0.875)</w:t>
            </w: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577EAE8">
            <w:pPr>
              <w:widowControl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0.860 (0.820-0.906)</w:t>
            </w:r>
          </w:p>
        </w:tc>
      </w:tr>
    </w:tbl>
    <w:p w14:paraId="41205DAB">
      <w:pPr>
        <w:spacing w:before="22" w:line="249" w:lineRule="auto"/>
        <w:ind w:right="1169"/>
        <w:jc w:val="both"/>
        <w:rPr>
          <w:rFonts w:hint="eastAsia"/>
          <w:b/>
          <w:bCs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removePersonalInformation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5352"/>
    <w:rsid w:val="00135135"/>
    <w:rsid w:val="001B3E22"/>
    <w:rsid w:val="0033688E"/>
    <w:rsid w:val="003B4F7C"/>
    <w:rsid w:val="00465F29"/>
    <w:rsid w:val="00514508"/>
    <w:rsid w:val="006D793E"/>
    <w:rsid w:val="00AF1F4E"/>
    <w:rsid w:val="00B21D53"/>
    <w:rsid w:val="00B677E8"/>
    <w:rsid w:val="00C05957"/>
    <w:rsid w:val="00CF7C6D"/>
    <w:rsid w:val="00D272FB"/>
    <w:rsid w:val="00E25F5E"/>
    <w:rsid w:val="00E645F8"/>
    <w:rsid w:val="00EA3DFC"/>
    <w:rsid w:val="00F44195"/>
    <w:rsid w:val="01650FF5"/>
    <w:rsid w:val="022238E0"/>
    <w:rsid w:val="022278B2"/>
    <w:rsid w:val="02B8118D"/>
    <w:rsid w:val="03297D88"/>
    <w:rsid w:val="03313805"/>
    <w:rsid w:val="034F46D6"/>
    <w:rsid w:val="03771E7F"/>
    <w:rsid w:val="04B85FF7"/>
    <w:rsid w:val="053A30E8"/>
    <w:rsid w:val="06383B48"/>
    <w:rsid w:val="06530982"/>
    <w:rsid w:val="06C47663"/>
    <w:rsid w:val="0858402D"/>
    <w:rsid w:val="08D329F3"/>
    <w:rsid w:val="0AD33E3F"/>
    <w:rsid w:val="0B4D3922"/>
    <w:rsid w:val="0C815300"/>
    <w:rsid w:val="0D442DD2"/>
    <w:rsid w:val="0D4A5D4B"/>
    <w:rsid w:val="0D4C7ED9"/>
    <w:rsid w:val="0E3B00F9"/>
    <w:rsid w:val="118F0ABB"/>
    <w:rsid w:val="11AA7727"/>
    <w:rsid w:val="11D852C7"/>
    <w:rsid w:val="127F4294"/>
    <w:rsid w:val="12FC7CAB"/>
    <w:rsid w:val="131D659F"/>
    <w:rsid w:val="1341021D"/>
    <w:rsid w:val="13E668E3"/>
    <w:rsid w:val="14DC7D94"/>
    <w:rsid w:val="151605A8"/>
    <w:rsid w:val="15CE1E23"/>
    <w:rsid w:val="169F376F"/>
    <w:rsid w:val="18210C77"/>
    <w:rsid w:val="18B6732C"/>
    <w:rsid w:val="19235F91"/>
    <w:rsid w:val="194975C6"/>
    <w:rsid w:val="19762565"/>
    <w:rsid w:val="19CA465F"/>
    <w:rsid w:val="19CE216F"/>
    <w:rsid w:val="1AD52489"/>
    <w:rsid w:val="1B171B26"/>
    <w:rsid w:val="1BAB04C0"/>
    <w:rsid w:val="1C640D9B"/>
    <w:rsid w:val="1CBB19C9"/>
    <w:rsid w:val="1CFF2872"/>
    <w:rsid w:val="1D8B67FB"/>
    <w:rsid w:val="1ED02D88"/>
    <w:rsid w:val="1FCA53B9"/>
    <w:rsid w:val="20343C94"/>
    <w:rsid w:val="20CE712B"/>
    <w:rsid w:val="216B7889"/>
    <w:rsid w:val="21B43F2C"/>
    <w:rsid w:val="21DD4FC1"/>
    <w:rsid w:val="22717D6E"/>
    <w:rsid w:val="228A7CE8"/>
    <w:rsid w:val="22BA63DA"/>
    <w:rsid w:val="22DF3681"/>
    <w:rsid w:val="23411E36"/>
    <w:rsid w:val="25441769"/>
    <w:rsid w:val="258B453E"/>
    <w:rsid w:val="26804A23"/>
    <w:rsid w:val="27743E5C"/>
    <w:rsid w:val="28580411"/>
    <w:rsid w:val="29BB4F9F"/>
    <w:rsid w:val="2A1A0CEB"/>
    <w:rsid w:val="2A1C1FBC"/>
    <w:rsid w:val="2B361B54"/>
    <w:rsid w:val="2B675630"/>
    <w:rsid w:val="2CBF3DCB"/>
    <w:rsid w:val="2D095047"/>
    <w:rsid w:val="2DFF6B75"/>
    <w:rsid w:val="2F032695"/>
    <w:rsid w:val="2F3C3F62"/>
    <w:rsid w:val="2FDC6718"/>
    <w:rsid w:val="300F0BC6"/>
    <w:rsid w:val="324A05DB"/>
    <w:rsid w:val="329D070B"/>
    <w:rsid w:val="32AE45F5"/>
    <w:rsid w:val="32E12506"/>
    <w:rsid w:val="32F3657D"/>
    <w:rsid w:val="334308AF"/>
    <w:rsid w:val="3356386B"/>
    <w:rsid w:val="33582BA4"/>
    <w:rsid w:val="33C32C18"/>
    <w:rsid w:val="34272982"/>
    <w:rsid w:val="3474193F"/>
    <w:rsid w:val="34995C1C"/>
    <w:rsid w:val="353E4427"/>
    <w:rsid w:val="36C456AD"/>
    <w:rsid w:val="36ED146C"/>
    <w:rsid w:val="371C0798"/>
    <w:rsid w:val="371D006C"/>
    <w:rsid w:val="39513FFD"/>
    <w:rsid w:val="397321C6"/>
    <w:rsid w:val="39AC56D7"/>
    <w:rsid w:val="39B12CEE"/>
    <w:rsid w:val="3AA30888"/>
    <w:rsid w:val="3B515839"/>
    <w:rsid w:val="3CE8111C"/>
    <w:rsid w:val="3E721C7E"/>
    <w:rsid w:val="3EB5502E"/>
    <w:rsid w:val="3F283564"/>
    <w:rsid w:val="40040C59"/>
    <w:rsid w:val="40520D87"/>
    <w:rsid w:val="423050F8"/>
    <w:rsid w:val="434D7F2B"/>
    <w:rsid w:val="43572B58"/>
    <w:rsid w:val="445F7F16"/>
    <w:rsid w:val="459941A4"/>
    <w:rsid w:val="45E23A9D"/>
    <w:rsid w:val="45E306D3"/>
    <w:rsid w:val="468A6DA0"/>
    <w:rsid w:val="47D93B3C"/>
    <w:rsid w:val="48981D5E"/>
    <w:rsid w:val="4970227E"/>
    <w:rsid w:val="49E113CD"/>
    <w:rsid w:val="4A1E7F2C"/>
    <w:rsid w:val="4AA04BED"/>
    <w:rsid w:val="4B3F63AB"/>
    <w:rsid w:val="4C1B5BE1"/>
    <w:rsid w:val="4D302450"/>
    <w:rsid w:val="4D6E4D26"/>
    <w:rsid w:val="4DC52833"/>
    <w:rsid w:val="4F1B3686"/>
    <w:rsid w:val="4FB1539E"/>
    <w:rsid w:val="4FEC3A7D"/>
    <w:rsid w:val="50463D38"/>
    <w:rsid w:val="50F43794"/>
    <w:rsid w:val="51112598"/>
    <w:rsid w:val="513444D8"/>
    <w:rsid w:val="52BA27BB"/>
    <w:rsid w:val="537137C2"/>
    <w:rsid w:val="53F6404E"/>
    <w:rsid w:val="54295448"/>
    <w:rsid w:val="54493DF7"/>
    <w:rsid w:val="561C5C67"/>
    <w:rsid w:val="566118CC"/>
    <w:rsid w:val="576158FB"/>
    <w:rsid w:val="57996E43"/>
    <w:rsid w:val="57A102B2"/>
    <w:rsid w:val="57B343A9"/>
    <w:rsid w:val="57CE7CD0"/>
    <w:rsid w:val="58B303D9"/>
    <w:rsid w:val="59124758"/>
    <w:rsid w:val="598F6750"/>
    <w:rsid w:val="5B1605CF"/>
    <w:rsid w:val="5C0A2F27"/>
    <w:rsid w:val="5C2313D1"/>
    <w:rsid w:val="5C3E1FD9"/>
    <w:rsid w:val="5C8A31FF"/>
    <w:rsid w:val="5D116D37"/>
    <w:rsid w:val="5E2356B9"/>
    <w:rsid w:val="5E802943"/>
    <w:rsid w:val="5EAE7678"/>
    <w:rsid w:val="5EBD3D5F"/>
    <w:rsid w:val="5F484EFA"/>
    <w:rsid w:val="6126799A"/>
    <w:rsid w:val="61271964"/>
    <w:rsid w:val="616E7593"/>
    <w:rsid w:val="61F25ACE"/>
    <w:rsid w:val="61F359F2"/>
    <w:rsid w:val="626544F2"/>
    <w:rsid w:val="62894684"/>
    <w:rsid w:val="63147CC6"/>
    <w:rsid w:val="6410048D"/>
    <w:rsid w:val="64754794"/>
    <w:rsid w:val="661E3E99"/>
    <w:rsid w:val="664B1C51"/>
    <w:rsid w:val="66FC2F4B"/>
    <w:rsid w:val="67277FC8"/>
    <w:rsid w:val="684150B9"/>
    <w:rsid w:val="68726DF3"/>
    <w:rsid w:val="6A183C6D"/>
    <w:rsid w:val="6A86202C"/>
    <w:rsid w:val="6AB853DB"/>
    <w:rsid w:val="6B712159"/>
    <w:rsid w:val="6BFD1C3F"/>
    <w:rsid w:val="6C042FCD"/>
    <w:rsid w:val="6C12058D"/>
    <w:rsid w:val="6C5F1FB2"/>
    <w:rsid w:val="6CE44BC2"/>
    <w:rsid w:val="6D505D9E"/>
    <w:rsid w:val="6E756A8D"/>
    <w:rsid w:val="6EB365E5"/>
    <w:rsid w:val="6F5E47A3"/>
    <w:rsid w:val="6FA04DBB"/>
    <w:rsid w:val="6FA523D2"/>
    <w:rsid w:val="6FAA3514"/>
    <w:rsid w:val="705D0EFE"/>
    <w:rsid w:val="709C53B3"/>
    <w:rsid w:val="71FD7002"/>
    <w:rsid w:val="72C03831"/>
    <w:rsid w:val="7312497B"/>
    <w:rsid w:val="732D105C"/>
    <w:rsid w:val="73640774"/>
    <w:rsid w:val="73EC4A73"/>
    <w:rsid w:val="74575C64"/>
    <w:rsid w:val="747915C9"/>
    <w:rsid w:val="75520687"/>
    <w:rsid w:val="76040FE2"/>
    <w:rsid w:val="76436973"/>
    <w:rsid w:val="776B3F01"/>
    <w:rsid w:val="777C610E"/>
    <w:rsid w:val="77D23095"/>
    <w:rsid w:val="78574515"/>
    <w:rsid w:val="78C53AE4"/>
    <w:rsid w:val="78FD6DDA"/>
    <w:rsid w:val="790F113B"/>
    <w:rsid w:val="7BBA6EFE"/>
    <w:rsid w:val="7C330D65"/>
    <w:rsid w:val="7C4E5B9F"/>
    <w:rsid w:val="7C975798"/>
    <w:rsid w:val="7DC205F3"/>
    <w:rsid w:val="7F31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pPr>
      <w:spacing w:line="119" w:lineRule="exact"/>
      <w:jc w:val="center"/>
    </w:pPr>
    <w:rPr>
      <w:rFonts w:ascii="Palatino Linotype" w:hAnsi="Palatino Linotype" w:eastAsia="Palatino Linotype" w:cs="Palatino Linotype"/>
    </w:rPr>
  </w:style>
  <w:style w:type="paragraph" w:customStyle="1" w:styleId="8">
    <w:name w:val="Revision"/>
    <w:hidden/>
    <w:unhideWhenUsed/>
    <w:qFormat/>
    <w:uiPriority w:val="99"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customStyle="1" w:styleId="9">
    <w:name w:val="页眉 字符"/>
    <w:basedOn w:val="6"/>
    <w:link w:val="3"/>
    <w:qFormat/>
    <w:uiPriority w:val="0"/>
    <w:rPr>
      <w:rFonts w:ascii="Times New Roman" w:hAnsi="Times New Roman" w:eastAsia="Times New Roman" w:cs="Times New Roman"/>
      <w:sz w:val="18"/>
      <w:szCs w:val="18"/>
      <w:lang w:eastAsia="en-US"/>
    </w:rPr>
  </w:style>
  <w:style w:type="character" w:customStyle="1" w:styleId="10">
    <w:name w:val="页脚 字符"/>
    <w:basedOn w:val="6"/>
    <w:link w:val="2"/>
    <w:qFormat/>
    <w:uiPriority w:val="0"/>
    <w:rPr>
      <w:rFonts w:ascii="Times New Roman" w:hAnsi="Times New Roman" w:eastAsia="Times New Roman" w:cs="Times New Roman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373</Words>
  <Characters>3266</Characters>
  <Lines>670</Lines>
  <Paragraphs>471</Paragraphs>
  <TotalTime>9</TotalTime>
  <ScaleCrop>false</ScaleCrop>
  <LinksUpToDate>false</LinksUpToDate>
  <CharactersWithSpaces>3506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2026-05-25T10:18:00Z</dcterms:created>
  <dcterms:modified xsi:type="dcterms:W3CDTF">2026-10-07T08:25:05Z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eyJoZGlkIjoiMzEwNTM5NzYwMDRjMzkwZTVkZjY2ODkwMGIxNGU0OTUiLCJ1c2VySWQiOiI3MTM5NjY0ODUifQ==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44B1FCBAB347493B93F0E05D6CC92DA3_13</vt:lpwstr>
  </property>
</Properties>
</file>