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F45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S1</w:t>
      </w:r>
    </w:p>
    <w:p w14:paraId="75F8A62C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353060</wp:posOffset>
            </wp:positionH>
            <wp:positionV relativeFrom="paragraph">
              <wp:posOffset>40640</wp:posOffset>
            </wp:positionV>
            <wp:extent cx="3684905" cy="3554730"/>
            <wp:effectExtent l="0" t="0" r="3175" b="0"/>
            <wp:wrapTopAndBottom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84905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6A8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LEGENDS</w:t>
      </w:r>
    </w:p>
    <w:p w14:paraId="5EFD5607">
      <w:pPr>
        <w:spacing w:after="156" w:afterLines="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hint="eastAsia"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. The siRNA efficiency of targeted genes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for </w:t>
      </w:r>
      <w:r>
        <w:rPr>
          <w:rFonts w:ascii="Times New Roman" w:hAnsi="Times New Roman" w:cs="Times New Roman"/>
          <w:b/>
          <w:sz w:val="24"/>
          <w:szCs w:val="24"/>
        </w:rPr>
        <w:t>effect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of viral mRNA </w:t>
      </w:r>
      <w:r>
        <w:rPr>
          <w:rFonts w:ascii="Times New Roman" w:hAnsi="Times New Roman" w:cs="Times New Roman"/>
          <w:b/>
          <w:sz w:val="24"/>
          <w:szCs w:val="24"/>
        </w:rPr>
        <w:t>assay</w:t>
      </w:r>
    </w:p>
    <w:p w14:paraId="6BE40D02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Vero cells were transfected with siRNA targeting indicated genes for 36 h, and cells were infected with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HSV-1/COS</w:t>
      </w:r>
      <w:r>
        <w:rPr>
          <w:rFonts w:hint="eastAsia" w:ascii="Times New Roman" w:hAnsi="Times New Roman" w:cs="Times New Roman"/>
          <w:sz w:val="24"/>
          <w:szCs w:val="24"/>
        </w:rPr>
        <w:t xml:space="preserve"> at an MOI of 0.1 at 37℃ for 2 h. After 24 h, the cells were harvested, and the efficiency of siRNA was analyzed u</w:t>
      </w:r>
      <w:r>
        <w:rPr>
          <w:rFonts w:ascii="Times New Roman" w:hAnsi="Times New Roman" w:cs="Times New Roman"/>
          <w:sz w:val="24"/>
          <w:szCs w:val="24"/>
        </w:rPr>
        <w:t>sing RT-qPCR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 w14:paraId="390EEBB7">
      <w:pPr>
        <w:rPr>
          <w:rFonts w:ascii="Times New Roman" w:hAnsi="Times New Roman" w:cs="Times New Roman"/>
          <w:sz w:val="24"/>
          <w:szCs w:val="24"/>
        </w:rPr>
      </w:pPr>
    </w:p>
    <w:p w14:paraId="2CB9069E">
      <w:pPr>
        <w:spacing w:after="156" w:afterLines="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hint="eastAsia"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 xml:space="preserve">. The </w:t>
      </w:r>
      <w:r>
        <w:rPr>
          <w:rFonts w:hint="eastAsia" w:ascii="Times New Roman" w:hAnsi="Times New Roman" w:cs="Times New Roman"/>
          <w:b/>
          <w:sz w:val="24"/>
          <w:szCs w:val="24"/>
        </w:rPr>
        <w:t>cell</w:t>
      </w:r>
      <w:r>
        <w:rPr>
          <w:rFonts w:ascii="Times New Roman" w:hAnsi="Times New Roman" w:cs="Times New Roman"/>
          <w:b/>
          <w:sz w:val="24"/>
          <w:szCs w:val="24"/>
        </w:rPr>
        <w:t xml:space="preserve"> viability of targeted genes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for</w:t>
      </w:r>
      <w:r>
        <w:rPr>
          <w:rFonts w:ascii="Times New Roman" w:hAnsi="Times New Roman" w:cs="Times New Roman"/>
          <w:b/>
          <w:sz w:val="24"/>
          <w:szCs w:val="24"/>
        </w:rPr>
        <w:t xml:space="preserve"> effect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of viral mRNA </w:t>
      </w:r>
      <w:r>
        <w:rPr>
          <w:rFonts w:ascii="Times New Roman" w:hAnsi="Times New Roman" w:cs="Times New Roman"/>
          <w:b/>
          <w:sz w:val="24"/>
          <w:szCs w:val="24"/>
        </w:rPr>
        <w:t>assay</w:t>
      </w:r>
    </w:p>
    <w:p w14:paraId="40B08369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Vero cells were transfected with siRNA targeting indicated genes for 36 h, and the </w:t>
      </w:r>
      <w:r>
        <w:rPr>
          <w:rFonts w:ascii="Times New Roman" w:hAnsi="Times New Roman" w:cs="Times New Roman"/>
          <w:sz w:val="24"/>
          <w:szCs w:val="24"/>
        </w:rPr>
        <w:t>cell viability</w:t>
      </w:r>
      <w:r>
        <w:rPr>
          <w:rFonts w:hint="eastAsia" w:ascii="Times New Roman" w:hAnsi="Times New Roman" w:cs="Times New Roman"/>
          <w:sz w:val="24"/>
          <w:szCs w:val="24"/>
        </w:rPr>
        <w:t xml:space="preserve"> was analyzed u</w:t>
      </w:r>
      <w:r>
        <w:rPr>
          <w:rFonts w:ascii="Times New Roman" w:hAnsi="Times New Roman" w:cs="Times New Roman"/>
          <w:sz w:val="24"/>
          <w:szCs w:val="24"/>
        </w:rPr>
        <w:t xml:space="preserve">sing </w:t>
      </w:r>
      <w:r>
        <w:rPr>
          <w:rFonts w:hint="eastAsia" w:ascii="Times New Roman" w:hAnsi="Times New Roman" w:cs="Times New Roman"/>
          <w:sz w:val="24"/>
          <w:szCs w:val="24"/>
        </w:rPr>
        <w:t>CCK-8 kit.</w:t>
      </w:r>
    </w:p>
    <w:p w14:paraId="12F3020C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br w:type="page"/>
      </w:r>
    </w:p>
    <w:p w14:paraId="586E60D3">
      <w:pP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2</w:t>
      </w:r>
    </w:p>
    <w:p w14:paraId="3CCFA907">
      <w:pPr>
        <w:rPr>
          <w:rFonts w:ascii="Times New Roman" w:hAnsi="Times New Roman" w:cs="Times New Roman"/>
          <w:b/>
          <w:sz w:val="24"/>
          <w:szCs w:val="24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158115</wp:posOffset>
            </wp:positionV>
            <wp:extent cx="5384800" cy="1889125"/>
            <wp:effectExtent l="0" t="0" r="0" b="635"/>
            <wp:wrapTopAndBottom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1149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LEGENDS</w:t>
      </w:r>
    </w:p>
    <w:p w14:paraId="053A8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sz w:val="24"/>
          <w:szCs w:val="24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2. 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Toxicity analysis of eFT508 in mice. </w:t>
      </w:r>
    </w:p>
    <w:p w14:paraId="353DB418">
      <w:pPr>
        <w:rPr>
          <w:rFonts w:hint="default" w:ascii="Times New Roman" w:hAnsi="Times New Roman" w:cs="Times New Roman" w:eastAsia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24"/>
          <w:szCs w:val="24"/>
        </w:rPr>
        <w:t>eFT508 was administered by oral gavage for 5 consecutive days in a regimen of a single daily dose of 30 mg/kg. Four-week-old SPF BALB/c mice were randomly divided into 2 groups (n = 6, the control group, and the eFT508 group, with equal numbers of males and females). Changes in the body weights of the mice were recorded at regular intervals daily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(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S2A)</w:t>
      </w:r>
      <w:r>
        <w:rPr>
          <w:rFonts w:hint="eastAsia" w:ascii="Times New Roman" w:hAnsi="Times New Roman" w:cs="Times New Roman"/>
          <w:b w:val="0"/>
          <w:bCs/>
          <w:sz w:val="24"/>
          <w:szCs w:val="24"/>
        </w:rPr>
        <w:t>. They were humanely slaughtered at a given time, and the lung and liver were obtained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, tissue morphological changes and inflammatory infiltration were surveyed by H&amp;E Staining (S2B).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25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2026-09-16T15:38:43Z</dcterms:created>
  <dc:creator>lenovo</dc:creator>
  <cp:lastModifiedBy>张修忠</cp:lastModifiedBy>
  <dcterms:modified xsi:type="dcterms:W3CDTF">2026-09-16T15:52:29Z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eyJoZGlkIjoiZTdiYTc4MDUxNmI5NDRkN2E0MTUyN2RhMjVjN2JlNzAiLCJ1c2VySWQiOiIxNzY2MTExNzczIn0=</vt:lpwstr>
  </property>
  <property fmtid="{D5CDD505-2E9C-101B-9397-08002B2CF9AE}" pid="4" name="ICV">
    <vt:lpwstr>57AD55EB6903401A86686BD1BB52DCA0_12</vt:lpwstr>
  </property>
</Properties>
</file>