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90C74" w14:textId="77777777" w:rsidR="00AF1134" w:rsidRDefault="00000000">
      <w:pPr>
        <w:spacing w:after="0"/>
        <w:rPr>
          <w:rFonts w:eastAsia="宋体"/>
          <w:b/>
          <w:lang w:eastAsia="zh-CN"/>
        </w:rPr>
      </w:pPr>
      <w:r>
        <w:rPr>
          <w:b/>
        </w:rPr>
        <w:t>Additional file 4. Comparison of admission eosinophil count across age strata (age-stratified analysis)</w:t>
      </w:r>
    </w:p>
    <w:tbl>
      <w:tblPr>
        <w:tblStyle w:val="a7"/>
        <w:tblpPr w:leftFromText="180" w:rightFromText="180" w:vertAnchor="text" w:horzAnchor="margin" w:tblpY="2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1276"/>
        <w:gridCol w:w="1843"/>
        <w:gridCol w:w="1559"/>
        <w:gridCol w:w="2126"/>
        <w:gridCol w:w="2835"/>
        <w:gridCol w:w="1985"/>
      </w:tblGrid>
      <w:tr w:rsidR="00AF1134" w14:paraId="1F2C0AE0" w14:textId="77777777" w:rsidTr="009F7B38">
        <w:tc>
          <w:tcPr>
            <w:tcW w:w="1384" w:type="dxa"/>
            <w:tcBorders>
              <w:top w:val="single" w:sz="12" w:space="0" w:color="auto"/>
              <w:bottom w:val="single" w:sz="4" w:space="0" w:color="auto"/>
            </w:tcBorders>
          </w:tcPr>
          <w:p w14:paraId="345FADC9" w14:textId="77777777" w:rsidR="00AF1134" w:rsidRPr="009F7B38" w:rsidRDefault="00000000" w:rsidP="009F7B38">
            <w:pPr>
              <w:jc w:val="center"/>
              <w:rPr>
                <w:sz w:val="18"/>
                <w:szCs w:val="18"/>
              </w:rPr>
            </w:pPr>
            <w:r w:rsidRPr="009F7B38">
              <w:rPr>
                <w:b/>
                <w:sz w:val="18"/>
                <w:szCs w:val="18"/>
              </w:rPr>
              <w:t>Age stratum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</w:tcPr>
          <w:p w14:paraId="559AC45F" w14:textId="77777777" w:rsidR="00AF1134" w:rsidRPr="009F7B38" w:rsidRDefault="00000000" w:rsidP="009F7B38">
            <w:pPr>
              <w:jc w:val="center"/>
              <w:rPr>
                <w:sz w:val="18"/>
                <w:szCs w:val="18"/>
              </w:rPr>
            </w:pPr>
            <w:r w:rsidRPr="009F7B38">
              <w:rPr>
                <w:b/>
                <w:sz w:val="18"/>
                <w:szCs w:val="18"/>
              </w:rPr>
              <w:t>Influenza n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</w:tcPr>
          <w:p w14:paraId="2D6C4DE0" w14:textId="77777777" w:rsidR="00AF1134" w:rsidRPr="009F7B38" w:rsidRDefault="00000000" w:rsidP="009F7B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Influenza </w:t>
            </w:r>
            <w:r>
              <w:rPr>
                <w:sz w:val="18"/>
                <w:szCs w:val="18"/>
              </w:rPr>
              <w:t>EOS</w:t>
            </w:r>
            <w:r>
              <w:rPr>
                <w:sz w:val="18"/>
                <w:szCs w:val="18"/>
              </w:rPr>
              <w:t xml:space="preserve"> median (IQR)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</w:tcPr>
          <w:p w14:paraId="2EF44A4A" w14:textId="77777777" w:rsidR="00AF1134" w:rsidRPr="009F7B38" w:rsidRDefault="00000000" w:rsidP="009F7B38">
            <w:pPr>
              <w:jc w:val="center"/>
              <w:rPr>
                <w:sz w:val="18"/>
                <w:szCs w:val="18"/>
              </w:rPr>
            </w:pPr>
            <w:r w:rsidRPr="009F7B38">
              <w:rPr>
                <w:b/>
                <w:sz w:val="18"/>
                <w:szCs w:val="18"/>
              </w:rPr>
              <w:t>Non-influenza n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4" w:space="0" w:color="auto"/>
            </w:tcBorders>
          </w:tcPr>
          <w:p w14:paraId="6CD2D066" w14:textId="77777777" w:rsidR="00AF1134" w:rsidRPr="009F7B38" w:rsidRDefault="00000000" w:rsidP="009F7B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Non-influenza </w:t>
            </w:r>
            <w:r>
              <w:rPr>
                <w:sz w:val="18"/>
                <w:szCs w:val="18"/>
              </w:rPr>
              <w:t>EOS</w:t>
            </w:r>
            <w:r>
              <w:rPr>
                <w:sz w:val="18"/>
                <w:szCs w:val="18"/>
              </w:rPr>
              <w:t xml:space="preserve"> median (IQR)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</w:tcPr>
          <w:p w14:paraId="6E91B8E3" w14:textId="77777777" w:rsidR="00AF1134" w:rsidRPr="009F7B38" w:rsidRDefault="00000000" w:rsidP="009F7B38">
            <w:pPr>
              <w:jc w:val="center"/>
              <w:rPr>
                <w:sz w:val="18"/>
                <w:szCs w:val="18"/>
              </w:rPr>
            </w:pPr>
            <w:r w:rsidRPr="009F7B38">
              <w:rPr>
                <w:b/>
                <w:sz w:val="18"/>
                <w:szCs w:val="18"/>
              </w:rPr>
              <w:t>OR for below-limit EOS (95% CI)†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</w:tcPr>
          <w:p w14:paraId="676EC297" w14:textId="77777777" w:rsidR="00AF1134" w:rsidRPr="009F7B38" w:rsidRDefault="00000000" w:rsidP="009F7B38">
            <w:pPr>
              <w:jc w:val="center"/>
              <w:rPr>
                <w:sz w:val="18"/>
                <w:szCs w:val="18"/>
              </w:rPr>
            </w:pPr>
            <w:r w:rsidRPr="009F7B38">
              <w:rPr>
                <w:b/>
                <w:sz w:val="18"/>
                <w:szCs w:val="18"/>
                <w:i w:val="1"/>
              </w:rPr>
              <w:t xml:space="preserve">P</w:t>
            </w:r>
            <w:r w:rsidRPr="009F7B38">
              <w:rPr>
                <w:b/>
                <w:sz w:val="18"/>
                <w:szCs w:val="18"/>
              </w:rPr>
              <w:t xml:space="preserve"> value</w:t>
            </w:r>
          </w:p>
        </w:tc>
      </w:tr>
      <w:tr w:rsidR="00AF1134" w14:paraId="32D7CF6F" w14:textId="77777777" w:rsidTr="009F7B38">
        <w:tc>
          <w:tcPr>
            <w:tcW w:w="1384" w:type="dxa"/>
            <w:tcBorders>
              <w:top w:val="single" w:sz="4" w:space="0" w:color="auto"/>
            </w:tcBorders>
          </w:tcPr>
          <w:p w14:paraId="77A9FC0D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&lt;1 year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F378644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026CF2C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0.0818 (0.0122–0.1605)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BE6971D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48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83FFBFE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0.1839 (0.0961–0.3205)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9B30B8D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4.90 (1.35–17.80)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4CEF69E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0.006</w:t>
            </w:r>
          </w:p>
        </w:tc>
      </w:tr>
      <w:tr w:rsidR="00AF1134" w14:paraId="63227A61" w14:textId="77777777" w:rsidTr="009F7B38">
        <w:tc>
          <w:tcPr>
            <w:tcW w:w="1384" w:type="dxa"/>
          </w:tcPr>
          <w:p w14:paraId="1C3DAC78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1–3 years</w:t>
            </w:r>
          </w:p>
        </w:tc>
        <w:tc>
          <w:tcPr>
            <w:tcW w:w="1276" w:type="dxa"/>
          </w:tcPr>
          <w:p w14:paraId="050E3497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22</w:t>
            </w:r>
          </w:p>
        </w:tc>
        <w:tc>
          <w:tcPr>
            <w:tcW w:w="1843" w:type="dxa"/>
          </w:tcPr>
          <w:p w14:paraId="0D0432CA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0.0246 (0.0078–0.0666)</w:t>
            </w:r>
          </w:p>
        </w:tc>
        <w:tc>
          <w:tcPr>
            <w:tcW w:w="1559" w:type="dxa"/>
          </w:tcPr>
          <w:p w14:paraId="751D301E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44</w:t>
            </w:r>
          </w:p>
        </w:tc>
        <w:tc>
          <w:tcPr>
            <w:tcW w:w="2126" w:type="dxa"/>
          </w:tcPr>
          <w:p w14:paraId="7BCBECB3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0.1331 (0.0452–0.2524)</w:t>
            </w:r>
          </w:p>
        </w:tc>
        <w:tc>
          <w:tcPr>
            <w:tcW w:w="2835" w:type="dxa"/>
          </w:tcPr>
          <w:p w14:paraId="59448E54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5.71 (1.87–17.44)</w:t>
            </w:r>
          </w:p>
        </w:tc>
        <w:tc>
          <w:tcPr>
            <w:tcW w:w="1985" w:type="dxa"/>
          </w:tcPr>
          <w:p w14:paraId="36151DBC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&lt;0.001</w:t>
            </w:r>
          </w:p>
        </w:tc>
      </w:tr>
      <w:tr w:rsidR="00AF1134" w14:paraId="1332AB71" w14:textId="77777777" w:rsidTr="009F7B38">
        <w:tc>
          <w:tcPr>
            <w:tcW w:w="1384" w:type="dxa"/>
          </w:tcPr>
          <w:p w14:paraId="3CBDC736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3–6 years</w:t>
            </w:r>
          </w:p>
        </w:tc>
        <w:tc>
          <w:tcPr>
            <w:tcW w:w="1276" w:type="dxa"/>
          </w:tcPr>
          <w:p w14:paraId="579032A4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38</w:t>
            </w:r>
          </w:p>
        </w:tc>
        <w:tc>
          <w:tcPr>
            <w:tcW w:w="1843" w:type="dxa"/>
          </w:tcPr>
          <w:p w14:paraId="51F3971E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0.0176 (0.0081–0.0395)</w:t>
            </w:r>
          </w:p>
        </w:tc>
        <w:tc>
          <w:tcPr>
            <w:tcW w:w="1559" w:type="dxa"/>
          </w:tcPr>
          <w:p w14:paraId="08F93610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27</w:t>
            </w:r>
          </w:p>
        </w:tc>
        <w:tc>
          <w:tcPr>
            <w:tcW w:w="2126" w:type="dxa"/>
          </w:tcPr>
          <w:p w14:paraId="5B9BC752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0.0704 (0.0280–0.2094)</w:t>
            </w:r>
          </w:p>
        </w:tc>
        <w:tc>
          <w:tcPr>
            <w:tcW w:w="2835" w:type="dxa"/>
          </w:tcPr>
          <w:p w14:paraId="023A87E2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5.45 (1.83–16.29)</w:t>
            </w:r>
          </w:p>
        </w:tc>
        <w:tc>
          <w:tcPr>
            <w:tcW w:w="1985" w:type="dxa"/>
          </w:tcPr>
          <w:p w14:paraId="1A7B9C94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0.002</w:t>
            </w:r>
          </w:p>
        </w:tc>
      </w:tr>
      <w:tr w:rsidR="00AF1134" w14:paraId="332DC704" w14:textId="77777777" w:rsidTr="009F7B38">
        <w:tc>
          <w:tcPr>
            <w:tcW w:w="1384" w:type="dxa"/>
            <w:tcBorders>
              <w:bottom w:val="single" w:sz="12" w:space="0" w:color="auto"/>
            </w:tcBorders>
          </w:tcPr>
          <w:p w14:paraId="19E7D815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≥6 years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6E5962C9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45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762FABF5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0.0086 (0.0000–0.0290)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1DE4C86C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11</w:t>
            </w: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6CE998CB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0.1109 (0.0144–0.2572)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5897A179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17.94 (3.62–88.94)*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14:paraId="4C1A975E" w14:textId="77777777" w:rsidR="00AF1134" w:rsidRPr="009F7B38" w:rsidRDefault="00000000" w:rsidP="009F7B38">
            <w:pPr>
              <w:jc w:val="center"/>
              <w:rPr>
                <w:sz w:val="16"/>
                <w:szCs w:val="16"/>
              </w:rPr>
            </w:pPr>
            <w:r w:rsidRPr="009F7B38">
              <w:rPr>
                <w:sz w:val="16"/>
                <w:szCs w:val="16"/>
              </w:rPr>
              <w:t>0.002</w:t>
            </w:r>
          </w:p>
        </w:tc>
      </w:tr>
    </w:tbl>
    <w:p w14:paraId="7E38C46F" w14:textId="78D4DE07" w:rsidR="00AF1134" w:rsidRPr="009F7B38" w:rsidRDefault="00000000">
      <w:pPr>
        <w:spacing w:after="0" w:line="360" w:lineRule="auto"/>
        <w:jc w:val="both"/>
        <w:rPr>
          <w:rFonts w:eastAsia="宋体"/>
          <w:sz w:val="16"/>
          <w:szCs w:val="16"/>
          <w:lang w:eastAsia="zh-CN"/>
        </w:rPr>
      </w:pPr>
      <w:bookmarkStart w:id="0" w:name="OLE_LINK1"/>
      <w:r w:rsidRPr="009F7B38">
        <w:rPr>
          <w:sz w:val="16"/>
          <w:szCs w:val="16"/>
        </w:rPr>
        <w:t xml:space="preserve"/>
      </w:r>
      <w:r w:rsidRPr="009F7B38">
        <w:rPr>
          <w:sz w:val="16"/>
          <w:szCs w:val="16"/>
        </w:rPr>
        <w:t xml:space="preserve">EOS</w:t>
      </w:r>
      <w:r w:rsidRPr="009F7B38">
        <w:rPr>
          <w:sz w:val="16"/>
          <w:szCs w:val="16"/>
        </w:rPr>
        <w:t xml:space="preserve">, absolute eosinophil count; CI, confidence interval; IQR, interquartile range; OR, odds ratio.</w:t>
      </w:r>
    </w:p>
    <w:p w14:paraId="62D4CA50" w14:textId="77777777" w:rsidR="00AF1134" w:rsidRPr="009F7B38" w:rsidRDefault="00000000">
      <w:pPr>
        <w:spacing w:after="0" w:line="360" w:lineRule="auto"/>
        <w:jc w:val="both"/>
        <w:rPr>
          <w:rFonts w:eastAsia="宋体"/>
          <w:sz w:val="16"/>
          <w:szCs w:val="16"/>
          <w:lang w:eastAsia="zh-CN"/>
        </w:rPr>
      </w:pPr>
      <w:r w:rsidRPr="009F7B38">
        <w:rPr>
          <w:sz w:val="16"/>
          <w:szCs w:val="16"/>
        </w:rPr>
        <w:t xml:space="preserve"/>
      </w:r>
      <w:r w:rsidRPr="009F7B38">
        <w:rPr>
          <w:sz w:val="16"/>
          <w:szCs w:val="16"/>
        </w:rPr>
        <w:t xml:space="preserve">EOS</w:t>
      </w:r>
      <w:r w:rsidRPr="009F7B38">
        <w:rPr>
          <w:sz w:val="16"/>
          <w:szCs w:val="16"/>
        </w:rPr>
        <w:t xml:space="preserve"> (×10⁹/L) was derived by reconstruction and expressed as median (IQR); group comparisons used the Mann–Whitney U test.</w:t>
      </w:r>
    </w:p>
    <w:p w14:paraId="18623FCC" w14:textId="77777777" w:rsidR="00AF1134" w:rsidRPr="009F7B38" w:rsidRDefault="00000000">
      <w:pPr>
        <w:spacing w:after="0" w:line="360" w:lineRule="auto"/>
        <w:jc w:val="both"/>
        <w:rPr>
          <w:sz w:val="16"/>
          <w:szCs w:val="16"/>
        </w:rPr>
      </w:pPr>
      <w:r w:rsidRPr="009F7B38">
        <w:rPr>
          <w:sz w:val="16"/>
          <w:szCs w:val="16"/>
        </w:rPr>
        <w:t xml:space="preserve">†OR for </w:t>
      </w:r>
      <w:r w:rsidRPr="009F7B38">
        <w:rPr>
          <w:sz w:val="16"/>
          <w:szCs w:val="16"/>
        </w:rPr>
        <w:t xml:space="preserve">EOS</w:t>
      </w:r>
      <w:r w:rsidRPr="009F7B38">
        <w:rPr>
          <w:sz w:val="16"/>
          <w:szCs w:val="16"/>
        </w:rPr>
        <w:t xml:space="preserve"> below the reportable limit (&lt;0.05 ×10⁹/L), influenza versus non-influenza within each age stratum, calculated by the Woolf (unconditional log-odds) method without continuity correction. *Estimate unstable owing to the small number of non-influenza children in this stratum (n = 11).</w:t>
      </w:r>
    </w:p>
    <w:bookmarkEnd w:id="0"/>
    <w:p w14:paraId="0C363BB2" w14:textId="77777777" w:rsidR="00AF1134" w:rsidRPr="009F7B38" w:rsidRDefault="00000000">
      <w:pPr>
        <w:spacing w:after="0" w:line="360" w:lineRule="auto"/>
        <w:jc w:val="both"/>
        <w:rPr>
          <w:sz w:val="16"/>
          <w:szCs w:val="16"/>
        </w:rPr>
      </w:pPr>
      <w:r w:rsidRPr="009F7B38">
        <w:rPr>
          <w:sz w:val="16"/>
          <w:szCs w:val="16"/>
        </w:rPr>
        <w:t xml:space="preserve">In the total sample (both groups combined), the proportion of children with </w:t>
      </w:r>
      <w:r w:rsidRPr="009F7B38">
        <w:rPr>
          <w:sz w:val="16"/>
          <w:szCs w:val="16"/>
        </w:rPr>
        <w:t xml:space="preserve">EOS</w:t>
      </w:r>
      <w:r w:rsidRPr="009F7B38">
        <w:rPr>
          <w:sz w:val="16"/>
          <w:szCs w:val="16"/>
        </w:rPr>
        <w:t xml:space="preserve"> below the reportable limit rose with age: &lt;1 year 20.0% (13/65), 1–3 years 40.9% (27/66), 3–6 years 63.1% (41/65), and ≥6 years 80.4% (45/56).</w:t>
      </w:r>
    </w:p>
    <w:sectPr w:rsidR="00AF1134" w:rsidRPr="009F7B38" w:rsidSect="00033273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3006723">
    <w:abstractNumId w:val="0"/>
  </w:num>
  <w:num w:numId="2" w16cid:durableId="1831748981">
    <w:abstractNumId w:val="1"/>
  </w:num>
  <w:num w:numId="3" w16cid:durableId="1809318522">
    <w:abstractNumId w:val="4"/>
  </w:num>
  <w:num w:numId="4" w16cid:durableId="953638033">
    <w:abstractNumId w:val="3"/>
  </w:num>
  <w:num w:numId="5" w16cid:durableId="959069430">
    <w:abstractNumId w:val="2"/>
  </w:num>
  <w:num w:numId="6" w16cid:durableId="20925759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3273"/>
    <w:rsid w:val="00034616"/>
    <w:rsid w:val="0006063C"/>
    <w:rsid w:val="0015074B"/>
    <w:rsid w:val="0029639D"/>
    <w:rsid w:val="00326F90"/>
    <w:rsid w:val="004C05B6"/>
    <w:rsid w:val="009F7B38"/>
    <w:rsid w:val="00A80F61"/>
    <w:rsid w:val="00AA1D8D"/>
    <w:rsid w:val="00AF1134"/>
    <w:rsid w:val="00B47730"/>
    <w:rsid w:val="00CB0664"/>
    <w:rsid w:val="00D158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F6B053"/>
  <w15:docId w15:val="{1075A7E9-88D5-4D62-AB7A-4B5CBCB3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2-5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3">
    <w:name w:val="List Number 3"/>
    <w:basedOn w:val="a1"/>
    <w:uiPriority w:val="99"/>
    <w:unhideWhenUsed/>
    <w:rsid w:val="0029639D"/>
    <w:pPr>
      <w:numPr>
        <w:numId w:val="1"/>
      </w:numPr>
      <w:contextualSpacing/>
    </w:pPr>
  </w:style>
  <w:style w:type="table" w:styleId="2-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33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table" w:styleId="1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34">
    <w:name w:val="Body Text 3"/>
    <w:basedOn w:val="a1"/>
    <w:link w:val="35"/>
    <w:uiPriority w:val="99"/>
    <w:unhideWhenUsed/>
    <w:rsid w:val="00AA1D8D"/>
    <w:pPr>
      <w:spacing w:after="120"/>
    </w:pPr>
    <w:rPr>
      <w:sz w:val="16"/>
      <w:szCs w:val="16"/>
    </w:rPr>
  </w:style>
  <w:style w:type="table" w:styleId="1-5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-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1-4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-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-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  <w:sz w:val="20"/>
      <w:szCs w:val="20"/>
      <w:lang w:eastAsia="zh-CN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2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61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6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table" w:styleId="a7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6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-30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styleId="a">
    <w:name w:val="List Number"/>
    <w:basedOn w:val="a1"/>
    <w:uiPriority w:val="99"/>
    <w:unhideWhenUsed/>
    <w:rsid w:val="00326F90"/>
    <w:pPr>
      <w:numPr>
        <w:numId w:val="3"/>
      </w:numPr>
      <w:contextualSpacing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51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9">
    <w:name w:val="Body Text"/>
    <w:basedOn w:val="a1"/>
    <w:link w:val="aa"/>
    <w:uiPriority w:val="99"/>
    <w:unhideWhenUsed/>
    <w:rsid w:val="00AA1D8D"/>
    <w:pPr>
      <w:spacing w:after="120"/>
    </w:pPr>
  </w:style>
  <w:style w:type="paragraph" w:styleId="ab">
    <w:name w:val="No Spacing"/>
    <w:uiPriority w:val="1"/>
    <w:qFormat/>
    <w:rsid w:val="00FC693F"/>
    <w:pPr>
      <w:spacing w:after="0" w:line="240" w:lineRule="auto"/>
    </w:pPr>
  </w:style>
  <w:style w:type="table" w:styleId="-62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1-6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24">
    <w:name w:val="正文文本 2 字符"/>
    <w:basedOn w:val="a2"/>
    <w:link w:val="25"/>
    <w:uiPriority w:val="99"/>
    <w:rsid w:val="00AA1D8D"/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10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20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  <w:sz w:val="20"/>
      <w:szCs w:val="20"/>
      <w:lang w:eastAsia="zh-CN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2-3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60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4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c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d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table" w:styleId="-21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-31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">
    <w:name w:val="Quote"/>
    <w:basedOn w:val="a1"/>
    <w:next w:val="a1"/>
    <w:link w:val="af0"/>
    <w:uiPriority w:val="29"/>
    <w:qFormat/>
    <w:rsid w:val="00FC693F"/>
    <w:rPr>
      <w:i/>
      <w:iCs/>
      <w:color w:val="000000" w:themeColor="text1"/>
    </w:r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1-2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character" w:customStyle="1" w:styleId="aa">
    <w:name w:val="正文文本 字符"/>
    <w:basedOn w:val="a2"/>
    <w:link w:val="a9"/>
    <w:uiPriority w:val="99"/>
    <w:rsid w:val="00AA1D8D"/>
  </w:style>
  <w:style w:type="table" w:styleId="-50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f1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52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  <w:sz w:val="20"/>
      <w:szCs w:val="20"/>
      <w:lang w:eastAsia="zh-CN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53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character" w:customStyle="1" w:styleId="af2">
    <w:name w:val="副标题 字符"/>
    <w:basedOn w:val="a2"/>
    <w:link w:val="af3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4">
    <w:name w:val="Intense Quote"/>
    <w:basedOn w:val="a1"/>
    <w:next w:val="a1"/>
    <w:link w:val="af5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-32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20">
    <w:name w:val="List Bullet 2"/>
    <w:basedOn w:val="a1"/>
    <w:uiPriority w:val="99"/>
    <w:unhideWhenUsed/>
    <w:rsid w:val="00326F90"/>
    <w:pPr>
      <w:numPr>
        <w:numId w:val="4"/>
      </w:numPr>
      <w:contextualSpacing/>
    </w:p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character" w:customStyle="1" w:styleId="af6">
    <w:name w:val="标题 字符"/>
    <w:basedOn w:val="a2"/>
    <w:link w:val="af7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35">
    <w:name w:val="正文文本 3 字符"/>
    <w:basedOn w:val="a2"/>
    <w:link w:val="34"/>
    <w:uiPriority w:val="99"/>
    <w:rsid w:val="00AA1D8D"/>
    <w:rPr>
      <w:sz w:val="16"/>
      <w:szCs w:val="16"/>
    </w:rPr>
  </w:style>
  <w:style w:type="character" w:styleId="af8">
    <w:name w:val="Emphasis"/>
    <w:basedOn w:val="a2"/>
    <w:uiPriority w:val="20"/>
    <w:qFormat/>
    <w:rsid w:val="00FC693F"/>
    <w:rPr>
      <w:i/>
      <w:iCs/>
    </w:rPr>
  </w:style>
  <w:style w:type="table" w:styleId="26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27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table" w:styleId="2-4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61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-23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24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a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2-6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af0">
    <w:name w:val="引用 字符"/>
    <w:basedOn w:val="a2"/>
    <w:link w:val="af"/>
    <w:uiPriority w:val="29"/>
    <w:rsid w:val="00FC693F"/>
    <w:rPr>
      <w:i/>
      <w:iCs/>
      <w:color w:val="000000" w:themeColor="text1"/>
    </w:r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40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41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13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-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65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character" w:customStyle="1" w:styleId="afa">
    <w:name w:val="页脚 字符"/>
    <w:basedOn w:val="a2"/>
    <w:link w:val="afb"/>
    <w:uiPriority w:val="99"/>
    <w:rsid w:val="00E618BF"/>
  </w:style>
  <w:style w:type="table" w:styleId="-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character" w:styleId="afc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table" w:styleId="2-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b">
    <w:name w:val="footer"/>
    <w:basedOn w:val="a1"/>
    <w:link w:val="af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table" w:styleId="2-40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25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0">
    <w:name w:val="List Bullet"/>
    <w:basedOn w:val="a1"/>
    <w:uiPriority w:val="99"/>
    <w:unhideWhenUsed/>
    <w:rsid w:val="00326F90"/>
    <w:pPr>
      <w:numPr>
        <w:numId w:val="6"/>
      </w:numPr>
      <w:contextualSpacing/>
    </w:p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43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styleId="af3">
    <w:name w:val="Subtitle"/>
    <w:basedOn w:val="a1"/>
    <w:next w:val="a1"/>
    <w:link w:val="af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2-41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34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styleId="30">
    <w:name w:val="List Bullet 3"/>
    <w:basedOn w:val="a1"/>
    <w:uiPriority w:val="99"/>
    <w:unhideWhenUsed/>
    <w:rsid w:val="00326F90"/>
    <w:pPr>
      <w:numPr>
        <w:numId w:val="5"/>
      </w:numPr>
      <w:contextualSpacing/>
    </w:pPr>
  </w:style>
  <w:style w:type="table" w:styleId="1-10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character" w:styleId="afe">
    <w:name w:val="Strong"/>
    <w:basedOn w:val="a2"/>
    <w:uiPriority w:val="22"/>
    <w:qFormat/>
    <w:rsid w:val="00FC693F"/>
    <w:rPr>
      <w:b/>
      <w:bCs/>
    </w:rPr>
  </w:style>
  <w:style w:type="table" w:styleId="aff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45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paragraph" w:styleId="2">
    <w:name w:val="List Number 2"/>
    <w:basedOn w:val="a1"/>
    <w:uiPriority w:val="99"/>
    <w:unhideWhenUsed/>
    <w:rsid w:val="0029639D"/>
    <w:pPr>
      <w:numPr>
        <w:numId w:val="2"/>
      </w:numPr>
      <w:contextualSpacing/>
    </w:pPr>
  </w:style>
  <w:style w:type="table" w:styleId="2-30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55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f0">
    <w:name w:val="macro"/>
    <w:link w:val="aff1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明显引用 字符"/>
    <w:basedOn w:val="a2"/>
    <w:link w:val="af4"/>
    <w:uiPriority w:val="30"/>
    <w:rsid w:val="00FC693F"/>
    <w:rPr>
      <w:b/>
      <w:bCs/>
      <w:i/>
      <w:iCs/>
      <w:color w:val="4F81BD" w:themeColor="accent1"/>
    </w:r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customStyle="1" w:styleId="aff1">
    <w:name w:val="宏文本 字符"/>
    <w:basedOn w:val="a2"/>
    <w:link w:val="aff0"/>
    <w:uiPriority w:val="99"/>
    <w:rsid w:val="0029639D"/>
    <w:rPr>
      <w:rFonts w:ascii="Courier" w:hAnsi="Courier"/>
      <w:sz w:val="20"/>
      <w:szCs w:val="20"/>
    </w:r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af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table" w:styleId="13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character" w:styleId="aff3">
    <w:name w:val="Book Title"/>
    <w:basedOn w:val="a2"/>
    <w:uiPriority w:val="33"/>
    <w:qFormat/>
    <w:rsid w:val="00FC693F"/>
    <w:rPr>
      <w:b/>
      <w:bCs/>
      <w:smallCaps/>
      <w:spacing w:val="5"/>
    </w:rPr>
  </w:style>
  <w:style w:type="table" w:styleId="-15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af7">
    <w:name w:val="Title"/>
    <w:basedOn w:val="a1"/>
    <w:next w:val="a1"/>
    <w:link w:val="af6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f4">
    <w:name w:val="List Paragraph"/>
    <w:basedOn w:val="a1"/>
    <w:uiPriority w:val="34"/>
    <w:qFormat/>
    <w:rsid w:val="00FC693F"/>
    <w:pPr>
      <w:ind w:left="720"/>
      <w:contextualSpacing/>
    </w:pPr>
  </w:style>
  <w:style w:type="table" w:styleId="1-1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1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ff5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ff6">
    <w:name w:val="header"/>
    <w:basedOn w:val="a1"/>
    <w:link w:val="aff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f8">
    <w:name w:val="List"/>
    <w:basedOn w:val="a1"/>
    <w:uiPriority w:val="99"/>
    <w:unhideWhenUsed/>
    <w:rsid w:val="00AA1D8D"/>
    <w:pPr>
      <w:ind w:left="360" w:hanging="360"/>
      <w:contextualSpacing/>
    </w:pPr>
  </w:style>
  <w:style w:type="table" w:styleId="-35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aff7">
    <w:name w:val="页眉 字符"/>
    <w:basedOn w:val="a2"/>
    <w:link w:val="aff6"/>
    <w:uiPriority w:val="99"/>
    <w:rsid w:val="00E618BF"/>
  </w:style>
  <w:style w:type="paragraph" w:styleId="37">
    <w:name w:val="List 3"/>
    <w:basedOn w:val="a1"/>
    <w:uiPriority w:val="99"/>
    <w:unhideWhenUsed/>
    <w:rsid w:val="00326F90"/>
    <w:pPr>
      <w:ind w:left="1080" w:hanging="360"/>
      <w:contextualSpacing/>
    </w:pPr>
  </w:style>
  <w:style w:type="table" w:styleId="2-31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41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51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仁 陈</cp:lastModifiedBy>
  <cp:revision>2</cp:revision>
  <dcterms:created xsi:type="dcterms:W3CDTF">2026-09-27T09:25:00Z</dcterms:created>
  <dcterms:modified xsi:type="dcterms:W3CDTF">2026-09-27T01:30:00Z</dcterms:modified>
</cp:coreProperties>
</file>