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B39EB" w14:textId="77777777" w:rsidR="002B037C" w:rsidRDefault="00000000" w:rsidP="00496278">
      <w:pPr>
        <w:jc w:val="both"/>
      </w:pPr>
      <w:r>
        <w:rPr>
          <w:b/>
          <w:sz w:val="26"/>
        </w:rPr>
        <w:t>STROBE Checklist (Cohort Study) — Admission Absolute Eosinophil Count can Discriminate Influenza from Other Respiratory Pathogens in Hospitalized Children with Lower Respiratory Tract Infection</w:t>
      </w:r>
    </w:p>
    <w:p w14:paraId="7069D87D" w14:textId="77777777" w:rsidR="002B037C" w:rsidRDefault="00000000" w:rsidP="00496278">
      <w:pPr>
        <w:jc w:val="both"/>
      </w:pPr>
      <w:r>
        <w:rPr>
          <w:i/>
          <w:sz w:val="18"/>
        </w:rPr>
        <w:t>Completed STROBE 2007 checklist (von Elm et al., BMJ 2007;335:806-808) for this retrospective cohort study. The third column maps each item to the section/table where it is reported in the manuscript.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526"/>
        <w:gridCol w:w="1926"/>
        <w:gridCol w:w="2535"/>
        <w:gridCol w:w="3869"/>
      </w:tblGrid>
      <w:tr w:rsidR="002B037C" w14:paraId="16F109BE" w14:textId="77777777" w:rsidTr="00FC394C">
        <w:tc>
          <w:tcPr>
            <w:tcW w:w="720" w:type="dxa"/>
          </w:tcPr>
          <w:p w14:paraId="27A337CF" w14:textId="77777777" w:rsidR="002B037C" w:rsidRDefault="00000000" w:rsidP="00496278">
            <w:pPr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2160" w:type="dxa"/>
          </w:tcPr>
          <w:p w14:paraId="3BA0D88A" w14:textId="77777777" w:rsidR="002B037C" w:rsidRDefault="00000000" w:rsidP="00496278">
            <w:pPr>
              <w:jc w:val="center"/>
            </w:pPr>
            <w:r>
              <w:rPr>
                <w:b/>
                <w:sz w:val="18"/>
              </w:rPr>
              <w:t>Item</w:t>
            </w:r>
          </w:p>
        </w:tc>
        <w:tc>
          <w:tcPr>
            <w:tcW w:w="4752" w:type="dxa"/>
          </w:tcPr>
          <w:p w14:paraId="24A005E5" w14:textId="77777777" w:rsidR="002B037C" w:rsidRDefault="00000000" w:rsidP="00496278">
            <w:pPr>
              <w:jc w:val="center"/>
            </w:pPr>
            <w:r>
              <w:rPr>
                <w:b/>
                <w:sz w:val="18"/>
              </w:rPr>
              <w:t>STROBE Recommendation</w:t>
            </w:r>
          </w:p>
        </w:tc>
        <w:tc>
          <w:tcPr>
            <w:tcW w:w="3888" w:type="dxa"/>
          </w:tcPr>
          <w:p w14:paraId="2A0EDAEA" w14:textId="77777777" w:rsidR="002B037C" w:rsidRDefault="00000000" w:rsidP="00496278">
            <w:pPr>
              <w:jc w:val="center"/>
            </w:pPr>
            <w:r>
              <w:rPr>
                <w:b/>
                <w:sz w:val="18"/>
              </w:rPr>
              <w:t>Reported in this manuscript</w:t>
            </w:r>
          </w:p>
        </w:tc>
      </w:tr>
      <w:tr w:rsidR="002B037C" w14:paraId="426460C2" w14:textId="77777777" w:rsidTr="00FC394C">
        <w:tc>
          <w:tcPr>
            <w:tcW w:w="720" w:type="dxa"/>
          </w:tcPr>
          <w:p w14:paraId="380F837C" w14:textId="77777777" w:rsidR="002B037C" w:rsidRDefault="00000000">
            <w:r>
              <w:rPr>
                <w:b/>
                <w:sz w:val="18"/>
              </w:rPr>
              <w:t>1</w:t>
            </w:r>
          </w:p>
        </w:tc>
        <w:tc>
          <w:tcPr>
            <w:tcW w:w="2160" w:type="dxa"/>
          </w:tcPr>
          <w:p w14:paraId="4633EE22" w14:textId="77777777" w:rsidR="002B037C" w:rsidRDefault="00000000">
            <w:r>
              <w:rPr>
                <w:sz w:val="18"/>
              </w:rPr>
              <w:t>Title &amp; abstract</w:t>
            </w:r>
          </w:p>
        </w:tc>
        <w:tc>
          <w:tcPr>
            <w:tcW w:w="4752" w:type="dxa"/>
          </w:tcPr>
          <w:p w14:paraId="51437022" w14:textId="77777777" w:rsidR="002B037C" w:rsidRDefault="00000000">
            <w:r>
              <w:rPr>
                <w:sz w:val="18"/>
              </w:rPr>
              <w:t>Indicate the study's design with a commonly used term in the title or the abstract.</w:t>
            </w:r>
          </w:p>
        </w:tc>
        <w:tc>
          <w:tcPr>
            <w:tcW w:w="3888" w:type="dxa"/>
          </w:tcPr>
          <w:p w14:paraId="2331A3C4" w14:textId="77777777" w:rsidR="002B037C" w:rsidRDefault="00000000">
            <w:r>
              <w:t>Title states the index marker, the target population and the outcome discriminated; the design is named as a retrospective cohort study in the Abstract (Methods); structured abstract (Background/Methods/Results/Conclusions).</w:t>
            </w:r>
          </w:p>
        </w:tc>
      </w:tr>
      <w:tr w:rsidR="002B037C" w14:paraId="579C7246" w14:textId="77777777" w:rsidTr="00FC394C">
        <w:tc>
          <w:tcPr>
            <w:tcW w:w="720" w:type="dxa"/>
          </w:tcPr>
          <w:p w14:paraId="1FE0C20D" w14:textId="77777777" w:rsidR="002B037C" w:rsidRDefault="00000000">
            <w:r>
              <w:rPr>
                <w:b/>
                <w:sz w:val="18"/>
              </w:rPr>
              <w:t>2</w:t>
            </w:r>
          </w:p>
        </w:tc>
        <w:tc>
          <w:tcPr>
            <w:tcW w:w="2160" w:type="dxa"/>
          </w:tcPr>
          <w:p w14:paraId="0C8142D2" w14:textId="77777777" w:rsidR="002B037C" w:rsidRDefault="00000000">
            <w:r>
              <w:rPr>
                <w:sz w:val="18"/>
              </w:rPr>
              <w:t>Background/rationale</w:t>
            </w:r>
          </w:p>
        </w:tc>
        <w:tc>
          <w:tcPr>
            <w:tcW w:w="4752" w:type="dxa"/>
          </w:tcPr>
          <w:p w14:paraId="55ED1A73" w14:textId="77777777" w:rsidR="002B037C" w:rsidRDefault="00000000">
            <w:r>
              <w:rPr>
                <w:sz w:val="18"/>
              </w:rPr>
              <w:t>Explain the scientific background and rationale for the investigation being reported.</w:t>
            </w:r>
          </w:p>
        </w:tc>
        <w:tc>
          <w:tcPr>
            <w:tcW w:w="3888" w:type="dxa"/>
          </w:tcPr>
          <w:p w14:paraId="041C9568" w14:textId="50118A4A" w:rsidR="002B037C" w:rsidRDefault="00000000">
            <w:r>
              <w:rPr>
                <w:sz w:val="18"/>
              </w:rPr>
              <w:t>Introduction 1–2 (eosinopenia in viral infection; influenza vs other respiratory pathogens).</w:t>
            </w:r>
          </w:p>
        </w:tc>
      </w:tr>
      <w:tr w:rsidR="002B037C" w14:paraId="14CCC319" w14:textId="77777777" w:rsidTr="00FC394C">
        <w:tc>
          <w:tcPr>
            <w:tcW w:w="720" w:type="dxa"/>
          </w:tcPr>
          <w:p w14:paraId="27D8C9D0" w14:textId="77777777" w:rsidR="002B037C" w:rsidRDefault="00000000">
            <w:r>
              <w:rPr>
                <w:b/>
                <w:sz w:val="18"/>
              </w:rPr>
              <w:t>3</w:t>
            </w:r>
          </w:p>
        </w:tc>
        <w:tc>
          <w:tcPr>
            <w:tcW w:w="2160" w:type="dxa"/>
          </w:tcPr>
          <w:p w14:paraId="42C2F6FF" w14:textId="77777777" w:rsidR="002B037C" w:rsidRDefault="00000000">
            <w:r>
              <w:rPr>
                <w:sz w:val="18"/>
              </w:rPr>
              <w:t>Objectives</w:t>
            </w:r>
          </w:p>
        </w:tc>
        <w:tc>
          <w:tcPr>
            <w:tcW w:w="4752" w:type="dxa"/>
          </w:tcPr>
          <w:p w14:paraId="4C8A6496" w14:textId="77777777" w:rsidR="002B037C" w:rsidRDefault="00000000">
            <w:r>
              <w:rPr>
                <w:sz w:val="18"/>
              </w:rPr>
              <w:t>State specific objectives, including any prespecified hypotheses.</w:t>
            </w:r>
          </w:p>
        </w:tc>
        <w:tc>
          <w:tcPr>
            <w:tcW w:w="3888" w:type="dxa"/>
          </w:tcPr>
          <w:p w14:paraId="7441A10F" w14:textId="4BF3174B" w:rsidR="002B037C" w:rsidRDefault="00000000">
            <w:r>
              <w:rPr>
                <w:sz w:val="18"/>
              </w:rPr>
              <w:t>Introduction 3 lists aims (i) group comparison, (ii) five pathogen-defined groups, (iii) paired recovery, (iv) incremental discrimination.</w:t>
            </w:r>
          </w:p>
        </w:tc>
      </w:tr>
      <w:tr w:rsidR="002B037C" w14:paraId="72EE90EE" w14:textId="77777777" w:rsidTr="00FC394C">
        <w:tc>
          <w:tcPr>
            <w:tcW w:w="720" w:type="dxa"/>
          </w:tcPr>
          <w:p w14:paraId="0E65594C" w14:textId="77777777" w:rsidR="002B037C" w:rsidRDefault="00000000">
            <w:r>
              <w:rPr>
                <w:b/>
                <w:sz w:val="18"/>
              </w:rPr>
              <w:t>4</w:t>
            </w:r>
          </w:p>
        </w:tc>
        <w:tc>
          <w:tcPr>
            <w:tcW w:w="2160" w:type="dxa"/>
          </w:tcPr>
          <w:p w14:paraId="611F6976" w14:textId="77777777" w:rsidR="002B037C" w:rsidRDefault="00000000">
            <w:r>
              <w:rPr>
                <w:sz w:val="18"/>
              </w:rPr>
              <w:t>Study design</w:t>
            </w:r>
          </w:p>
        </w:tc>
        <w:tc>
          <w:tcPr>
            <w:tcW w:w="4752" w:type="dxa"/>
          </w:tcPr>
          <w:p w14:paraId="0D1DBE32" w14:textId="77777777" w:rsidR="002B037C" w:rsidRDefault="00000000">
            <w:r>
              <w:rPr>
                <w:sz w:val="18"/>
              </w:rPr>
              <w:t>Present key elements of study design early in the paper.</w:t>
            </w:r>
          </w:p>
        </w:tc>
        <w:tc>
          <w:tcPr>
            <w:tcW w:w="3888" w:type="dxa"/>
          </w:tcPr>
          <w:p w14:paraId="49162DF9" w14:textId="77777777" w:rsidR="002B037C" w:rsidRDefault="00000000">
            <w:r>
              <w:rPr>
                <w:sz w:val="18"/>
              </w:rPr>
              <w:t>Methods 2.1 — single-center retrospective cohort.</w:t>
            </w:r>
          </w:p>
        </w:tc>
      </w:tr>
      <w:tr w:rsidR="002B037C" w14:paraId="6EF2FA54" w14:textId="77777777" w:rsidTr="00FC394C">
        <w:tc>
          <w:tcPr>
            <w:tcW w:w="720" w:type="dxa"/>
          </w:tcPr>
          <w:p w14:paraId="453AF4BE" w14:textId="77777777" w:rsidR="002B037C" w:rsidRDefault="00000000">
            <w:r>
              <w:rPr>
                <w:b/>
                <w:sz w:val="18"/>
              </w:rPr>
              <w:t>5</w:t>
            </w:r>
          </w:p>
        </w:tc>
        <w:tc>
          <w:tcPr>
            <w:tcW w:w="2160" w:type="dxa"/>
          </w:tcPr>
          <w:p w14:paraId="01CC07A7" w14:textId="77777777" w:rsidR="002B037C" w:rsidRDefault="00000000">
            <w:r>
              <w:rPr>
                <w:sz w:val="18"/>
              </w:rPr>
              <w:t>Setting</w:t>
            </w:r>
          </w:p>
        </w:tc>
        <w:tc>
          <w:tcPr>
            <w:tcW w:w="4752" w:type="dxa"/>
          </w:tcPr>
          <w:p w14:paraId="0B4E30FE" w14:textId="77777777" w:rsidR="002B037C" w:rsidRDefault="00000000">
            <w:r>
              <w:rPr>
                <w:sz w:val="18"/>
              </w:rPr>
              <w:t>Describe the setting, locations, and relevant dates, including periods of recruitment, exposure, follow-up, and data collection.</w:t>
            </w:r>
          </w:p>
        </w:tc>
        <w:tc>
          <w:tcPr>
            <w:tcW w:w="3888" w:type="dxa"/>
          </w:tcPr>
          <w:p w14:paraId="51BA30E7" w14:textId="77777777" w:rsidR="002B037C" w:rsidRDefault="00000000">
            <w:r>
              <w:rPr>
                <w:sz w:val="18"/>
              </w:rPr>
              <w:t>Methods 2.1–2.2 — Zunyi Maternal and Child Health Hospital, pediatric ward; 1 Nov 2025–28 Feb 2026.</w:t>
            </w:r>
          </w:p>
        </w:tc>
      </w:tr>
      <w:tr w:rsidR="002B037C" w14:paraId="0AB1BD94" w14:textId="77777777" w:rsidTr="00FC394C">
        <w:tc>
          <w:tcPr>
            <w:tcW w:w="720" w:type="dxa"/>
          </w:tcPr>
          <w:p w14:paraId="7A7A530F" w14:textId="77777777" w:rsidR="002B037C" w:rsidRDefault="00000000">
            <w:r>
              <w:rPr>
                <w:b/>
                <w:sz w:val="18"/>
              </w:rPr>
              <w:t>6</w:t>
            </w:r>
          </w:p>
        </w:tc>
        <w:tc>
          <w:tcPr>
            <w:tcW w:w="2160" w:type="dxa"/>
          </w:tcPr>
          <w:p w14:paraId="41D1720A" w14:textId="77777777" w:rsidR="002B037C" w:rsidRDefault="00000000">
            <w:r>
              <w:rPr>
                <w:sz w:val="18"/>
              </w:rPr>
              <w:t>Participants</w:t>
            </w:r>
          </w:p>
        </w:tc>
        <w:tc>
          <w:tcPr>
            <w:tcW w:w="4752" w:type="dxa"/>
          </w:tcPr>
          <w:p w14:paraId="1B10D2C3" w14:textId="77777777" w:rsidR="002B037C" w:rsidRDefault="00000000">
            <w:r>
              <w:rPr>
                <w:sz w:val="18"/>
              </w:rPr>
              <w:t>Give eligibility criteria and the sources/methods of selection; describe follow-up.</w:t>
            </w:r>
          </w:p>
        </w:tc>
        <w:tc>
          <w:tcPr>
            <w:tcW w:w="3888" w:type="dxa"/>
          </w:tcPr>
          <w:p w14:paraId="6F72303E" w14:textId="77777777" w:rsidR="002B037C" w:rsidRDefault="00000000">
            <w:r>
              <w:t>Methods 2.2–2.3 — inclusion/exclusion; 253 screened, 1 excluded (missing core demographics), 252 analyzed; paired subgroup defined by repeat count within 5 days before discharge.</w:t>
            </w:r>
          </w:p>
        </w:tc>
      </w:tr>
      <w:tr w:rsidR="002B037C" w14:paraId="3341312A" w14:textId="77777777" w:rsidTr="00FC394C">
        <w:tc>
          <w:tcPr>
            <w:tcW w:w="720" w:type="dxa"/>
          </w:tcPr>
          <w:p w14:paraId="5FC27E67" w14:textId="77777777" w:rsidR="002B037C" w:rsidRDefault="00000000">
            <w:r>
              <w:rPr>
                <w:b/>
                <w:sz w:val="18"/>
              </w:rPr>
              <w:t>7</w:t>
            </w:r>
          </w:p>
        </w:tc>
        <w:tc>
          <w:tcPr>
            <w:tcW w:w="2160" w:type="dxa"/>
          </w:tcPr>
          <w:p w14:paraId="437812A1" w14:textId="77777777" w:rsidR="002B037C" w:rsidRDefault="00000000">
            <w:r>
              <w:rPr>
                <w:sz w:val="18"/>
              </w:rPr>
              <w:t>Variables</w:t>
            </w:r>
          </w:p>
        </w:tc>
        <w:tc>
          <w:tcPr>
            <w:tcW w:w="4752" w:type="dxa"/>
          </w:tcPr>
          <w:p w14:paraId="706F82D3" w14:textId="77777777" w:rsidR="002B037C" w:rsidRDefault="00000000">
            <w:r>
              <w:rPr>
                <w:sz w:val="18"/>
              </w:rPr>
              <w:t>Clearly define all outcomes, exposures, predictors, confounders, effect modifiers; give diagnostic criteria.</w:t>
            </w:r>
          </w:p>
        </w:tc>
        <w:tc>
          <w:tcPr>
            <w:tcW w:w="3888" w:type="dxa"/>
          </w:tcPr>
          <w:p w14:paraId="00FADEC7" w14:textId="77777777" w:rsidR="002B037C" w:rsidRDefault="00000000">
            <w:r>
              <w:t>Methods 2.3, 2.5 — EOS (reconstructed from WBC × eosinophil percentage); hs-CRP; IL-6; influenza by nucleic acid testing; “below the reportable limit” defined as an EOS reported by the analyzer as 0, corresponding to a true value below 0.05 ×10⁹/L.</w:t>
            </w:r>
          </w:p>
        </w:tc>
      </w:tr>
      <w:tr w:rsidR="002B037C" w14:paraId="3FE443CB" w14:textId="77777777" w:rsidTr="00FC394C">
        <w:tc>
          <w:tcPr>
            <w:tcW w:w="720" w:type="dxa"/>
          </w:tcPr>
          <w:p w14:paraId="6707ECED" w14:textId="77777777" w:rsidR="002B037C" w:rsidRDefault="00000000">
            <w:r>
              <w:rPr>
                <w:b/>
                <w:sz w:val="18"/>
              </w:rPr>
              <w:t>8</w:t>
            </w:r>
          </w:p>
        </w:tc>
        <w:tc>
          <w:tcPr>
            <w:tcW w:w="2160" w:type="dxa"/>
          </w:tcPr>
          <w:p w14:paraId="36192F2E" w14:textId="77777777" w:rsidR="002B037C" w:rsidRDefault="00000000">
            <w:r>
              <w:rPr>
                <w:sz w:val="18"/>
              </w:rPr>
              <w:t>Data sources/measurement</w:t>
            </w:r>
          </w:p>
        </w:tc>
        <w:tc>
          <w:tcPr>
            <w:tcW w:w="4752" w:type="dxa"/>
          </w:tcPr>
          <w:p w14:paraId="7F33C93B" w14:textId="77777777" w:rsidR="002B037C" w:rsidRDefault="00000000">
            <w:r>
              <w:rPr>
                <w:sz w:val="18"/>
              </w:rPr>
              <w:t>For each variable give sources of data and details of assessment methods; describe comparability across groups.</w:t>
            </w:r>
          </w:p>
        </w:tc>
        <w:tc>
          <w:tcPr>
            <w:tcW w:w="3888" w:type="dxa"/>
          </w:tcPr>
          <w:p w14:paraId="00BBCE41" w14:textId="77777777" w:rsidR="002B037C" w:rsidRDefault="00000000">
            <w:r>
              <w:rPr>
                <w:sz w:val="18"/>
              </w:rPr>
              <w:t>Methods 2.5 — electronic medical record; Sysmex XN-L automated hematology analyzer; hs-CRP by latex-enhanced immunoturbidimetry (Beckman Coulter AU480); IL-6 by chemiluminescence immunoassay (UniCel DxI 800).</w:t>
            </w:r>
          </w:p>
        </w:tc>
      </w:tr>
      <w:tr w:rsidR="002B037C" w14:paraId="57911870" w14:textId="77777777" w:rsidTr="00FC394C">
        <w:tc>
          <w:tcPr>
            <w:tcW w:w="720" w:type="dxa"/>
          </w:tcPr>
          <w:p w14:paraId="330994B8" w14:textId="77777777" w:rsidR="002B037C" w:rsidRDefault="00000000">
            <w:r>
              <w:rPr>
                <w:b/>
                <w:sz w:val="18"/>
              </w:rPr>
              <w:t>9</w:t>
            </w:r>
          </w:p>
        </w:tc>
        <w:tc>
          <w:tcPr>
            <w:tcW w:w="2160" w:type="dxa"/>
          </w:tcPr>
          <w:p w14:paraId="119B3136" w14:textId="77777777" w:rsidR="002B037C" w:rsidRDefault="00000000">
            <w:r>
              <w:rPr>
                <w:sz w:val="18"/>
              </w:rPr>
              <w:t>Bias</w:t>
            </w:r>
          </w:p>
        </w:tc>
        <w:tc>
          <w:tcPr>
            <w:tcW w:w="4752" w:type="dxa"/>
          </w:tcPr>
          <w:p w14:paraId="09BB9A58" w14:textId="77777777" w:rsidR="002B037C" w:rsidRDefault="00000000">
            <w:r>
              <w:rPr>
                <w:sz w:val="18"/>
              </w:rPr>
              <w:t>Describe any efforts to address potential sources of bias.</w:t>
            </w:r>
          </w:p>
        </w:tc>
        <w:tc>
          <w:tcPr>
            <w:tcW w:w="3888" w:type="dxa"/>
          </w:tcPr>
          <w:p w14:paraId="7D1CDE82" w14:textId="77777777" w:rsidR="002B037C" w:rsidRDefault="00000000">
            <w:r>
              <w:rPr>
                <w:sz w:val="18"/>
              </w:rPr>
              <w:t>Methods 2.6 — inverse probability weighting (IPTW); sensitivity analyses (age restriction, matching, exclusion of reconstructed-zero).</w:t>
            </w:r>
          </w:p>
        </w:tc>
      </w:tr>
      <w:tr w:rsidR="002B037C" w14:paraId="1D46FE38" w14:textId="77777777" w:rsidTr="00FC394C">
        <w:tc>
          <w:tcPr>
            <w:tcW w:w="720" w:type="dxa"/>
          </w:tcPr>
          <w:p w14:paraId="74635A39" w14:textId="77777777" w:rsidR="002B037C" w:rsidRDefault="00000000">
            <w:r>
              <w:rPr>
                <w:b/>
                <w:sz w:val="18"/>
              </w:rPr>
              <w:t>10</w:t>
            </w:r>
          </w:p>
        </w:tc>
        <w:tc>
          <w:tcPr>
            <w:tcW w:w="2160" w:type="dxa"/>
          </w:tcPr>
          <w:p w14:paraId="22893F3C" w14:textId="77777777" w:rsidR="002B037C" w:rsidRDefault="00000000">
            <w:r>
              <w:rPr>
                <w:sz w:val="18"/>
              </w:rPr>
              <w:t>Study size</w:t>
            </w:r>
          </w:p>
        </w:tc>
        <w:tc>
          <w:tcPr>
            <w:tcW w:w="4752" w:type="dxa"/>
          </w:tcPr>
          <w:p w14:paraId="064BA476" w14:textId="77777777" w:rsidR="002B037C" w:rsidRDefault="00000000">
            <w:r>
              <w:rPr>
                <w:sz w:val="18"/>
              </w:rPr>
              <w:t>Explain how the study size was arrived at.</w:t>
            </w:r>
          </w:p>
        </w:tc>
        <w:tc>
          <w:tcPr>
            <w:tcW w:w="3888" w:type="dxa"/>
          </w:tcPr>
          <w:p w14:paraId="1EF0F72B" w14:textId="77777777" w:rsidR="002B037C" w:rsidRDefault="00000000">
            <w:r>
              <w:rPr>
                <w:sz w:val="18"/>
              </w:rPr>
              <w:t>Methods 2.1/2.6 — consecutive enrollment over one winter season (convenience sample); no formal a priori sample-size calculation. Paired subgroup power noted.</w:t>
            </w:r>
          </w:p>
        </w:tc>
      </w:tr>
      <w:tr w:rsidR="002B037C" w14:paraId="5F1EE6EC" w14:textId="77777777" w:rsidTr="00FC394C">
        <w:tc>
          <w:tcPr>
            <w:tcW w:w="720" w:type="dxa"/>
          </w:tcPr>
          <w:p w14:paraId="47937CC4" w14:textId="77777777" w:rsidR="002B037C" w:rsidRDefault="00000000">
            <w:r>
              <w:rPr>
                <w:b/>
                <w:sz w:val="18"/>
              </w:rPr>
              <w:t>11</w:t>
            </w:r>
          </w:p>
        </w:tc>
        <w:tc>
          <w:tcPr>
            <w:tcW w:w="2160" w:type="dxa"/>
          </w:tcPr>
          <w:p w14:paraId="00263D8E" w14:textId="77777777" w:rsidR="002B037C" w:rsidRDefault="00000000">
            <w:r>
              <w:rPr>
                <w:sz w:val="18"/>
              </w:rPr>
              <w:t>Quantitative variables</w:t>
            </w:r>
          </w:p>
        </w:tc>
        <w:tc>
          <w:tcPr>
            <w:tcW w:w="4752" w:type="dxa"/>
          </w:tcPr>
          <w:p w14:paraId="56141599" w14:textId="77777777" w:rsidR="002B037C" w:rsidRDefault="00000000">
            <w:r>
              <w:rPr>
                <w:sz w:val="18"/>
              </w:rPr>
              <w:t xml:space="preserve">Explain how quantitative </w:t>
            </w:r>
            <w:r>
              <w:rPr>
                <w:sz w:val="18"/>
              </w:rPr>
              <w:lastRenderedPageBreak/>
              <w:t>variables were handled; describe groupings chosen and why.</w:t>
            </w:r>
          </w:p>
        </w:tc>
        <w:tc>
          <w:tcPr>
            <w:tcW w:w="3888" w:type="dxa"/>
          </w:tcPr>
          <w:p w14:paraId="5B8D8472" w14:textId="77777777" w:rsidR="002B037C" w:rsidRDefault="00000000">
            <w:r>
              <w:rPr>
                <w:sz w:val="18"/>
              </w:rPr>
              <w:lastRenderedPageBreak/>
              <w:t xml:space="preserve">Methods 2.6 — continuous variables as median </w:t>
            </w:r>
            <w:r>
              <w:rPr>
                <w:sz w:val="18"/>
              </w:rPr>
              <w:lastRenderedPageBreak/>
              <w:t>(IQR); EOS log-transformed for regression.</w:t>
            </w:r>
          </w:p>
        </w:tc>
      </w:tr>
      <w:tr w:rsidR="002B037C" w14:paraId="6E98E298" w14:textId="77777777" w:rsidTr="00FC394C">
        <w:tc>
          <w:tcPr>
            <w:tcW w:w="720" w:type="dxa"/>
          </w:tcPr>
          <w:p w14:paraId="3F8DDFF3" w14:textId="77777777" w:rsidR="002B037C" w:rsidRDefault="00000000">
            <w:r>
              <w:rPr>
                <w:b/>
                <w:sz w:val="18"/>
              </w:rPr>
              <w:lastRenderedPageBreak/>
              <w:t>12</w:t>
            </w:r>
          </w:p>
        </w:tc>
        <w:tc>
          <w:tcPr>
            <w:tcW w:w="2160" w:type="dxa"/>
          </w:tcPr>
          <w:p w14:paraId="40D53C8D" w14:textId="77777777" w:rsidR="002B037C" w:rsidRDefault="00000000">
            <w:r>
              <w:rPr>
                <w:sz w:val="18"/>
              </w:rPr>
              <w:t>Statistical methods</w:t>
            </w:r>
          </w:p>
        </w:tc>
        <w:tc>
          <w:tcPr>
            <w:tcW w:w="4752" w:type="dxa"/>
          </w:tcPr>
          <w:p w14:paraId="4F80CDCE" w14:textId="77777777" w:rsidR="002B037C" w:rsidRDefault="00000000">
            <w:r>
              <w:rPr>
                <w:sz w:val="18"/>
              </w:rPr>
              <w:t>Describe all statistical methods, confounding control, subgroup/interaction tests, missing-data handling, sensitivity analyses.</w:t>
            </w:r>
          </w:p>
        </w:tc>
        <w:tc>
          <w:tcPr>
            <w:tcW w:w="3888" w:type="dxa"/>
          </w:tcPr>
          <w:p w14:paraId="1B6436D9" w14:textId="77777777" w:rsidR="002B037C" w:rsidRDefault="00000000">
            <w:r>
              <w:rPr>
                <w:sz w:val="18"/>
              </w:rPr>
              <w:t>Methods 2.6 — full account (Mann–Whitney U, Kruskal–Wallis + Holm, ANCOVA, linear/logistic regression, odds ratios by the Woolf method without continuity correction, AUC/IDI/NRI with bootstrap, decision-curve analysis, calibration by 10-fold cross-validation).</w:t>
            </w:r>
          </w:p>
        </w:tc>
      </w:tr>
      <w:tr w:rsidR="002B037C" w14:paraId="0D504719" w14:textId="77777777" w:rsidTr="00FC394C">
        <w:tc>
          <w:tcPr>
            <w:tcW w:w="720" w:type="dxa"/>
          </w:tcPr>
          <w:p w14:paraId="7A39D129" w14:textId="77777777" w:rsidR="002B037C" w:rsidRDefault="00000000">
            <w:r>
              <w:rPr>
                <w:b/>
                <w:sz w:val="18"/>
              </w:rPr>
              <w:t>13</w:t>
            </w:r>
          </w:p>
        </w:tc>
        <w:tc>
          <w:tcPr>
            <w:tcW w:w="2160" w:type="dxa"/>
          </w:tcPr>
          <w:p w14:paraId="1719FA1F" w14:textId="77777777" w:rsidR="002B037C" w:rsidRDefault="00000000">
            <w:r>
              <w:rPr>
                <w:sz w:val="18"/>
              </w:rPr>
              <w:t>Participants</w:t>
            </w:r>
          </w:p>
        </w:tc>
        <w:tc>
          <w:tcPr>
            <w:tcW w:w="4752" w:type="dxa"/>
          </w:tcPr>
          <w:p w14:paraId="5A9D4436" w14:textId="77777777" w:rsidR="002B037C" w:rsidRDefault="00000000">
            <w:r>
              <w:rPr>
                <w:sz w:val="18"/>
              </w:rPr>
              <w:t>Report numbers at each stage (eligible, examined, confirmed, included, followed-up, analyzed) with reasons for non-participation.</w:t>
            </w:r>
          </w:p>
        </w:tc>
        <w:tc>
          <w:tcPr>
            <w:tcW w:w="3888" w:type="dxa"/>
          </w:tcPr>
          <w:p w14:paraId="5E4EBA5C" w14:textId="77777777" w:rsidR="002B037C" w:rsidRDefault="00000000">
            <w:r>
              <w:t>Methods 2.2; Results 3.1; Fig. 1 (STROBE flow diagram).</w:t>
            </w:r>
          </w:p>
        </w:tc>
      </w:tr>
      <w:tr w:rsidR="002B037C" w14:paraId="1D56ABC4" w14:textId="77777777" w:rsidTr="00FC394C">
        <w:tc>
          <w:tcPr>
            <w:tcW w:w="720" w:type="dxa"/>
          </w:tcPr>
          <w:p w14:paraId="5BC43E3B" w14:textId="77777777" w:rsidR="002B037C" w:rsidRDefault="00000000">
            <w:r>
              <w:rPr>
                <w:b/>
                <w:sz w:val="18"/>
              </w:rPr>
              <w:t>14</w:t>
            </w:r>
          </w:p>
        </w:tc>
        <w:tc>
          <w:tcPr>
            <w:tcW w:w="2160" w:type="dxa"/>
          </w:tcPr>
          <w:p w14:paraId="12944776" w14:textId="77777777" w:rsidR="002B037C" w:rsidRDefault="00000000">
            <w:r>
              <w:rPr>
                <w:sz w:val="18"/>
              </w:rPr>
              <w:t>Descriptive data</w:t>
            </w:r>
          </w:p>
        </w:tc>
        <w:tc>
          <w:tcPr>
            <w:tcW w:w="4752" w:type="dxa"/>
          </w:tcPr>
          <w:p w14:paraId="5D862E2A" w14:textId="77777777" w:rsidR="002B037C" w:rsidRDefault="00000000">
            <w:r>
              <w:rPr>
                <w:sz w:val="18"/>
              </w:rPr>
              <w:t>Give characteristics of participants and information on exposures/confounders; indicate missing data per variable.</w:t>
            </w:r>
          </w:p>
        </w:tc>
        <w:tc>
          <w:tcPr>
            <w:tcW w:w="3888" w:type="dxa"/>
          </w:tcPr>
          <w:p w14:paraId="7FA5F937" w14:textId="77777777" w:rsidR="002B037C" w:rsidRDefault="00000000">
            <w:r>
              <w:rPr>
                <w:sz w:val="18"/>
              </w:rPr>
              <w:t>Table 1; Results 3.1. Missing hs-CRP: 6 of 252 (reported as n=246 where used).</w:t>
            </w:r>
          </w:p>
        </w:tc>
      </w:tr>
      <w:tr w:rsidR="002B037C" w14:paraId="6B9C7BC7" w14:textId="77777777" w:rsidTr="00FC394C">
        <w:tc>
          <w:tcPr>
            <w:tcW w:w="720" w:type="dxa"/>
          </w:tcPr>
          <w:p w14:paraId="2108508D" w14:textId="77777777" w:rsidR="002B037C" w:rsidRDefault="00000000">
            <w:r>
              <w:rPr>
                <w:b/>
                <w:sz w:val="18"/>
              </w:rPr>
              <w:t>15</w:t>
            </w:r>
          </w:p>
        </w:tc>
        <w:tc>
          <w:tcPr>
            <w:tcW w:w="2160" w:type="dxa"/>
          </w:tcPr>
          <w:p w14:paraId="5706FC99" w14:textId="77777777" w:rsidR="002B037C" w:rsidRDefault="00000000">
            <w:r>
              <w:rPr>
                <w:sz w:val="18"/>
              </w:rPr>
              <w:t>Outcome data</w:t>
            </w:r>
          </w:p>
        </w:tc>
        <w:tc>
          <w:tcPr>
            <w:tcW w:w="4752" w:type="dxa"/>
          </w:tcPr>
          <w:p w14:paraId="42156F72" w14:textId="77777777" w:rsidR="002B037C" w:rsidRDefault="00000000">
            <w:r>
              <w:rPr>
                <w:sz w:val="18"/>
              </w:rPr>
              <w:t>Report numbers of outcome events or summarize blinded outcome assessment.</w:t>
            </w:r>
          </w:p>
        </w:tc>
        <w:tc>
          <w:tcPr>
            <w:tcW w:w="3888" w:type="dxa"/>
          </w:tcPr>
          <w:p w14:paraId="4B61378A" w14:textId="77777777" w:rsidR="002B037C" w:rsidRDefault="00000000">
            <w:r>
              <w:t>Results 3.2 — EOS below the reportable limit 76.2% vs 25.4%; Fig. 2 distributions.</w:t>
            </w:r>
          </w:p>
        </w:tc>
      </w:tr>
      <w:tr w:rsidR="002B037C" w14:paraId="7A3404CC" w14:textId="77777777" w:rsidTr="00FC394C">
        <w:tc>
          <w:tcPr>
            <w:tcW w:w="720" w:type="dxa"/>
          </w:tcPr>
          <w:p w14:paraId="6D45688B" w14:textId="77777777" w:rsidR="002B037C" w:rsidRDefault="00000000">
            <w:r>
              <w:rPr>
                <w:b/>
                <w:sz w:val="18"/>
              </w:rPr>
              <w:t>16</w:t>
            </w:r>
          </w:p>
        </w:tc>
        <w:tc>
          <w:tcPr>
            <w:tcW w:w="2160" w:type="dxa"/>
          </w:tcPr>
          <w:p w14:paraId="1AC88207" w14:textId="77777777" w:rsidR="002B037C" w:rsidRDefault="00000000">
            <w:r>
              <w:rPr>
                <w:sz w:val="18"/>
              </w:rPr>
              <w:t>Main results</w:t>
            </w:r>
          </w:p>
        </w:tc>
        <w:tc>
          <w:tcPr>
            <w:tcW w:w="4752" w:type="dxa"/>
          </w:tcPr>
          <w:p w14:paraId="1930FED1" w14:textId="77777777" w:rsidR="002B037C" w:rsidRDefault="00000000">
            <w:r>
              <w:rPr>
                <w:sz w:val="18"/>
              </w:rPr>
              <w:t>Give unadjusted and, if applicable, confounder-adjusted estimates with precision; state which confounders were adjusted for.</w:t>
            </w:r>
          </w:p>
        </w:tc>
        <w:tc>
          <w:tcPr>
            <w:tcW w:w="3888" w:type="dxa"/>
          </w:tcPr>
          <w:p w14:paraId="07AC5B37" w14:textId="77777777" w:rsidR="002B037C" w:rsidRDefault="00000000">
            <w:r>
              <w:t>Table 2; Results 3.6 (adjusted median ratio 0.302; adjusted OR 6.61) with 95% CI.</w:t>
            </w:r>
          </w:p>
        </w:tc>
      </w:tr>
      <w:tr w:rsidR="002B037C" w14:paraId="1B8775F9" w14:textId="77777777" w:rsidTr="00FC394C">
        <w:tc>
          <w:tcPr>
            <w:tcW w:w="720" w:type="dxa"/>
          </w:tcPr>
          <w:p w14:paraId="38A912AD" w14:textId="77777777" w:rsidR="002B037C" w:rsidRDefault="00000000">
            <w:r>
              <w:rPr>
                <w:b/>
                <w:sz w:val="18"/>
              </w:rPr>
              <w:t>17</w:t>
            </w:r>
          </w:p>
        </w:tc>
        <w:tc>
          <w:tcPr>
            <w:tcW w:w="2160" w:type="dxa"/>
          </w:tcPr>
          <w:p w14:paraId="493E4765" w14:textId="77777777" w:rsidR="002B037C" w:rsidRDefault="00000000">
            <w:r>
              <w:rPr>
                <w:sz w:val="18"/>
              </w:rPr>
              <w:t>Other analyses</w:t>
            </w:r>
          </w:p>
        </w:tc>
        <w:tc>
          <w:tcPr>
            <w:tcW w:w="4752" w:type="dxa"/>
          </w:tcPr>
          <w:p w14:paraId="7545D1A5" w14:textId="77777777" w:rsidR="002B037C" w:rsidRDefault="00000000">
            <w:r>
              <w:rPr>
                <w:sz w:val="18"/>
              </w:rPr>
              <w:t>Report subgroup and interaction analyses and sensitivity analyses.</w:t>
            </w:r>
          </w:p>
        </w:tc>
        <w:tc>
          <w:tcPr>
            <w:tcW w:w="3888" w:type="dxa"/>
          </w:tcPr>
          <w:p w14:paraId="12888C9F" w14:textId="77777777" w:rsidR="002B037C" w:rsidRDefault="00000000">
            <w:r>
              <w:t>Results 3.2 (Additional file 4 for age strata), 3.7 (additional clinical variables; decision-curve and calibration), 3.8 (sensitivity); Fig. 4C–D.</w:t>
            </w:r>
          </w:p>
        </w:tc>
      </w:tr>
      <w:tr w:rsidR="002B037C" w14:paraId="6AE6F716" w14:textId="77777777" w:rsidTr="00FC394C">
        <w:tc>
          <w:tcPr>
            <w:tcW w:w="720" w:type="dxa"/>
          </w:tcPr>
          <w:p w14:paraId="36C58C80" w14:textId="77777777" w:rsidR="002B037C" w:rsidRDefault="00000000">
            <w:r>
              <w:rPr>
                <w:b/>
                <w:sz w:val="18"/>
              </w:rPr>
              <w:t>18</w:t>
            </w:r>
          </w:p>
        </w:tc>
        <w:tc>
          <w:tcPr>
            <w:tcW w:w="2160" w:type="dxa"/>
          </w:tcPr>
          <w:p w14:paraId="53ABE96F" w14:textId="77777777" w:rsidR="002B037C" w:rsidRDefault="00000000">
            <w:r>
              <w:rPr>
                <w:sz w:val="18"/>
              </w:rPr>
              <w:t>Key results</w:t>
            </w:r>
          </w:p>
        </w:tc>
        <w:tc>
          <w:tcPr>
            <w:tcW w:w="4752" w:type="dxa"/>
          </w:tcPr>
          <w:p w14:paraId="0527267D" w14:textId="77777777" w:rsidR="002B037C" w:rsidRDefault="00000000">
            <w:r>
              <w:rPr>
                <w:sz w:val="18"/>
              </w:rPr>
              <w:t>Summarise key results with reference to study objectives.</w:t>
            </w:r>
          </w:p>
        </w:tc>
        <w:tc>
          <w:tcPr>
            <w:tcW w:w="3888" w:type="dxa"/>
          </w:tcPr>
          <w:p w14:paraId="49FC30BF" w14:textId="77777777" w:rsidR="002B037C" w:rsidRDefault="00000000">
            <w:r>
              <w:t>Results 3.2–3.7 and Conclusions.</w:t>
            </w:r>
          </w:p>
        </w:tc>
      </w:tr>
      <w:tr w:rsidR="002B037C" w14:paraId="7D072197" w14:textId="77777777" w:rsidTr="00FC394C">
        <w:tc>
          <w:tcPr>
            <w:tcW w:w="720" w:type="dxa"/>
          </w:tcPr>
          <w:p w14:paraId="39A1EFD1" w14:textId="77777777" w:rsidR="002B037C" w:rsidRDefault="00000000">
            <w:r>
              <w:rPr>
                <w:b/>
                <w:sz w:val="18"/>
              </w:rPr>
              <w:t>19</w:t>
            </w:r>
          </w:p>
        </w:tc>
        <w:tc>
          <w:tcPr>
            <w:tcW w:w="2160" w:type="dxa"/>
          </w:tcPr>
          <w:p w14:paraId="147A0343" w14:textId="77777777" w:rsidR="002B037C" w:rsidRDefault="00000000">
            <w:r>
              <w:rPr>
                <w:sz w:val="18"/>
              </w:rPr>
              <w:t>Limitations</w:t>
            </w:r>
          </w:p>
        </w:tc>
        <w:tc>
          <w:tcPr>
            <w:tcW w:w="4752" w:type="dxa"/>
          </w:tcPr>
          <w:p w14:paraId="27DBEF1E" w14:textId="77777777" w:rsidR="002B037C" w:rsidRDefault="00000000">
            <w:r>
              <w:rPr>
                <w:sz w:val="18"/>
              </w:rPr>
              <w:t>Discuss limitations, sources of bias/imprecision; direction and magnitude of bias.</w:t>
            </w:r>
          </w:p>
        </w:tc>
        <w:tc>
          <w:tcPr>
            <w:tcW w:w="3888" w:type="dxa"/>
          </w:tcPr>
          <w:p w14:paraId="3B711A34" w14:textId="77777777" w:rsidR="002B037C" w:rsidRDefault="00000000">
            <w:r>
              <w:rPr>
                <w:sz w:val="18"/>
              </w:rPr>
              <w:t>Discussion — limitations paragraph (single-center, retrospective, small paired subgroup, reconstruction imprecision, no external validation).</w:t>
            </w:r>
          </w:p>
        </w:tc>
      </w:tr>
      <w:tr w:rsidR="002B037C" w14:paraId="44EF89C3" w14:textId="77777777" w:rsidTr="00FC394C">
        <w:tc>
          <w:tcPr>
            <w:tcW w:w="720" w:type="dxa"/>
          </w:tcPr>
          <w:p w14:paraId="15A0A2DB" w14:textId="77777777" w:rsidR="002B037C" w:rsidRDefault="00000000">
            <w:r>
              <w:rPr>
                <w:b/>
                <w:sz w:val="18"/>
              </w:rPr>
              <w:t>20</w:t>
            </w:r>
          </w:p>
        </w:tc>
        <w:tc>
          <w:tcPr>
            <w:tcW w:w="2160" w:type="dxa"/>
          </w:tcPr>
          <w:p w14:paraId="4E946EEB" w14:textId="77777777" w:rsidR="002B037C" w:rsidRDefault="00000000">
            <w:r>
              <w:rPr>
                <w:sz w:val="18"/>
              </w:rPr>
              <w:t>Interpretation</w:t>
            </w:r>
          </w:p>
        </w:tc>
        <w:tc>
          <w:tcPr>
            <w:tcW w:w="4752" w:type="dxa"/>
          </w:tcPr>
          <w:p w14:paraId="2F701287" w14:textId="77777777" w:rsidR="002B037C" w:rsidRDefault="00000000">
            <w:r>
              <w:rPr>
                <w:sz w:val="18"/>
              </w:rPr>
              <w:t>Give a cautious overall interpretation considering objectives, limitations, multiplicity, prior evidence.</w:t>
            </w:r>
          </w:p>
        </w:tc>
        <w:tc>
          <w:tcPr>
            <w:tcW w:w="3888" w:type="dxa"/>
          </w:tcPr>
          <w:p w14:paraId="798380C2" w14:textId="77777777" w:rsidR="002B037C" w:rsidRDefault="00000000">
            <w:r>
              <w:rPr>
                <w:sz w:val="18"/>
              </w:rPr>
              <w:t>Discussion — interpretation of EOS as rule-out adjunct.</w:t>
            </w:r>
          </w:p>
        </w:tc>
      </w:tr>
      <w:tr w:rsidR="002B037C" w14:paraId="57996E39" w14:textId="77777777" w:rsidTr="00FC394C">
        <w:tc>
          <w:tcPr>
            <w:tcW w:w="720" w:type="dxa"/>
          </w:tcPr>
          <w:p w14:paraId="3484DE46" w14:textId="77777777" w:rsidR="002B037C" w:rsidRDefault="00000000">
            <w:r>
              <w:rPr>
                <w:b/>
                <w:sz w:val="18"/>
              </w:rPr>
              <w:t>21</w:t>
            </w:r>
          </w:p>
        </w:tc>
        <w:tc>
          <w:tcPr>
            <w:tcW w:w="2160" w:type="dxa"/>
          </w:tcPr>
          <w:p w14:paraId="684FF480" w14:textId="77777777" w:rsidR="002B037C" w:rsidRDefault="00000000">
            <w:r>
              <w:rPr>
                <w:sz w:val="18"/>
              </w:rPr>
              <w:t>Generalisability</w:t>
            </w:r>
          </w:p>
        </w:tc>
        <w:tc>
          <w:tcPr>
            <w:tcW w:w="4752" w:type="dxa"/>
          </w:tcPr>
          <w:p w14:paraId="5E63C0DE" w14:textId="77777777" w:rsidR="002B037C" w:rsidRDefault="00000000">
            <w:r>
              <w:rPr>
                <w:sz w:val="18"/>
              </w:rPr>
              <w:t>Discuss generalisability (external validity).</w:t>
            </w:r>
          </w:p>
        </w:tc>
        <w:tc>
          <w:tcPr>
            <w:tcW w:w="3888" w:type="dxa"/>
          </w:tcPr>
          <w:p w14:paraId="33EAF3D8" w14:textId="77777777" w:rsidR="002B037C" w:rsidRDefault="00000000">
            <w:r>
              <w:rPr>
                <w:sz w:val="18"/>
              </w:rPr>
              <w:t>Discussion — PPV/NPV at primary-care prevalences; external validity caveat.</w:t>
            </w:r>
          </w:p>
        </w:tc>
      </w:tr>
      <w:tr w:rsidR="002B037C" w14:paraId="4B933E79" w14:textId="77777777" w:rsidTr="00FC394C">
        <w:tc>
          <w:tcPr>
            <w:tcW w:w="720" w:type="dxa"/>
          </w:tcPr>
          <w:p w14:paraId="342668DC" w14:textId="77777777" w:rsidR="002B037C" w:rsidRDefault="00000000">
            <w:r>
              <w:rPr>
                <w:b/>
                <w:sz w:val="18"/>
              </w:rPr>
              <w:t>22</w:t>
            </w:r>
          </w:p>
        </w:tc>
        <w:tc>
          <w:tcPr>
            <w:tcW w:w="2160" w:type="dxa"/>
          </w:tcPr>
          <w:p w14:paraId="409185D5" w14:textId="77777777" w:rsidR="002B037C" w:rsidRDefault="00000000">
            <w:r>
              <w:rPr>
                <w:sz w:val="18"/>
              </w:rPr>
              <w:t>Funding</w:t>
            </w:r>
          </w:p>
        </w:tc>
        <w:tc>
          <w:tcPr>
            <w:tcW w:w="4752" w:type="dxa"/>
          </w:tcPr>
          <w:p w14:paraId="29C801EA" w14:textId="77777777" w:rsidR="002B037C" w:rsidRDefault="00000000">
            <w:r>
              <w:rPr>
                <w:sz w:val="18"/>
              </w:rPr>
              <w:t>Give the source of funding and the role of funders.</w:t>
            </w:r>
          </w:p>
        </w:tc>
        <w:tc>
          <w:tcPr>
            <w:tcW w:w="3888" w:type="dxa"/>
          </w:tcPr>
          <w:p w14:paraId="78FE370F" w14:textId="77777777" w:rsidR="002B037C" w:rsidRDefault="00000000">
            <w:r>
              <w:rPr>
                <w:sz w:val="18"/>
              </w:rPr>
              <w:t>Declarations (Funding) — Health Science and Technology Project of Guizhou Province, China; grant no. gzwkj2025-409; the funders had no role in the study design, data collection, analysis, interpretation, or preparation of the manuscript.</w:t>
            </w:r>
          </w:p>
        </w:tc>
      </w:tr>
    </w:tbl>
    <w:p w14:paraId="6AD083E4" w14:textId="77777777" w:rsidR="0089167E" w:rsidRDefault="0089167E"/>
    <w:sectPr w:rsidR="0089167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1301908">
    <w:abstractNumId w:val="8"/>
  </w:num>
  <w:num w:numId="2" w16cid:durableId="890925231">
    <w:abstractNumId w:val="6"/>
  </w:num>
  <w:num w:numId="3" w16cid:durableId="221142686">
    <w:abstractNumId w:val="5"/>
  </w:num>
  <w:num w:numId="4" w16cid:durableId="1881169453">
    <w:abstractNumId w:val="4"/>
  </w:num>
  <w:num w:numId="5" w16cid:durableId="215701279">
    <w:abstractNumId w:val="7"/>
  </w:num>
  <w:num w:numId="6" w16cid:durableId="215970672">
    <w:abstractNumId w:val="3"/>
  </w:num>
  <w:num w:numId="7" w16cid:durableId="1744254993">
    <w:abstractNumId w:val="2"/>
  </w:num>
  <w:num w:numId="8" w16cid:durableId="896010380">
    <w:abstractNumId w:val="1"/>
  </w:num>
  <w:num w:numId="9" w16cid:durableId="1466662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037C"/>
    <w:rsid w:val="00326F90"/>
    <w:rsid w:val="00496278"/>
    <w:rsid w:val="006C13B4"/>
    <w:rsid w:val="0089167E"/>
    <w:rsid w:val="00AA1D8D"/>
    <w:rsid w:val="00B47730"/>
    <w:rsid w:val="00CB0664"/>
    <w:rsid w:val="00DE1433"/>
    <w:rsid w:val="00FC39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28283C"/>
  <w14:defaultImageDpi w14:val="300"/>
  <w15:docId w15:val="{CCD19152-05E9-4C16-A6E4-4AF3EBCAB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Calibri" w:eastAsia="宋体" w:hAnsi="Calibri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仁 陈</cp:lastModifiedBy>
  <cp:revision>3</cp:revision>
  <dcterms:created xsi:type="dcterms:W3CDTF">2013-12-23T23:15:00Z</dcterms:created>
  <dcterms:modified xsi:type="dcterms:W3CDTF">2026-10-08T11:58:00Z</dcterms:modified>
  <cp:category/>
</cp:coreProperties>
</file>