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C5502" w14:textId="77777777" w:rsidR="005A1476" w:rsidRPr="001B7124" w:rsidRDefault="00000000">
      <w:pPr>
        <w:rPr>
          <w:rFonts w:ascii="Times New Roman" w:hAnsi="Times New Roman" w:cs="Times New Roman"/>
        </w:rPr>
      </w:pPr>
      <w:r w:rsidRPr="001B7124">
        <w:rPr>
          <w:rFonts w:ascii="Times New Roman" w:hAnsi="Times New Roman" w:cs="Times New Roman"/>
          <w:b/>
        </w:rPr>
        <w:t>Table 2. Multivariable analysis of admission eosinophil count</w:t>
      </w: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819"/>
        <w:gridCol w:w="907"/>
        <w:gridCol w:w="2154"/>
        <w:gridCol w:w="907"/>
        <w:gridCol w:w="1928"/>
        <w:gridCol w:w="907"/>
      </w:tblGrid>
      <w:tr w:rsidR="005A1476" w:rsidRPr="001B7124" w14:paraId="0323B2B0" w14:textId="77777777" w:rsidTr="00D80679">
        <w:tc>
          <w:tcPr>
            <w:tcW w:w="2943" w:type="dxa"/>
            <w:tcBorders>
              <w:top w:val="single" w:sz="12" w:space="0" w:color="auto"/>
              <w:bottom w:val="single" w:sz="4" w:space="0" w:color="auto"/>
            </w:tcBorders>
          </w:tcPr>
          <w:p w14:paraId="5DC6005F" w14:textId="77777777" w:rsidR="005A1476" w:rsidRPr="001B712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b/>
                <w:sz w:val="16"/>
              </w:rPr>
              <w:t>Variable</w:t>
            </w:r>
          </w:p>
        </w:tc>
        <w:tc>
          <w:tcPr>
            <w:tcW w:w="1819" w:type="dxa"/>
            <w:tcBorders>
              <w:top w:val="single" w:sz="12" w:space="0" w:color="auto"/>
              <w:bottom w:val="single" w:sz="4" w:space="0" w:color="auto"/>
            </w:tcBorders>
          </w:tcPr>
          <w:p w14:paraId="100923C4" w14:textId="77777777" w:rsidR="005A1476" w:rsidRPr="001B712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b/>
                <w:sz w:val="16"/>
              </w:rPr>
              <w:t>Primary analysis: crude median ratio (95% CI)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4" w:space="0" w:color="auto"/>
            </w:tcBorders>
          </w:tcPr>
          <w:p w14:paraId="49ADD538" w14:textId="77777777" w:rsidR="00952862" w:rsidRPr="001B7124" w:rsidRDefault="00000000">
            <w:pPr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i w:val="1"/>
              </w:rPr>
              <w:t xml:space="preserve">P</w:t>
            </w:r>
            <w:r w:rsidRPr="001B7124">
              <w:rPr>
                <w:rFonts w:ascii="Times New Roman" w:hAnsi="Times New Roman" w:cs="Times New Roman"/>
              </w:rPr>
              <w:t xml:space="preserve"> value</w:t>
            </w:r>
          </w:p>
        </w:tc>
        <w:tc>
          <w:tcPr>
            <w:tcW w:w="2154" w:type="dxa"/>
            <w:tcBorders>
              <w:top w:val="single" w:sz="12" w:space="0" w:color="auto"/>
              <w:bottom w:val="single" w:sz="4" w:space="0" w:color="auto"/>
            </w:tcBorders>
          </w:tcPr>
          <w:p w14:paraId="2CD995F8" w14:textId="77777777" w:rsidR="005A1476" w:rsidRPr="001B712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b/>
                <w:sz w:val="16"/>
              </w:rPr>
              <w:t>Primary analysis: adjusted median ratio (95% CI)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4" w:space="0" w:color="auto"/>
            </w:tcBorders>
          </w:tcPr>
          <w:p w14:paraId="325B0FA8" w14:textId="77777777" w:rsidR="00952862" w:rsidRPr="001B7124" w:rsidRDefault="00000000">
            <w:pPr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i w:val="1"/>
              </w:rPr>
              <w:t xml:space="preserve">P</w:t>
            </w:r>
            <w:r w:rsidRPr="001B7124">
              <w:rPr>
                <w:rFonts w:ascii="Times New Roman" w:hAnsi="Times New Roman" w:cs="Times New Roman"/>
              </w:rPr>
              <w:t xml:space="preserve"> value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</w:tcBorders>
          </w:tcPr>
          <w:p w14:paraId="6A745B39" w14:textId="77777777" w:rsidR="005A1476" w:rsidRPr="001B712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b/>
                <w:sz w:val="16"/>
              </w:rPr>
              <w:t>Sensitivity analysis: adjusted OR (95% CI)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4" w:space="0" w:color="auto"/>
            </w:tcBorders>
          </w:tcPr>
          <w:p w14:paraId="0CDC8695" w14:textId="77777777" w:rsidR="00952862" w:rsidRPr="001B7124" w:rsidRDefault="00000000">
            <w:pPr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i w:val="1"/>
              </w:rPr>
              <w:t xml:space="preserve">P</w:t>
            </w:r>
            <w:r w:rsidRPr="001B7124">
              <w:rPr>
                <w:rFonts w:ascii="Times New Roman" w:hAnsi="Times New Roman" w:cs="Times New Roman"/>
              </w:rPr>
              <w:t xml:space="preserve"> value</w:t>
            </w:r>
          </w:p>
        </w:tc>
      </w:tr>
      <w:tr w:rsidR="005A1476" w:rsidRPr="001B7124" w14:paraId="4192C3D0" w14:textId="77777777" w:rsidTr="00D80679">
        <w:tc>
          <w:tcPr>
            <w:tcW w:w="2943" w:type="dxa"/>
            <w:tcBorders>
              <w:top w:val="single" w:sz="4" w:space="0" w:color="auto"/>
            </w:tcBorders>
          </w:tcPr>
          <w:p w14:paraId="0B8AB207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Influenza (yes vs no)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62DC70D6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0.243 (0.186–0.317)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14:paraId="3DE1BEB7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&lt;0.001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14:paraId="185E3C23" w14:textId="77777777" w:rsidR="00952862" w:rsidRPr="001B7124" w:rsidRDefault="00000000">
            <w:pPr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</w:rPr>
              <w:t>0.302 (0.225–0.405)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14:paraId="7235D364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&lt;0.001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15FBAAE0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6.61 (3.54–12.34)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14:paraId="72D71D7A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&lt;0.001</w:t>
            </w:r>
          </w:p>
        </w:tc>
      </w:tr>
      <w:tr w:rsidR="005A1476" w:rsidRPr="001B7124" w14:paraId="36C9CCFE" w14:textId="77777777" w:rsidTr="00D80679">
        <w:tc>
          <w:tcPr>
            <w:tcW w:w="2943" w:type="dxa"/>
          </w:tcPr>
          <w:p w14:paraId="366ECB05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Age (per 1-year increase)</w:t>
            </w:r>
          </w:p>
        </w:tc>
        <w:tc>
          <w:tcPr>
            <w:tcW w:w="1819" w:type="dxa"/>
          </w:tcPr>
          <w:p w14:paraId="536F4B18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0.836 (0.795–0.880)</w:t>
            </w:r>
          </w:p>
        </w:tc>
        <w:tc>
          <w:tcPr>
            <w:tcW w:w="907" w:type="dxa"/>
          </w:tcPr>
          <w:p w14:paraId="6FA0AE1C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&lt;0.001</w:t>
            </w:r>
          </w:p>
        </w:tc>
        <w:tc>
          <w:tcPr>
            <w:tcW w:w="2154" w:type="dxa"/>
          </w:tcPr>
          <w:p w14:paraId="02445293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0.914 (0.868–0.962)</w:t>
            </w:r>
          </w:p>
        </w:tc>
        <w:tc>
          <w:tcPr>
            <w:tcW w:w="907" w:type="dxa"/>
          </w:tcPr>
          <w:p w14:paraId="1220822F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&lt;0.001</w:t>
            </w:r>
          </w:p>
        </w:tc>
        <w:tc>
          <w:tcPr>
            <w:tcW w:w="1928" w:type="dxa"/>
          </w:tcPr>
          <w:p w14:paraId="042F0212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1.28 (1.13–1.45)</w:t>
            </w:r>
          </w:p>
        </w:tc>
        <w:tc>
          <w:tcPr>
            <w:tcW w:w="907" w:type="dxa"/>
          </w:tcPr>
          <w:p w14:paraId="1A6F317A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&lt;0.001</w:t>
            </w:r>
          </w:p>
        </w:tc>
      </w:tr>
      <w:tr w:rsidR="005A1476" w:rsidRPr="001B7124" w14:paraId="4402B44E" w14:textId="77777777" w:rsidTr="00D80679">
        <w:tc>
          <w:tcPr>
            <w:tcW w:w="2943" w:type="dxa"/>
          </w:tcPr>
          <w:p w14:paraId="76CA0489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Male sex (vs female)</w:t>
            </w:r>
          </w:p>
        </w:tc>
        <w:tc>
          <w:tcPr>
            <w:tcW w:w="1819" w:type="dxa"/>
          </w:tcPr>
          <w:p w14:paraId="3F1CFAEC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1.531 (1.112–2.108)</w:t>
            </w:r>
          </w:p>
        </w:tc>
        <w:tc>
          <w:tcPr>
            <w:tcW w:w="907" w:type="dxa"/>
          </w:tcPr>
          <w:p w14:paraId="55D31303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0.009</w:t>
            </w:r>
          </w:p>
        </w:tc>
        <w:tc>
          <w:tcPr>
            <w:tcW w:w="2154" w:type="dxa"/>
          </w:tcPr>
          <w:p w14:paraId="1D8D4DC8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1.201 (0.918–1.572)</w:t>
            </w:r>
          </w:p>
        </w:tc>
        <w:tc>
          <w:tcPr>
            <w:tcW w:w="907" w:type="dxa"/>
          </w:tcPr>
          <w:p w14:paraId="50EDB684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0.181</w:t>
            </w:r>
          </w:p>
        </w:tc>
        <w:tc>
          <w:tcPr>
            <w:tcW w:w="1928" w:type="dxa"/>
          </w:tcPr>
          <w:p w14:paraId="4A7FBD05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0.75 (0.41–1.38)</w:t>
            </w:r>
          </w:p>
        </w:tc>
        <w:tc>
          <w:tcPr>
            <w:tcW w:w="907" w:type="dxa"/>
          </w:tcPr>
          <w:p w14:paraId="21834535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0.356</w:t>
            </w:r>
          </w:p>
        </w:tc>
      </w:tr>
      <w:tr w:rsidR="005A1476" w:rsidRPr="001B7124" w14:paraId="0138889E" w14:textId="77777777" w:rsidTr="00D80679">
        <w:tc>
          <w:tcPr>
            <w:tcW w:w="2943" w:type="dxa"/>
          </w:tcPr>
          <w:p w14:paraId="36CBFB10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Glucocorticoid exposure (yes vs no)</w:t>
            </w:r>
          </w:p>
        </w:tc>
        <w:tc>
          <w:tcPr>
            <w:tcW w:w="1819" w:type="dxa"/>
          </w:tcPr>
          <w:p w14:paraId="4A6B6FC6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1.581 (0.968–2.581)</w:t>
            </w:r>
          </w:p>
        </w:tc>
        <w:tc>
          <w:tcPr>
            <w:tcW w:w="907" w:type="dxa"/>
          </w:tcPr>
          <w:p w14:paraId="16ABEC67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0.067</w:t>
            </w:r>
          </w:p>
        </w:tc>
        <w:tc>
          <w:tcPr>
            <w:tcW w:w="2154" w:type="dxa"/>
          </w:tcPr>
          <w:p w14:paraId="5C98ED5A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0.808 (0.530–1.232)</w:t>
            </w:r>
          </w:p>
        </w:tc>
        <w:tc>
          <w:tcPr>
            <w:tcW w:w="907" w:type="dxa"/>
          </w:tcPr>
          <w:p w14:paraId="71D68FE7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0.321</w:t>
            </w:r>
          </w:p>
        </w:tc>
        <w:tc>
          <w:tcPr>
            <w:tcW w:w="1928" w:type="dxa"/>
          </w:tcPr>
          <w:p w14:paraId="4F5B7492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1.83 (0.72–4.60)</w:t>
            </w:r>
          </w:p>
        </w:tc>
        <w:tc>
          <w:tcPr>
            <w:tcW w:w="907" w:type="dxa"/>
          </w:tcPr>
          <w:p w14:paraId="0293F55C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0.202</w:t>
            </w:r>
          </w:p>
        </w:tc>
      </w:tr>
      <w:tr w:rsidR="005A1476" w:rsidRPr="001B7124" w14:paraId="47265957" w14:textId="77777777" w:rsidTr="00D80679">
        <w:tc>
          <w:tcPr>
            <w:tcW w:w="2943" w:type="dxa"/>
            <w:tcBorders>
              <w:bottom w:val="single" w:sz="12" w:space="0" w:color="auto"/>
            </w:tcBorders>
          </w:tcPr>
          <w:p w14:paraId="70DDBFBC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IPTW-weighted: influenza</w:t>
            </w:r>
          </w:p>
        </w:tc>
        <w:tc>
          <w:tcPr>
            <w:tcW w:w="1819" w:type="dxa"/>
            <w:tcBorders>
              <w:bottom w:val="single" w:sz="12" w:space="0" w:color="auto"/>
            </w:tcBorders>
          </w:tcPr>
          <w:p w14:paraId="061171D3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—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66486CEA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—</w:t>
            </w:r>
          </w:p>
        </w:tc>
        <w:tc>
          <w:tcPr>
            <w:tcW w:w="2154" w:type="dxa"/>
            <w:tcBorders>
              <w:bottom w:val="single" w:sz="12" w:space="0" w:color="auto"/>
            </w:tcBorders>
          </w:tcPr>
          <w:p w14:paraId="03872EDE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0.275 (0.201–0.404)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741DB6AA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&lt;0.001</w:t>
            </w:r>
          </w:p>
        </w:tc>
        <w:tc>
          <w:tcPr>
            <w:tcW w:w="1928" w:type="dxa"/>
            <w:tcBorders>
              <w:bottom w:val="single" w:sz="12" w:space="0" w:color="auto"/>
            </w:tcBorders>
          </w:tcPr>
          <w:p w14:paraId="32F5848E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8.73 (4.90–15.53)</w:t>
            </w:r>
          </w:p>
        </w:tc>
        <w:tc>
          <w:tcPr>
            <w:tcW w:w="907" w:type="dxa"/>
            <w:tcBorders>
              <w:bottom w:val="single" w:sz="12" w:space="0" w:color="auto"/>
            </w:tcBorders>
          </w:tcPr>
          <w:p w14:paraId="0FEB0B8A" w14:textId="77777777" w:rsidR="005A1476" w:rsidRPr="001B7124" w:rsidRDefault="00000000" w:rsidP="00D80679">
            <w:pPr>
              <w:jc w:val="center"/>
              <w:rPr>
                <w:rFonts w:ascii="Times New Roman" w:hAnsi="Times New Roman" w:cs="Times New Roman"/>
              </w:rPr>
            </w:pPr>
            <w:r w:rsidRPr="001B7124">
              <w:rPr>
                <w:rFonts w:ascii="Times New Roman" w:hAnsi="Times New Roman" w:cs="Times New Roman"/>
                <w:sz w:val="17"/>
              </w:rPr>
              <w:t>&lt;0.001</w:t>
            </w:r>
          </w:p>
        </w:tc>
      </w:tr>
    </w:tbl>
    <w:p w14:paraId="253E3EE4" w14:textId="77777777" w:rsidR="005A1476" w:rsidRPr="001B7124" w:rsidRDefault="00000000" w:rsidP="001B712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B7124">
        <w:rPr>
          <w:rFonts w:ascii="Times New Roman" w:hAnsi="Times New Roman" w:cs="Times New Roman"/>
          <w:sz w:val="17"/>
        </w:rPr>
        <w:t>OR, odds ratio; IPTW, inverse probability of treatment weighting; 95% CI, 95% confidence interval.</w:t>
      </w:r>
    </w:p>
    <w:p w14:paraId="5FFF73F6" w14:textId="77777777" w:rsidR="005A1476" w:rsidRPr="001B7124" w:rsidRDefault="00000000" w:rsidP="001B712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7"/>
        </w:rPr>
        <w:t>The primary analysis was a linear regression of ln(</w:t>
      </w:r>
      <w:r>
        <w:rPr>
          <w:rFonts w:ascii="Times New Roman" w:hAnsi="Times New Roman" w:cs="Times New Roman"/>
          <w:sz w:val="17"/>
        </w:rPr>
        <w:t>EOS</w:t>
      </w:r>
      <w:r>
        <w:rPr>
          <w:rFonts w:ascii="Times New Roman" w:hAnsi="Times New Roman" w:cs="Times New Roman"/>
          <w:sz w:val="17"/>
        </w:rPr>
        <w:t xml:space="preserve">) on the listed covariates (n=252); results are median ratios (exponentiated coefficients), where a ratio &lt;1 denotes a lower </w:t>
      </w:r>
      <w:r>
        <w:rPr>
          <w:rFonts w:ascii="Times New Roman" w:hAnsi="Times New Roman" w:cs="Times New Roman"/>
          <w:sz w:val="17"/>
        </w:rPr>
        <w:t>EOS</w:t>
      </w:r>
      <w:r>
        <w:rPr>
          <w:rFonts w:ascii="Times New Roman" w:hAnsi="Times New Roman" w:cs="Times New Roman"/>
          <w:sz w:val="17"/>
        </w:rPr>
        <w:t xml:space="preserve"> in the </w:t>
      </w:r>
      <w:r>
        <w:rPr>
          <w:rFonts w:ascii="Times New Roman" w:hAnsi="Times New Roman" w:cs="Times New Roman"/>
          <w:sz w:val="17"/>
        </w:rPr>
        <w:t>exposed group</w:t>
      </w:r>
      <w:r>
        <w:rPr>
          <w:rFonts w:ascii="Times New Roman" w:hAnsi="Times New Roman" w:cs="Times New Roman"/>
          <w:sz w:val="17"/>
        </w:rPr>
        <w:t>. The crude column shows the unadjusted single-predictor estimate and the adjusted column the estimate from the multivariable model</w:t>
      </w:r>
      <w:r>
        <w:rPr>
          <w:rFonts w:ascii="Times New Roman" w:hAnsi="Times New Roman" w:cs="Times New Roman"/>
          <w:sz w:val="17"/>
        </w:rPr>
        <w:t>; as an exponentiated regression coefficient, the crude median ratio is not a simple ratio of the two group medians</w:t>
      </w:r>
      <w:r>
        <w:rPr>
          <w:rFonts w:ascii="Times New Roman" w:hAnsi="Times New Roman" w:cs="Times New Roman"/>
          <w:sz w:val="17"/>
        </w:rPr>
        <w:t>.</w:t>
      </w:r>
    </w:p>
    <w:p w14:paraId="66109AFA" w14:textId="77777777" w:rsidR="005A1476" w:rsidRPr="001B7124" w:rsidRDefault="00000000" w:rsidP="001B712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B7124">
        <w:rPr>
          <w:rFonts w:ascii="Times New Roman" w:hAnsi="Times New Roman" w:cs="Times New Roman"/>
          <w:sz w:val="17"/>
        </w:rPr>
        <w:t xml:space="preserve">The sensitivity analysis was a logistic regression of below-limit </w:t>
      </w:r>
      <w:r w:rsidRPr="001B7124">
        <w:rPr>
          <w:rFonts w:ascii="Times New Roman" w:hAnsi="Times New Roman" w:cs="Times New Roman"/>
          <w:sz w:val="17"/>
        </w:rPr>
        <w:t xml:space="preserve">EOS</w:t>
      </w:r>
      <w:r w:rsidRPr="001B7124">
        <w:rPr>
          <w:rFonts w:ascii="Times New Roman" w:hAnsi="Times New Roman" w:cs="Times New Roman"/>
          <w:sz w:val="17"/>
        </w:rPr>
        <w:t xml:space="preserve"> (&lt;0.05 ×10⁹/L); results are adjusted odds ratios.</w:t>
      </w:r>
    </w:p>
    <w:p w14:paraId="26165744" w14:textId="77777777" w:rsidR="005A1476" w:rsidRPr="001B7124" w:rsidRDefault="00000000" w:rsidP="001B712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B7124">
        <w:rPr>
          <w:rFonts w:ascii="Times New Roman" w:hAnsi="Times New Roman" w:cs="Times New Roman"/>
          <w:sz w:val="17"/>
        </w:rPr>
        <w:t>IPTW achieved covariate balance (standardized mean differences &lt;0.1 for age, sex, and glucocorticoid); only weighted adjusted estimates are shown (crude column not applicable).</w:t>
      </w:r>
    </w:p>
    <w:sectPr w:rsidR="005A1476" w:rsidRPr="001B7124" w:rsidSect="00D8067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0472396">
    <w:abstractNumId w:val="8"/>
  </w:num>
  <w:num w:numId="2" w16cid:durableId="887304602">
    <w:abstractNumId w:val="6"/>
  </w:num>
  <w:num w:numId="3" w16cid:durableId="392823244">
    <w:abstractNumId w:val="5"/>
  </w:num>
  <w:num w:numId="4" w16cid:durableId="1021710217">
    <w:abstractNumId w:val="4"/>
  </w:num>
  <w:num w:numId="5" w16cid:durableId="572084583">
    <w:abstractNumId w:val="7"/>
  </w:num>
  <w:num w:numId="6" w16cid:durableId="906233465">
    <w:abstractNumId w:val="3"/>
  </w:num>
  <w:num w:numId="7" w16cid:durableId="771125798">
    <w:abstractNumId w:val="2"/>
  </w:num>
  <w:num w:numId="8" w16cid:durableId="1902980003">
    <w:abstractNumId w:val="1"/>
  </w:num>
  <w:num w:numId="9" w16cid:durableId="1274702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32F"/>
    <w:rsid w:val="0006063C"/>
    <w:rsid w:val="0015074B"/>
    <w:rsid w:val="001B7124"/>
    <w:rsid w:val="0029639D"/>
    <w:rsid w:val="00326F90"/>
    <w:rsid w:val="005A1476"/>
    <w:rsid w:val="00952862"/>
    <w:rsid w:val="00AA1D8D"/>
    <w:rsid w:val="00B47730"/>
    <w:rsid w:val="00C55B07"/>
    <w:rsid w:val="00CB0664"/>
    <w:rsid w:val="00D806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404539"/>
  <w14:defaultImageDpi w14:val="300"/>
  <w15:docId w15:val="{0DD43D28-C05F-4EE2-B8CB-5BB289E7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仁 陈</cp:lastModifiedBy>
  <cp:revision>3</cp:revision>
  <dcterms:created xsi:type="dcterms:W3CDTF">2013-12-23T23:15:00Z</dcterms:created>
  <dcterms:modified xsi:type="dcterms:W3CDTF">2026-09-27T01:12:00Z</dcterms:modified>
  <cp:category/>
</cp:coreProperties>
</file>