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D98A2" w14:textId="089D3E08" w:rsidR="001C0622" w:rsidRPr="00CC1AB0" w:rsidRDefault="00000000" w:rsidP="00CC1AB0">
      <w:pPr>
        <w:rPr>
          <w:rFonts w:eastAsia="宋体"/>
          <w:lang w:eastAsia="zh-CN"/>
        </w:rPr>
      </w:pPr>
      <w:r>
        <w:rPr>
          <w:b/>
        </w:rPr>
        <w:t>Additional file 3. Proportion of children with admission eosinophil count below various thresholds and its association with influenza (threshold sensitivity analysis)</w:t>
      </w:r>
    </w:p>
    <w:tbl>
      <w:tblPr>
        <w:tblStyle w:val="af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4"/>
        <w:gridCol w:w="2448"/>
        <w:gridCol w:w="2736"/>
        <w:gridCol w:w="2448"/>
        <w:gridCol w:w="1296"/>
      </w:tblGrid>
      <w:tr w:rsidR="001C0622" w14:paraId="33533B72" w14:textId="77777777" w:rsidTr="00CC1AB0">
        <w:tc>
          <w:tcPr>
            <w:tcW w:w="3024" w:type="dxa"/>
            <w:tcBorders>
              <w:top w:val="single" w:sz="12" w:space="0" w:color="auto"/>
              <w:bottom w:val="single" w:sz="4" w:space="0" w:color="auto"/>
            </w:tcBorders>
          </w:tcPr>
          <w:p w14:paraId="5EF559E3" w14:textId="77777777" w:rsidR="001C0622" w:rsidRDefault="00000000" w:rsidP="00CC1AB0">
            <w:pPr>
              <w:jc w:val="center"/>
            </w:pPr>
            <w:r>
              <w:rPr>
                <w:b/>
                <w:sz w:val="20"/>
              </w:rPr>
              <w:t xml:space="preserve"/>
            </w:r>
            <w:r>
              <w:rPr>
                <w:b/>
                <w:sz w:val="20"/>
              </w:rPr>
              <w:t xml:space="preserve">EOS</w:t>
            </w:r>
            <w:r>
              <w:rPr>
                <w:b/>
                <w:sz w:val="20"/>
              </w:rPr>
              <w:t xml:space="preserve"> threshold (×10⁹/L)</w:t>
            </w:r>
          </w:p>
        </w:tc>
        <w:tc>
          <w:tcPr>
            <w:tcW w:w="2448" w:type="dxa"/>
            <w:tcBorders>
              <w:top w:val="single" w:sz="12" w:space="0" w:color="auto"/>
              <w:bottom w:val="single" w:sz="4" w:space="0" w:color="auto"/>
            </w:tcBorders>
          </w:tcPr>
          <w:p w14:paraId="05864DE8" w14:textId="77777777" w:rsidR="001C0622" w:rsidRDefault="00000000" w:rsidP="00CC1AB0">
            <w:pPr>
              <w:jc w:val="center"/>
            </w:pPr>
            <w:r>
              <w:rPr>
                <w:b/>
                <w:sz w:val="20"/>
              </w:rPr>
              <w:t>Influenza / n/N (%)</w:t>
            </w:r>
          </w:p>
        </w:tc>
        <w:tc>
          <w:tcPr>
            <w:tcW w:w="2736" w:type="dxa"/>
            <w:tcBorders>
              <w:top w:val="single" w:sz="12" w:space="0" w:color="auto"/>
              <w:bottom w:val="single" w:sz="4" w:space="0" w:color="auto"/>
            </w:tcBorders>
          </w:tcPr>
          <w:p w14:paraId="0C677B1A" w14:textId="77777777" w:rsidR="001C0622" w:rsidRDefault="00000000" w:rsidP="00CC1AB0">
            <w:pPr>
              <w:jc w:val="center"/>
            </w:pPr>
            <w:r>
              <w:rPr>
                <w:b/>
                <w:sz w:val="20"/>
              </w:rPr>
              <w:t>Non-influenza / n/N (%)</w:t>
            </w:r>
          </w:p>
        </w:tc>
        <w:tc>
          <w:tcPr>
            <w:tcW w:w="2448" w:type="dxa"/>
            <w:tcBorders>
              <w:top w:val="single" w:sz="12" w:space="0" w:color="auto"/>
              <w:bottom w:val="single" w:sz="4" w:space="0" w:color="auto"/>
            </w:tcBorders>
          </w:tcPr>
          <w:p w14:paraId="78EA424C" w14:textId="77777777" w:rsidR="001C0622" w:rsidRDefault="00000000" w:rsidP="00CC1AB0">
            <w:pPr>
              <w:jc w:val="center"/>
            </w:pPr>
            <w:r>
              <w:rPr>
                <w:b/>
                <w:sz w:val="20"/>
              </w:rPr>
              <w:t>OR (95% CI)</w:t>
            </w:r>
          </w:p>
        </w:tc>
        <w:tc>
          <w:tcPr>
            <w:tcW w:w="1296" w:type="dxa"/>
            <w:tcBorders>
              <w:top w:val="single" w:sz="12" w:space="0" w:color="auto"/>
              <w:bottom w:val="single" w:sz="4" w:space="0" w:color="auto"/>
            </w:tcBorders>
          </w:tcPr>
          <w:p w14:paraId="4DFE641B" w14:textId="77777777" w:rsidR="001C0622" w:rsidRDefault="00000000" w:rsidP="00CC1AB0">
            <w:pPr>
              <w:jc w:val="center"/>
            </w:pPr>
            <w:r>
              <w:rPr>
                <w:b/>
                <w:sz w:val="20"/>
                <w:i w:val="1"/>
              </w:rPr>
              <w:t xml:space="preserve">P</w:t>
            </w:r>
            <w:r>
              <w:rPr>
                <w:b/>
                <w:sz w:val="20"/>
              </w:rPr>
              <w:t xml:space="preserve"> value</w:t>
            </w:r>
          </w:p>
        </w:tc>
      </w:tr>
      <w:tr w:rsidR="001C0622" w14:paraId="12FD6D0A" w14:textId="77777777" w:rsidTr="00CC1AB0">
        <w:tc>
          <w:tcPr>
            <w:tcW w:w="3024" w:type="dxa"/>
            <w:tcBorders>
              <w:top w:val="single" w:sz="4" w:space="0" w:color="auto"/>
            </w:tcBorders>
          </w:tcPr>
          <w:p w14:paraId="1B1C63E0" w14:textId="77777777" w:rsidR="001C0622" w:rsidRDefault="00000000" w:rsidP="00CC1AB0">
            <w:pPr>
              <w:jc w:val="center"/>
            </w:pPr>
            <w:r>
              <w:rPr>
                <w:sz w:val="20"/>
              </w:rPr>
              <w:t>&lt;0.01</w:t>
            </w:r>
          </w:p>
        </w:tc>
        <w:tc>
          <w:tcPr>
            <w:tcW w:w="2448" w:type="dxa"/>
            <w:tcBorders>
              <w:top w:val="single" w:sz="4" w:space="0" w:color="auto"/>
            </w:tcBorders>
          </w:tcPr>
          <w:p w14:paraId="2B304B96" w14:textId="77777777" w:rsidR="001C0622" w:rsidRDefault="00000000" w:rsidP="00CC1AB0">
            <w:pPr>
              <w:jc w:val="center"/>
            </w:pPr>
            <w:r>
              <w:rPr>
                <w:sz w:val="20"/>
              </w:rPr>
              <w:t>48/122 (39.3)</w:t>
            </w:r>
          </w:p>
        </w:tc>
        <w:tc>
          <w:tcPr>
            <w:tcW w:w="2736" w:type="dxa"/>
            <w:tcBorders>
              <w:top w:val="single" w:sz="4" w:space="0" w:color="auto"/>
            </w:tcBorders>
          </w:tcPr>
          <w:p w14:paraId="76D090B5" w14:textId="77777777" w:rsidR="001C0622" w:rsidRDefault="00000000" w:rsidP="00CC1AB0">
            <w:pPr>
              <w:jc w:val="center"/>
            </w:pPr>
            <w:r>
              <w:rPr>
                <w:sz w:val="20"/>
              </w:rPr>
              <w:t>9/130 (6.9)</w:t>
            </w:r>
          </w:p>
        </w:tc>
        <w:tc>
          <w:tcPr>
            <w:tcW w:w="2448" w:type="dxa"/>
            <w:tcBorders>
              <w:top w:val="single" w:sz="4" w:space="0" w:color="auto"/>
            </w:tcBorders>
          </w:tcPr>
          <w:p w14:paraId="3A4C5A14" w14:textId="77777777" w:rsidR="001C0622" w:rsidRDefault="00000000" w:rsidP="00CC1AB0">
            <w:pPr>
              <w:jc w:val="center"/>
            </w:pPr>
            <w:r>
              <w:rPr>
                <w:sz w:val="20"/>
              </w:rPr>
              <w:t>8.72 (4.04–18.81)</w:t>
            </w:r>
          </w:p>
        </w:tc>
        <w:tc>
          <w:tcPr>
            <w:tcW w:w="1296" w:type="dxa"/>
            <w:tcBorders>
              <w:top w:val="single" w:sz="4" w:space="0" w:color="auto"/>
            </w:tcBorders>
          </w:tcPr>
          <w:p w14:paraId="1E288184" w14:textId="77777777" w:rsidR="001C0622" w:rsidRDefault="00000000" w:rsidP="00CC1AB0">
            <w:pPr>
              <w:jc w:val="center"/>
            </w:pPr>
            <w:r>
              <w:rPr>
                <w:sz w:val="20"/>
              </w:rPr>
              <w:t>&lt;0.001</w:t>
            </w:r>
          </w:p>
        </w:tc>
      </w:tr>
      <w:tr w:rsidR="001C0622" w14:paraId="2EDA7577" w14:textId="77777777" w:rsidTr="00CC1AB0">
        <w:tc>
          <w:tcPr>
            <w:tcW w:w="3024" w:type="dxa"/>
          </w:tcPr>
          <w:p w14:paraId="1F4CC212" w14:textId="77777777" w:rsidR="001C0622" w:rsidRDefault="00000000" w:rsidP="00CC1AB0">
            <w:pPr>
              <w:jc w:val="center"/>
            </w:pPr>
            <w:r>
              <w:rPr>
                <w:sz w:val="20"/>
              </w:rPr>
              <w:t>&lt;0.02</w:t>
            </w:r>
          </w:p>
        </w:tc>
        <w:tc>
          <w:tcPr>
            <w:tcW w:w="2448" w:type="dxa"/>
          </w:tcPr>
          <w:p w14:paraId="5EBDF12C" w14:textId="77777777" w:rsidR="001C0622" w:rsidRDefault="00000000" w:rsidP="00CC1AB0">
            <w:pPr>
              <w:jc w:val="center"/>
            </w:pPr>
            <w:r>
              <w:rPr>
                <w:sz w:val="20"/>
              </w:rPr>
              <w:t>64/122 (52.5)</w:t>
            </w:r>
          </w:p>
        </w:tc>
        <w:tc>
          <w:tcPr>
            <w:tcW w:w="2736" w:type="dxa"/>
          </w:tcPr>
          <w:p w14:paraId="37DA0D83" w14:textId="77777777" w:rsidR="001C0622" w:rsidRDefault="00000000" w:rsidP="00CC1AB0">
            <w:pPr>
              <w:jc w:val="center"/>
            </w:pPr>
            <w:r>
              <w:rPr>
                <w:sz w:val="20"/>
              </w:rPr>
              <w:t>18/130 (13.8)</w:t>
            </w:r>
          </w:p>
        </w:tc>
        <w:tc>
          <w:tcPr>
            <w:tcW w:w="2448" w:type="dxa"/>
          </w:tcPr>
          <w:p w14:paraId="43451CFA" w14:textId="77777777" w:rsidR="001C0622" w:rsidRDefault="00000000" w:rsidP="00CC1AB0">
            <w:pPr>
              <w:jc w:val="center"/>
            </w:pPr>
            <w:r>
              <w:rPr>
                <w:sz w:val="20"/>
              </w:rPr>
              <w:t>6.87 (3.72–12.66)</w:t>
            </w:r>
          </w:p>
        </w:tc>
        <w:tc>
          <w:tcPr>
            <w:tcW w:w="1296" w:type="dxa"/>
          </w:tcPr>
          <w:p w14:paraId="4D757A1C" w14:textId="77777777" w:rsidR="001C0622" w:rsidRDefault="00000000" w:rsidP="00CC1AB0">
            <w:pPr>
              <w:jc w:val="center"/>
            </w:pPr>
            <w:r>
              <w:rPr>
                <w:sz w:val="20"/>
              </w:rPr>
              <w:t>&lt;0.001</w:t>
            </w:r>
          </w:p>
        </w:tc>
      </w:tr>
      <w:tr w:rsidR="001C0622" w14:paraId="6376ADE2" w14:textId="77777777" w:rsidTr="00CC1AB0">
        <w:tc>
          <w:tcPr>
            <w:tcW w:w="3024" w:type="dxa"/>
          </w:tcPr>
          <w:p w14:paraId="0DD92249" w14:textId="77777777" w:rsidR="001C0622" w:rsidRDefault="00000000" w:rsidP="00CC1AB0">
            <w:pPr>
              <w:jc w:val="center"/>
            </w:pPr>
            <w:r>
              <w:rPr>
                <w:sz w:val="20"/>
              </w:rPr>
              <w:t>&lt;0.03</w:t>
            </w:r>
          </w:p>
        </w:tc>
        <w:tc>
          <w:tcPr>
            <w:tcW w:w="2448" w:type="dxa"/>
          </w:tcPr>
          <w:p w14:paraId="5E050C01" w14:textId="77777777" w:rsidR="001C0622" w:rsidRDefault="00000000" w:rsidP="00CC1AB0">
            <w:pPr>
              <w:jc w:val="center"/>
            </w:pPr>
            <w:r>
              <w:rPr>
                <w:sz w:val="20"/>
              </w:rPr>
              <w:t>79/122 (64.8)</w:t>
            </w:r>
          </w:p>
        </w:tc>
        <w:tc>
          <w:tcPr>
            <w:tcW w:w="2736" w:type="dxa"/>
          </w:tcPr>
          <w:p w14:paraId="02AA7921" w14:textId="77777777" w:rsidR="001C0622" w:rsidRDefault="00000000" w:rsidP="00CC1AB0">
            <w:pPr>
              <w:jc w:val="center"/>
            </w:pPr>
            <w:r>
              <w:rPr>
                <w:sz w:val="20"/>
              </w:rPr>
              <w:t>26/130 (20.0)</w:t>
            </w:r>
          </w:p>
        </w:tc>
        <w:tc>
          <w:tcPr>
            <w:tcW w:w="2448" w:type="dxa"/>
          </w:tcPr>
          <w:p w14:paraId="60F596A4" w14:textId="77777777" w:rsidR="001C0622" w:rsidRDefault="00000000" w:rsidP="00CC1AB0">
            <w:pPr>
              <w:jc w:val="center"/>
            </w:pPr>
            <w:r>
              <w:rPr>
                <w:sz w:val="20"/>
              </w:rPr>
              <w:t>7.35 (4.16–12.97)</w:t>
            </w:r>
          </w:p>
        </w:tc>
        <w:tc>
          <w:tcPr>
            <w:tcW w:w="1296" w:type="dxa"/>
          </w:tcPr>
          <w:p w14:paraId="48A0FF80" w14:textId="77777777" w:rsidR="001C0622" w:rsidRDefault="00000000" w:rsidP="00CC1AB0">
            <w:pPr>
              <w:jc w:val="center"/>
            </w:pPr>
            <w:r>
              <w:rPr>
                <w:sz w:val="20"/>
              </w:rPr>
              <w:t>&lt;0.001</w:t>
            </w:r>
          </w:p>
        </w:tc>
      </w:tr>
      <w:tr w:rsidR="001C0622" w14:paraId="7E94F8FD" w14:textId="77777777" w:rsidTr="00CC1AB0">
        <w:tc>
          <w:tcPr>
            <w:tcW w:w="3024" w:type="dxa"/>
          </w:tcPr>
          <w:p w14:paraId="5AF9B5E1" w14:textId="77777777" w:rsidR="001C0622" w:rsidRDefault="00000000" w:rsidP="00CC1AB0">
            <w:pPr>
              <w:jc w:val="center"/>
            </w:pPr>
            <w:r>
              <w:rPr>
                <w:sz w:val="20"/>
              </w:rPr>
              <w:t>&lt;0.05 (primary threshold)</w:t>
            </w:r>
          </w:p>
        </w:tc>
        <w:tc>
          <w:tcPr>
            <w:tcW w:w="2448" w:type="dxa"/>
          </w:tcPr>
          <w:p w14:paraId="38C35F77" w14:textId="77777777" w:rsidR="001C0622" w:rsidRDefault="00000000" w:rsidP="00CC1AB0">
            <w:pPr>
              <w:jc w:val="center"/>
            </w:pPr>
            <w:r>
              <w:rPr>
                <w:sz w:val="20"/>
              </w:rPr>
              <w:t>93/122 (76.2)</w:t>
            </w:r>
          </w:p>
        </w:tc>
        <w:tc>
          <w:tcPr>
            <w:tcW w:w="2736" w:type="dxa"/>
          </w:tcPr>
          <w:p w14:paraId="3A323332" w14:textId="77777777" w:rsidR="001C0622" w:rsidRDefault="00000000" w:rsidP="00CC1AB0">
            <w:pPr>
              <w:jc w:val="center"/>
            </w:pPr>
            <w:r>
              <w:rPr>
                <w:sz w:val="20"/>
              </w:rPr>
              <w:t>33/130 (25.4)</w:t>
            </w:r>
          </w:p>
        </w:tc>
        <w:tc>
          <w:tcPr>
            <w:tcW w:w="2448" w:type="dxa"/>
          </w:tcPr>
          <w:p w14:paraId="32E2CC46" w14:textId="77777777" w:rsidR="001C0622" w:rsidRDefault="00000000" w:rsidP="00CC1AB0">
            <w:pPr>
              <w:jc w:val="center"/>
            </w:pPr>
            <w:r>
              <w:rPr>
                <w:sz w:val="20"/>
              </w:rPr>
              <w:t>9.43 (5.31–16.74)</w:t>
            </w:r>
          </w:p>
        </w:tc>
        <w:tc>
          <w:tcPr>
            <w:tcW w:w="1296" w:type="dxa"/>
          </w:tcPr>
          <w:p w14:paraId="41C35B5E" w14:textId="77777777" w:rsidR="001C0622" w:rsidRDefault="00000000" w:rsidP="00CC1AB0">
            <w:pPr>
              <w:jc w:val="center"/>
            </w:pPr>
            <w:r>
              <w:rPr>
                <w:sz w:val="20"/>
              </w:rPr>
              <w:t>&lt;0.001</w:t>
            </w:r>
          </w:p>
        </w:tc>
      </w:tr>
      <w:tr w:rsidR="001C0622" w14:paraId="2050F51E" w14:textId="77777777" w:rsidTr="00CC1AB0">
        <w:tc>
          <w:tcPr>
            <w:tcW w:w="3024" w:type="dxa"/>
            <w:tcBorders>
              <w:bottom w:val="single" w:sz="12" w:space="0" w:color="auto"/>
            </w:tcBorders>
          </w:tcPr>
          <w:p w14:paraId="34210BEE" w14:textId="77777777" w:rsidR="001C0622" w:rsidRDefault="00000000" w:rsidP="00CC1AB0">
            <w:pPr>
              <w:jc w:val="center"/>
            </w:pPr>
            <w:r>
              <w:rPr>
                <w:sz w:val="20"/>
              </w:rPr>
              <w:t>&lt;0.10</w:t>
            </w:r>
          </w:p>
        </w:tc>
        <w:tc>
          <w:tcPr>
            <w:tcW w:w="2448" w:type="dxa"/>
            <w:tcBorders>
              <w:bottom w:val="single" w:sz="12" w:space="0" w:color="auto"/>
            </w:tcBorders>
          </w:tcPr>
          <w:p w14:paraId="72D3736A" w14:textId="77777777" w:rsidR="001C0622" w:rsidRDefault="00000000" w:rsidP="00CC1AB0">
            <w:pPr>
              <w:jc w:val="center"/>
            </w:pPr>
            <w:r>
              <w:rPr>
                <w:sz w:val="20"/>
              </w:rPr>
              <w:t>108/122 (88.5)</w:t>
            </w:r>
          </w:p>
        </w:tc>
        <w:tc>
          <w:tcPr>
            <w:tcW w:w="2736" w:type="dxa"/>
            <w:tcBorders>
              <w:bottom w:val="single" w:sz="12" w:space="0" w:color="auto"/>
            </w:tcBorders>
          </w:tcPr>
          <w:p w14:paraId="34FF8E10" w14:textId="77777777" w:rsidR="001C0622" w:rsidRDefault="00000000" w:rsidP="00CC1AB0">
            <w:pPr>
              <w:jc w:val="center"/>
            </w:pPr>
            <w:r>
              <w:rPr>
                <w:sz w:val="20"/>
              </w:rPr>
              <w:t>50/130 (38.5)</w:t>
            </w:r>
          </w:p>
        </w:tc>
        <w:tc>
          <w:tcPr>
            <w:tcW w:w="2448" w:type="dxa"/>
            <w:tcBorders>
              <w:bottom w:val="single" w:sz="12" w:space="0" w:color="auto"/>
            </w:tcBorders>
          </w:tcPr>
          <w:p w14:paraId="4AF9CCA9" w14:textId="77777777" w:rsidR="001C0622" w:rsidRDefault="00000000" w:rsidP="00CC1AB0">
            <w:pPr>
              <w:jc w:val="center"/>
            </w:pPr>
            <w:r>
              <w:rPr>
                <w:sz w:val="20"/>
              </w:rPr>
              <w:t>12.34 (6.38–23.87)</w:t>
            </w:r>
          </w:p>
        </w:tc>
        <w:tc>
          <w:tcPr>
            <w:tcW w:w="1296" w:type="dxa"/>
            <w:tcBorders>
              <w:bottom w:val="single" w:sz="12" w:space="0" w:color="auto"/>
            </w:tcBorders>
          </w:tcPr>
          <w:p w14:paraId="6C2D48DB" w14:textId="77777777" w:rsidR="001C0622" w:rsidRDefault="00000000" w:rsidP="00CC1AB0">
            <w:pPr>
              <w:jc w:val="center"/>
            </w:pPr>
            <w:r>
              <w:rPr>
                <w:sz w:val="20"/>
              </w:rPr>
              <w:t>&lt;0.001</w:t>
            </w:r>
          </w:p>
        </w:tc>
      </w:tr>
    </w:tbl>
    <w:p w14:paraId="5CD8479A" w14:textId="13616378" w:rsidR="00A82221" w:rsidRDefault="00CC1AB0" w:rsidP="00D02A92">
      <w:pPr>
        <w:spacing w:after="0" w:line="360" w:lineRule="auto"/>
        <w:jc w:val="both"/>
      </w:pPr>
      <w:r>
        <w:rPr>
          <w:sz w:val="19"/>
        </w:rPr>
        <w:t xml:space="preserve">EOS, absolute eosinophil count. </w:t>
      </w:r>
      <w:r>
        <w:rPr>
          <w:sz w:val="19"/>
        </w:rPr>
        <w:t>EOS</w:t>
      </w:r>
      <w:r>
        <w:rPr>
          <w:sz w:val="19"/>
        </w:rPr>
        <w:t xml:space="preserve"> was derived by reconstruction (white blood cell count × eosinophil percentage ÷ 100); proportions are </w:t>
      </w:r>
      <w:r>
        <w:rPr>
          <w:sz w:val="19"/>
        </w:rPr>
        <w:t>reported</w:t>
      </w:r>
      <w:r>
        <w:rPr>
          <w:sz w:val="19"/>
        </w:rPr>
        <w:t xml:space="preserve"> as n/N. Group comparisons used Fisher’s exact test. Odds ratios and 95% confidence intervals were calculated by the Woolf (unconditional log-odds) method without continuity correction; no </w:t>
      </w:r>
      <w:r>
        <w:rPr>
          <w:sz w:val="19"/>
        </w:rPr>
        <w:t>cells</w:t>
      </w:r>
      <w:r>
        <w:rPr>
          <w:sz w:val="19"/>
        </w:rPr>
        <w:t xml:space="preserve"> contained zero. OR, odds ratio; CI, confidence interval.</w:t>
      </w:r>
    </w:p>
    <w:sectPr w:rsidR="00A82221" w:rsidSect="00CC1AB0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79268968">
    <w:abstractNumId w:val="8"/>
  </w:num>
  <w:num w:numId="2" w16cid:durableId="884367395">
    <w:abstractNumId w:val="6"/>
  </w:num>
  <w:num w:numId="3" w16cid:durableId="1892764299">
    <w:abstractNumId w:val="5"/>
  </w:num>
  <w:num w:numId="4" w16cid:durableId="1154875934">
    <w:abstractNumId w:val="4"/>
  </w:num>
  <w:num w:numId="5" w16cid:durableId="296107254">
    <w:abstractNumId w:val="7"/>
  </w:num>
  <w:num w:numId="6" w16cid:durableId="1861360103">
    <w:abstractNumId w:val="3"/>
  </w:num>
  <w:num w:numId="7" w16cid:durableId="626621750">
    <w:abstractNumId w:val="2"/>
  </w:num>
  <w:num w:numId="8" w16cid:durableId="1089354382">
    <w:abstractNumId w:val="1"/>
  </w:num>
  <w:num w:numId="9" w16cid:durableId="1046101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C0622"/>
    <w:rsid w:val="0029639D"/>
    <w:rsid w:val="00326F90"/>
    <w:rsid w:val="003F68F2"/>
    <w:rsid w:val="009456EE"/>
    <w:rsid w:val="00A82221"/>
    <w:rsid w:val="00AA1D8D"/>
    <w:rsid w:val="00B47730"/>
    <w:rsid w:val="00CB0664"/>
    <w:rsid w:val="00CC1AB0"/>
    <w:rsid w:val="00D02A9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BD0687"/>
  <w14:defaultImageDpi w14:val="300"/>
  <w15:docId w15:val="{B10DEC43-8DCC-4EB2-BBFD-CC1A8FA1F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仁 陈</cp:lastModifiedBy>
  <cp:revision>3</cp:revision>
  <dcterms:created xsi:type="dcterms:W3CDTF">2013-12-23T23:15:00Z</dcterms:created>
  <dcterms:modified xsi:type="dcterms:W3CDTF">2026-09-27T01:13:00Z</dcterms:modified>
  <cp:category/>
</cp:coreProperties>
</file>