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CB01A" w14:textId="77777777" w:rsidR="00F73B9F" w:rsidRPr="00802C34" w:rsidRDefault="00F73B9F" w:rsidP="00802C34">
      <w:pPr>
        <w:spacing w:line="360" w:lineRule="auto"/>
        <w:jc w:val="center"/>
        <w:rPr>
          <w:rFonts w:asciiTheme="majorBidi" w:hAnsiTheme="majorBidi" w:cstheme="majorBidi"/>
          <w:b/>
          <w:bCs/>
          <w:sz w:val="28"/>
          <w:szCs w:val="28"/>
        </w:rPr>
      </w:pPr>
      <w:r>
        <w:rPr>
          <w:rFonts w:asciiTheme="majorBidi" w:hAnsiTheme="majorBidi" w:cstheme="majorBidi"/>
          <w:b/>
          <w:bCs/>
          <w:sz w:val="28"/>
          <w:szCs w:val="28"/>
        </w:rPr>
        <w:t>Online Resource 1</w:t>
      </w:r>
    </w:p>
    <w:p w14:paraId="511CD20D" w14:textId="77777777" w:rsidR="00F73B9F" w:rsidRPr="00802C34" w:rsidRDefault="00F73B9F" w:rsidP="00802C34">
      <w:pPr>
        <w:spacing w:line="360" w:lineRule="auto"/>
        <w:jc w:val="center"/>
        <w:rPr>
          <w:rFonts w:asciiTheme="majorBidi" w:hAnsiTheme="majorBidi" w:cstheme="majorBidi"/>
          <w:sz w:val="22"/>
          <w:szCs w:val="22"/>
        </w:rPr>
      </w:pPr>
      <w:r>
        <w:rPr>
          <w:rFonts w:asciiTheme="majorBidi" w:hAnsiTheme="majorBidi" w:cstheme="majorBidi"/>
          <w:b/>
          <w:sz w:val="22"/>
          <w:szCs w:val="22"/>
        </w:rPr>
        <w:t>Predictive accuracy without physical validity: structural channel corruption in industrial gas-turbine field data</w:t>
      </w:r>
    </w:p>
    <w:p w14:paraId="59B327A5" w14:textId="77777777" w:rsidR="004A2AD8" w:rsidRDefault="00000000">
      <w:pPr>
        <w:spacing w:line="360" w:lineRule="auto"/>
        <w:jc w:val="center"/>
        <w:rPr>
          <w:rFonts w:asciiTheme="majorBidi" w:hAnsiTheme="majorBidi" w:cstheme="majorBidi"/>
          <w:sz w:val="22"/>
          <w:szCs w:val="22"/>
        </w:rPr>
      </w:pPr>
      <w:r>
        <w:rPr>
          <w:rFonts w:asciiTheme="majorBidi" w:hAnsiTheme="majorBidi" w:cstheme="majorBidi"/>
          <w:sz w:val="22"/>
          <w:szCs w:val="22"/>
        </w:rPr>
        <w:t xml:space="preserve">Journal: </w:t>
      </w:r>
      <w:r w:rsidRPr="00955969">
        <w:rPr>
          <w:rFonts w:asciiTheme="majorBidi" w:hAnsiTheme="majorBidi" w:cstheme="majorBidi"/>
          <w:sz w:val="22"/>
          <w:szCs w:val="22"/>
        </w:rPr>
        <w:t>Journal of Intelligent Information Systems</w:t>
      </w:r>
    </w:p>
    <w:p w14:paraId="4904C67F" w14:textId="77777777" w:rsidR="004A2AD8" w:rsidRDefault="00000000">
      <w:pPr>
        <w:spacing w:line="360" w:lineRule="auto"/>
        <w:jc w:val="center"/>
        <w:rPr>
          <w:rFonts w:asciiTheme="majorBidi" w:hAnsiTheme="majorBidi" w:cstheme="majorBidi"/>
          <w:sz w:val="22"/>
          <w:szCs w:val="22"/>
        </w:rPr>
      </w:pPr>
      <w:r>
        <w:rPr>
          <w:rFonts w:asciiTheme="majorBidi" w:hAnsiTheme="majorBidi" w:cstheme="majorBidi"/>
          <w:sz w:val="22"/>
          <w:szCs w:val="22"/>
        </w:rPr>
        <w:t>Montaser Saeed¹*, Saad Adam²</w:t>
      </w:r>
    </w:p>
    <w:p w14:paraId="573FE302" w14:textId="77777777" w:rsidR="004A2AD8" w:rsidRDefault="00000000">
      <w:pPr>
        <w:spacing w:line="360" w:lineRule="auto"/>
        <w:jc w:val="center"/>
        <w:rPr>
          <w:rFonts w:asciiTheme="majorBidi" w:hAnsiTheme="majorBidi" w:cstheme="majorBidi"/>
          <w:sz w:val="22"/>
          <w:szCs w:val="22"/>
        </w:rPr>
      </w:pPr>
      <w:r>
        <w:rPr>
          <w:rFonts w:asciiTheme="majorBidi" w:hAnsiTheme="majorBidi" w:cstheme="majorBidi"/>
          <w:sz w:val="22"/>
          <w:szCs w:val="22"/>
        </w:rPr>
        <w:t>¹ Department of Aeronautical Engineering, Bright Star University, El Brega, Libya</w:t>
      </w:r>
    </w:p>
    <w:p w14:paraId="48F49AA5" w14:textId="77777777" w:rsidR="004A2AD8" w:rsidRDefault="00000000">
      <w:pPr>
        <w:spacing w:line="360" w:lineRule="auto"/>
        <w:jc w:val="center"/>
        <w:rPr>
          <w:rFonts w:asciiTheme="majorBidi" w:hAnsiTheme="majorBidi" w:cstheme="majorBidi"/>
          <w:sz w:val="22"/>
          <w:szCs w:val="22"/>
        </w:rPr>
      </w:pPr>
      <w:r>
        <w:rPr>
          <w:rFonts w:asciiTheme="majorBidi" w:hAnsiTheme="majorBidi" w:cstheme="majorBidi"/>
          <w:sz w:val="22"/>
          <w:szCs w:val="22"/>
        </w:rPr>
        <w:t>² Department of Mechanical Engineering, Faculty of Engineering, Tobruk University, Tobruk, Libya</w:t>
      </w:r>
    </w:p>
    <w:p w14:paraId="6ADD7A64" w14:textId="77777777" w:rsidR="004A2AD8" w:rsidRDefault="00000000">
      <w:pPr>
        <w:spacing w:line="360" w:lineRule="auto"/>
        <w:jc w:val="center"/>
        <w:rPr>
          <w:rFonts w:asciiTheme="majorBidi" w:hAnsiTheme="majorBidi" w:cstheme="majorBidi"/>
          <w:sz w:val="22"/>
          <w:szCs w:val="22"/>
        </w:rPr>
      </w:pPr>
      <w:r>
        <w:rPr>
          <w:rFonts w:asciiTheme="majorBidi" w:hAnsiTheme="majorBidi" w:cstheme="majorBidi"/>
          <w:sz w:val="22"/>
          <w:szCs w:val="22"/>
        </w:rPr>
        <w:t>*Corresponding author: montaser.saeed@bsu.edu.ly</w:t>
      </w:r>
    </w:p>
    <w:p w14:paraId="4DAD2EFC"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b/>
          <w:sz w:val="22"/>
          <w:szCs w:val="22"/>
        </w:rPr>
        <w:t>Contents</w:t>
      </w:r>
    </w:p>
    <w:p w14:paraId="07F05FAE"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Section S1. Verification of the reconstruction</w:t>
      </w:r>
    </w:p>
    <w:p w14:paraId="2B93396E"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Table S1. Reconstruction rules and gross plausibility bounds</w:t>
      </w:r>
    </w:p>
    <w:p w14:paraId="4A0EF2AC"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Table S2. Block-corruption metrics in the pre-specified benchmark</w:t>
      </w:r>
    </w:p>
    <w:p w14:paraId="3A8095CA"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Table S3. Secondary point-corruption scenarios</w:t>
      </w:r>
    </w:p>
    <w:p w14:paraId="71FF3009"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Table S4. Post hoc benchmark sensitivity analyses</w:t>
      </w:r>
    </w:p>
    <w:p w14:paraId="65E2B850"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Figures S1–S8</w:t>
      </w:r>
    </w:p>
    <w:p w14:paraId="45C5B665"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Supplementary Protocol. Pre-specified benchmark protocol</w:t>
      </w:r>
    </w:p>
    <w:p w14:paraId="4CF318A8" w14:textId="77777777" w:rsidR="00F73B9F" w:rsidRPr="00802C34" w:rsidRDefault="00F73B9F" w:rsidP="00802C34">
      <w:pPr>
        <w:pStyle w:val="ListParagraph"/>
        <w:numPr>
          <w:ilvl w:val="0"/>
          <w:numId w:val="1"/>
        </w:numPr>
        <w:spacing w:line="360" w:lineRule="auto"/>
        <w:jc w:val="lowKashida"/>
        <w:rPr>
          <w:rFonts w:asciiTheme="majorBidi" w:hAnsiTheme="majorBidi" w:cstheme="majorBidi"/>
          <w:sz w:val="22"/>
          <w:szCs w:val="22"/>
        </w:rPr>
      </w:pPr>
      <w:r>
        <w:rPr>
          <w:rFonts w:asciiTheme="majorBidi" w:hAnsiTheme="majorBidi" w:cstheme="majorBidi"/>
          <w:sz w:val="22"/>
          <w:szCs w:val="22"/>
        </w:rPr>
        <w:t>Section S2. Reproducibility package</w:t>
      </w:r>
    </w:p>
    <w:p w14:paraId="2505C850" w14:textId="77777777" w:rsidR="00802C34" w:rsidRDefault="00802C34" w:rsidP="00802C34">
      <w:pPr>
        <w:spacing w:line="360" w:lineRule="auto"/>
        <w:jc w:val="lowKashida"/>
        <w:rPr>
          <w:rFonts w:asciiTheme="majorBidi" w:hAnsiTheme="majorBidi" w:cstheme="majorBidi"/>
          <w:sz w:val="22"/>
          <w:szCs w:val="22"/>
        </w:rPr>
      </w:pPr>
    </w:p>
    <w:p w14:paraId="69E27263" w14:textId="77777777" w:rsidR="00802C34" w:rsidRDefault="00802C34" w:rsidP="00802C34">
      <w:pPr>
        <w:spacing w:line="360" w:lineRule="auto"/>
        <w:jc w:val="lowKashida"/>
        <w:rPr>
          <w:rFonts w:asciiTheme="majorBidi" w:hAnsiTheme="majorBidi" w:cstheme="majorBidi"/>
          <w:sz w:val="22"/>
          <w:szCs w:val="22"/>
        </w:rPr>
      </w:pPr>
    </w:p>
    <w:p w14:paraId="2F4B2B30" w14:textId="77777777" w:rsidR="00802C34" w:rsidRDefault="00802C34" w:rsidP="00802C34">
      <w:pPr>
        <w:spacing w:line="360" w:lineRule="auto"/>
        <w:jc w:val="lowKashida"/>
        <w:rPr>
          <w:rFonts w:asciiTheme="majorBidi" w:hAnsiTheme="majorBidi" w:cstheme="majorBidi"/>
          <w:sz w:val="22"/>
          <w:szCs w:val="22"/>
        </w:rPr>
      </w:pPr>
    </w:p>
    <w:p w14:paraId="71C4A780" w14:textId="77777777" w:rsidR="00802C34" w:rsidRDefault="00802C34" w:rsidP="00802C34">
      <w:pPr>
        <w:spacing w:line="360" w:lineRule="auto"/>
        <w:jc w:val="lowKashida"/>
        <w:rPr>
          <w:rFonts w:asciiTheme="majorBidi" w:hAnsiTheme="majorBidi" w:cstheme="majorBidi"/>
          <w:sz w:val="22"/>
          <w:szCs w:val="22"/>
        </w:rPr>
      </w:pPr>
    </w:p>
    <w:p w14:paraId="205ADC41" w14:textId="77777777" w:rsidR="00802C34" w:rsidRDefault="00802C34" w:rsidP="00802C34">
      <w:pPr>
        <w:spacing w:line="360" w:lineRule="auto"/>
        <w:jc w:val="lowKashida"/>
        <w:rPr>
          <w:rFonts w:asciiTheme="majorBidi" w:hAnsiTheme="majorBidi" w:cstheme="majorBidi"/>
          <w:sz w:val="22"/>
          <w:szCs w:val="22"/>
        </w:rPr>
      </w:pPr>
    </w:p>
    <w:p w14:paraId="58C05BBD" w14:textId="77777777" w:rsidR="00802C34" w:rsidRDefault="00802C34" w:rsidP="00802C34">
      <w:pPr>
        <w:spacing w:line="360" w:lineRule="auto"/>
        <w:jc w:val="lowKashida"/>
        <w:rPr>
          <w:rFonts w:asciiTheme="majorBidi" w:hAnsiTheme="majorBidi" w:cstheme="majorBidi"/>
          <w:sz w:val="22"/>
          <w:szCs w:val="22"/>
        </w:rPr>
      </w:pPr>
    </w:p>
    <w:p w14:paraId="668C4F5A" w14:textId="77777777" w:rsidR="00802C34" w:rsidRDefault="00802C34" w:rsidP="00802C34">
      <w:pPr>
        <w:spacing w:line="360" w:lineRule="auto"/>
        <w:jc w:val="lowKashida"/>
        <w:rPr>
          <w:rFonts w:asciiTheme="majorBidi" w:hAnsiTheme="majorBidi" w:cstheme="majorBidi"/>
          <w:sz w:val="22"/>
          <w:szCs w:val="22"/>
        </w:rPr>
      </w:pPr>
    </w:p>
    <w:p w14:paraId="2FCD2CE7" w14:textId="77777777" w:rsidR="00802C34" w:rsidRDefault="00802C34" w:rsidP="00802C34">
      <w:pPr>
        <w:spacing w:line="360" w:lineRule="auto"/>
        <w:jc w:val="lowKashida"/>
        <w:rPr>
          <w:rFonts w:asciiTheme="majorBidi" w:hAnsiTheme="majorBidi" w:cstheme="majorBidi"/>
          <w:sz w:val="22"/>
          <w:szCs w:val="22"/>
        </w:rPr>
      </w:pPr>
    </w:p>
    <w:p w14:paraId="6D406166" w14:textId="77777777" w:rsidR="00802C34" w:rsidRDefault="00802C34" w:rsidP="00802C34">
      <w:pPr>
        <w:spacing w:line="360" w:lineRule="auto"/>
        <w:jc w:val="lowKashida"/>
        <w:rPr>
          <w:rFonts w:asciiTheme="majorBidi" w:hAnsiTheme="majorBidi" w:cstheme="majorBidi"/>
          <w:sz w:val="22"/>
          <w:szCs w:val="22"/>
        </w:rPr>
      </w:pPr>
    </w:p>
    <w:p w14:paraId="59E56AD5" w14:textId="77777777" w:rsidR="00802C34" w:rsidRDefault="00802C34" w:rsidP="00802C34">
      <w:pPr>
        <w:spacing w:line="360" w:lineRule="auto"/>
        <w:jc w:val="lowKashida"/>
        <w:rPr>
          <w:rFonts w:asciiTheme="majorBidi" w:hAnsiTheme="majorBidi" w:cstheme="majorBidi"/>
          <w:sz w:val="22"/>
          <w:szCs w:val="22"/>
        </w:rPr>
      </w:pPr>
    </w:p>
    <w:p w14:paraId="5140530E" w14:textId="77777777" w:rsidR="00802C34" w:rsidRDefault="00802C34" w:rsidP="00802C34">
      <w:pPr>
        <w:spacing w:line="360" w:lineRule="auto"/>
        <w:jc w:val="lowKashida"/>
        <w:rPr>
          <w:rFonts w:asciiTheme="majorBidi" w:hAnsiTheme="majorBidi" w:cstheme="majorBidi"/>
          <w:sz w:val="22"/>
          <w:szCs w:val="22"/>
        </w:rPr>
      </w:pPr>
    </w:p>
    <w:p w14:paraId="2BBF2C95" w14:textId="77777777" w:rsidR="00802C34" w:rsidRDefault="00802C34" w:rsidP="00802C34">
      <w:pPr>
        <w:spacing w:line="360" w:lineRule="auto"/>
        <w:jc w:val="lowKashida"/>
        <w:rPr>
          <w:rFonts w:asciiTheme="majorBidi" w:hAnsiTheme="majorBidi" w:cstheme="majorBidi"/>
          <w:sz w:val="22"/>
          <w:szCs w:val="22"/>
        </w:rPr>
      </w:pPr>
    </w:p>
    <w:p w14:paraId="601E2A91" w14:textId="77777777" w:rsidR="00802C34" w:rsidRDefault="00802C34" w:rsidP="00802C34">
      <w:pPr>
        <w:spacing w:line="360" w:lineRule="auto"/>
        <w:jc w:val="lowKashida"/>
        <w:rPr>
          <w:rFonts w:asciiTheme="majorBidi" w:hAnsiTheme="majorBidi" w:cstheme="majorBidi"/>
          <w:sz w:val="22"/>
          <w:szCs w:val="22"/>
        </w:rPr>
      </w:pPr>
    </w:p>
    <w:p w14:paraId="0053DFBC" w14:textId="77777777" w:rsidR="00802C34" w:rsidRDefault="00802C34" w:rsidP="00802C34">
      <w:pPr>
        <w:spacing w:line="360" w:lineRule="auto"/>
        <w:jc w:val="lowKashida"/>
        <w:rPr>
          <w:rFonts w:asciiTheme="majorBidi" w:hAnsiTheme="majorBidi" w:cstheme="majorBidi"/>
          <w:sz w:val="22"/>
          <w:szCs w:val="22"/>
        </w:rPr>
      </w:pPr>
    </w:p>
    <w:p w14:paraId="2CBAE7B8" w14:textId="77777777" w:rsidR="00802C34" w:rsidRDefault="00802C34" w:rsidP="00802C34">
      <w:pPr>
        <w:spacing w:line="360" w:lineRule="auto"/>
        <w:jc w:val="lowKashida"/>
        <w:rPr>
          <w:rFonts w:asciiTheme="majorBidi" w:hAnsiTheme="majorBidi" w:cstheme="majorBidi"/>
          <w:sz w:val="22"/>
          <w:szCs w:val="22"/>
        </w:rPr>
      </w:pPr>
    </w:p>
    <w:p w14:paraId="19584F12" w14:textId="77777777" w:rsidR="00802C34" w:rsidRDefault="00802C34" w:rsidP="00802C34">
      <w:pPr>
        <w:spacing w:line="360" w:lineRule="auto"/>
        <w:jc w:val="lowKashida"/>
        <w:rPr>
          <w:rFonts w:asciiTheme="majorBidi" w:hAnsiTheme="majorBidi" w:cstheme="majorBidi"/>
          <w:sz w:val="22"/>
          <w:szCs w:val="22"/>
        </w:rPr>
      </w:pPr>
    </w:p>
    <w:p w14:paraId="6BDE2381" w14:textId="77777777" w:rsidR="00802C34" w:rsidRDefault="00802C34" w:rsidP="00802C34">
      <w:pPr>
        <w:spacing w:line="360" w:lineRule="auto"/>
        <w:jc w:val="lowKashida"/>
        <w:rPr>
          <w:rFonts w:asciiTheme="majorBidi" w:hAnsiTheme="majorBidi" w:cstheme="majorBidi"/>
          <w:sz w:val="22"/>
          <w:szCs w:val="22"/>
        </w:rPr>
      </w:pPr>
    </w:p>
    <w:p w14:paraId="4404EE05"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b/>
          <w:bCs/>
          <w:sz w:val="22"/>
          <w:szCs w:val="22"/>
        </w:rPr>
        <w:t>Section S1. Verification of the reconstruction</w:t>
      </w:r>
    </w:p>
    <w:p w14:paraId="0C2C0DDC"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This section summarises the checks on the direction and completeness of the T</w:t>
      </w:r>
      <w:r>
        <w:rPr>
          <w:rFonts w:asciiTheme="majorBidi" w:hAnsiTheme="majorBidi" w:cstheme="majorBidi"/>
          <w:sz w:val="22"/>
          <w:szCs w:val="22"/>
          <w:vertAlign w:val="subscript"/>
        </w:rPr>
        <w:t>1</w:t>
      </w:r>
      <w:r>
        <w:rPr>
          <w:rFonts w:asciiTheme="majorBidi" w:hAnsiTheme="majorBidi" w:cstheme="majorBidi"/>
          <w:sz w:val="22"/>
          <w:szCs w:val="22"/>
        </w:rPr>
        <w:t>/start-count correction (rule R01) referred to in Section 2.4 of the main text. All checks use the source records and the cumulative counters only; none uses the regression model, so the physical plausibility of the fitted sensitivities is not used as evidence that the reconstruction is correct. Counts refer to the study period (3,067 hourly records) unless stated otherwise.</w:t>
      </w:r>
    </w:p>
    <w:p w14:paraId="111C74CF"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S1.1 Orientation and completeness of R01</w:t>
      </w:r>
    </w:p>
    <w:p w14:paraId="0BB9F268"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R01 was applied to 2,520 records in total: 2,508 fall within the study period and 12 fall outside the study period (rule R03). In the study period, 2,501 records met both conditions of the classification rule (start-count position below 100 and T</w:t>
      </w:r>
      <w:r>
        <w:rPr>
          <w:rFonts w:asciiTheme="majorBidi" w:hAnsiTheme="majorBidi" w:cstheme="majorBidi"/>
          <w:sz w:val="22"/>
          <w:szCs w:val="22"/>
          <w:vertAlign w:val="subscript"/>
        </w:rPr>
        <w:t>1</w:t>
      </w:r>
      <w:r>
        <w:rPr>
          <w:rFonts w:asciiTheme="majorBidi" w:hAnsiTheme="majorBidi" w:cstheme="majorBidi"/>
          <w:sz w:val="22"/>
          <w:szCs w:val="22"/>
        </w:rPr>
        <w:t xml:space="preserve"> position above 100); the remaining 7 were assigned from other rows in the same worksheet because one member was missing or malformed (Section 3.1). Before correction, the T</w:t>
      </w:r>
      <w:r>
        <w:rPr>
          <w:rFonts w:asciiTheme="majorBidi" w:hAnsiTheme="majorBidi" w:cstheme="majorBidi"/>
          <w:sz w:val="22"/>
          <w:szCs w:val="22"/>
          <w:vertAlign w:val="subscript"/>
        </w:rPr>
        <w:t>1</w:t>
      </w:r>
      <w:r>
        <w:rPr>
          <w:rFonts w:asciiTheme="majorBidi" w:hAnsiTheme="majorBidi" w:cstheme="majorBidi"/>
          <w:sz w:val="22"/>
          <w:szCs w:val="22"/>
        </w:rPr>
        <w:t xml:space="preserve"> row held values above 100 in 2,508 study-period records and the start-count row held values below 100 in 2,501. After correction, no reconstructed T</w:t>
      </w:r>
      <w:r>
        <w:rPr>
          <w:rFonts w:asciiTheme="majorBidi" w:hAnsiTheme="majorBidi" w:cstheme="majorBidi"/>
          <w:sz w:val="22"/>
          <w:szCs w:val="22"/>
          <w:vertAlign w:val="subscript"/>
        </w:rPr>
        <w:t>1</w:t>
      </w:r>
      <w:r>
        <w:rPr>
          <w:rFonts w:asciiTheme="majorBidi" w:hAnsiTheme="majorBidi" w:cstheme="majorBidi"/>
          <w:sz w:val="22"/>
          <w:szCs w:val="22"/>
        </w:rPr>
        <w:t xml:space="preserve"> value exceeds 100 and no start-count value is below 100: reconstructed T</w:t>
      </w:r>
      <w:r>
        <w:rPr>
          <w:rFonts w:asciiTheme="majorBidi" w:hAnsiTheme="majorBidi" w:cstheme="majorBidi"/>
          <w:sz w:val="22"/>
          <w:szCs w:val="22"/>
          <w:vertAlign w:val="subscript"/>
        </w:rPr>
        <w:t>1</w:t>
      </w:r>
      <w:r>
        <w:rPr>
          <w:rFonts w:asciiTheme="majorBidi" w:hAnsiTheme="majorBidi" w:cstheme="majorBidi"/>
          <w:sz w:val="22"/>
          <w:szCs w:val="22"/>
        </w:rPr>
        <w:t xml:space="preserve"> spans 20.3–36.2 °C (n = 3,000) and the start count spans 925–1,250 (n = 2,915). Because the two numerical domains do not overlap, the orientation of every transposed record is determined without ambiguity.</w:t>
      </w:r>
    </w:p>
    <w:p w14:paraId="77954503"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S1.2 Monotonicity of the reconstructed start count</w:t>
      </w:r>
    </w:p>
    <w:p w14:paraId="34857E00"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A start counter can only increase. As recorded, the start-count row decreased at 1,312 of 3,006 consecutive readings, because transposed rows inserted temperature values into the series. After R01 and before R06, 20 decreases remained (17 by more than one unit). Rule R06 excluded 96 start-count readings that lay outside the longest monotonic, clock-rate-admissible sequence; after R06, 4 decreases remained, none by more than one unit, and the series rose from 925 to 1,250. Monotonicity after R06 is partly a consequence of the rule itself; the informative quantities are the small number of readings R06 had to exclude and the near-monotonic series obtained after R01 alone.</w:t>
      </w:r>
    </w:p>
    <w:p w14:paraId="003F8DDC"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S1.3 Consistency of the cumulative operating counters</w:t>
      </w:r>
    </w:p>
    <w:p w14:paraId="2131EBD1"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Turbine hours should equal the sum of gas- and liquid-fuel-fired hours plus a constant. As recorded, H</w:t>
      </w:r>
      <w:r>
        <w:rPr>
          <w:rFonts w:asciiTheme="majorBidi" w:hAnsiTheme="majorBidi" w:cstheme="majorBidi"/>
          <w:sz w:val="22"/>
          <w:szCs w:val="22"/>
          <w:vertAlign w:val="subscript"/>
        </w:rPr>
        <w:t>T</w:t>
      </w:r>
      <w:r>
        <w:rPr>
          <w:rFonts w:asciiTheme="majorBidi" w:hAnsiTheme="majorBidi" w:cstheme="majorBidi"/>
          <w:sz w:val="22"/>
          <w:szCs w:val="22"/>
        </w:rPr>
        <w:t xml:space="preserve"> − H</w:t>
      </w:r>
      <w:r>
        <w:rPr>
          <w:rFonts w:asciiTheme="majorBidi" w:hAnsiTheme="majorBidi" w:cstheme="majorBidi"/>
          <w:sz w:val="22"/>
          <w:szCs w:val="22"/>
          <w:vertAlign w:val="subscript"/>
        </w:rPr>
        <w:t>G</w:t>
      </w:r>
      <w:r>
        <w:rPr>
          <w:rFonts w:asciiTheme="majorBidi" w:hAnsiTheme="majorBidi" w:cstheme="majorBidi"/>
          <w:sz w:val="22"/>
          <w:szCs w:val="22"/>
        </w:rPr>
        <w:t xml:space="preserve"> − H</w:t>
      </w:r>
      <w:r>
        <w:rPr>
          <w:rFonts w:asciiTheme="majorBidi" w:hAnsiTheme="majorBidi" w:cstheme="majorBidi"/>
          <w:sz w:val="22"/>
          <w:szCs w:val="22"/>
          <w:vertAlign w:val="subscript"/>
        </w:rPr>
        <w:t>L</w:t>
      </w:r>
      <w:r>
        <w:rPr>
          <w:rFonts w:asciiTheme="majorBidi" w:hAnsiTheme="majorBidi" w:cstheme="majorBidi"/>
          <w:sz w:val="22"/>
          <w:szCs w:val="22"/>
        </w:rPr>
        <w:t xml:space="preserve"> had a standard deviation of 2,751 h, with 86 readings more than 5 h from the median, because of mistyped counter values. R06 excluded 58 turbine-hour, 43 gas-fuel-hour, and 26 liquid-fuel-hour readings </w:t>
      </w:r>
      <w:r>
        <w:rPr>
          <w:rFonts w:asciiTheme="majorBidi" w:hAnsiTheme="majorBidi" w:cstheme="majorBidi"/>
          <w:sz w:val="22"/>
          <w:szCs w:val="22"/>
        </w:rPr>
        <w:lastRenderedPageBreak/>
        <w:t>in the study period. Afterwards, the identity had a median of 45 h and a standard deviation of 1.6 h (range 43–58 h; n = 2,897; Fig. S4). These counters fix the chronology of the worksheets, including the date correction under R02, on which the assignment of records to hours depends.</w:t>
      </w:r>
    </w:p>
    <w:p w14:paraId="133081EE"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S1.4 Consistency with the separately recorded ceiling temperature</w:t>
      </w:r>
    </w:p>
    <w:p w14:paraId="46F53086"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Ceiling (enclosure) temperature responds to the same ambient conditions as T</w:t>
      </w:r>
      <w:r>
        <w:rPr>
          <w:rFonts w:asciiTheme="majorBidi" w:hAnsiTheme="majorBidi" w:cstheme="majorBidi"/>
          <w:sz w:val="22"/>
          <w:szCs w:val="22"/>
          <w:vertAlign w:val="subscript"/>
        </w:rPr>
        <w:t>1</w:t>
      </w:r>
      <w:r>
        <w:rPr>
          <w:rFonts w:asciiTheme="majorBidi" w:hAnsiTheme="majorBidi" w:cstheme="majorBidi"/>
          <w:sz w:val="22"/>
          <w:szCs w:val="22"/>
        </w:rPr>
        <w:t xml:space="preserve"> but is recorded in a different row of the worksheet. Its Pearson correlation with the published T</w:t>
      </w:r>
      <w:r>
        <w:rPr>
          <w:rFonts w:asciiTheme="majorBidi" w:hAnsiTheme="majorBidi" w:cstheme="majorBidi"/>
          <w:sz w:val="22"/>
          <w:szCs w:val="22"/>
          <w:vertAlign w:val="subscript"/>
        </w:rPr>
        <w:t>1</w:t>
      </w:r>
      <w:r>
        <w:rPr>
          <w:rFonts w:asciiTheme="majorBidi" w:hAnsiTheme="majorBidi" w:cstheme="majorBidi"/>
          <w:sz w:val="22"/>
          <w:szCs w:val="22"/>
        </w:rPr>
        <w:t xml:space="preserve"> column was 0.36 (n = 3,007) and with the reconstructed T</w:t>
      </w:r>
      <w:r>
        <w:rPr>
          <w:rFonts w:asciiTheme="majorBidi" w:hAnsiTheme="majorBidi" w:cstheme="majorBidi"/>
          <w:sz w:val="22"/>
          <w:szCs w:val="22"/>
          <w:vertAlign w:val="subscript"/>
        </w:rPr>
        <w:t>1</w:t>
      </w:r>
      <w:r>
        <w:rPr>
          <w:rFonts w:asciiTheme="majorBidi" w:hAnsiTheme="majorBidi" w:cstheme="majorBidi"/>
          <w:sz w:val="22"/>
          <w:szCs w:val="22"/>
        </w:rPr>
        <w:t xml:space="preserve"> 0.78 (n = 2,997). Ceiling temperature exceeded reconstructed T</w:t>
      </w:r>
      <w:r>
        <w:rPr>
          <w:rFonts w:asciiTheme="majorBidi" w:hAnsiTheme="majorBidi" w:cstheme="majorBidi"/>
          <w:sz w:val="22"/>
          <w:szCs w:val="22"/>
          <w:vertAlign w:val="subscript"/>
        </w:rPr>
        <w:t>1</w:t>
      </w:r>
      <w:r>
        <w:rPr>
          <w:rFonts w:asciiTheme="majorBidi" w:hAnsiTheme="majorBidi" w:cstheme="majorBidi"/>
          <w:sz w:val="22"/>
          <w:szCs w:val="22"/>
        </w:rPr>
        <w:t xml:space="preserve"> in 2,995 of 2,997 records, by a mean of 17.3 °C (s.d. 2.4 °C); in the complete-case stable sample used in Section 3.5 (n = 1,460) the correlation was 0.82 and the mean offset 17.6 °C (Fig. S3).</w:t>
      </w:r>
    </w:p>
    <w:p w14:paraId="47534CD6"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S1.5 Limitations of these checks</w:t>
      </w:r>
    </w:p>
    <w:p w14:paraId="61B78482"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The checks establish the orientation and completeness of the transposition correction, not the accuracy of individual values. They cannot detect values that are wrong but numerically plausible; Fig. S5 shows stable-hour observations that are inconsistent with the load–ambient relation yet lie inside the plausibility bounds, and these were retained. Ceiling temperature is not a measurement of T</w:t>
      </w:r>
      <w:r>
        <w:rPr>
          <w:rFonts w:asciiTheme="majorBidi" w:hAnsiTheme="majorBidi" w:cstheme="majorBidi"/>
          <w:sz w:val="22"/>
          <w:szCs w:val="22"/>
          <w:vertAlign w:val="subscript"/>
        </w:rPr>
        <w:t>1</w:t>
      </w:r>
      <w:r>
        <w:rPr>
          <w:rFonts w:asciiTheme="majorBidi" w:hAnsiTheme="majorBidi" w:cstheme="majorBidi"/>
          <w:sz w:val="22"/>
          <w:szCs w:val="22"/>
        </w:rPr>
        <w:t>; agreement with it indicates consistency, not validation. The same channel is used in the main text as a substitute in the controlled experiments, which address a different question (the effect of substitution by a correlated, offset channel). Values excluded under R05–R07 were not imputed, so the reconstructed dataset contains gaps rather than estimated values.</w:t>
      </w:r>
    </w:p>
    <w:p w14:paraId="5863561A"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br w:type="page"/>
      </w:r>
    </w:p>
    <w:p w14:paraId="75EB0C58"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lastRenderedPageBreak/>
        <w:t>Table S1. Reconstruction rules and gross plausibility bounds</w:t>
      </w:r>
    </w:p>
    <w:p w14:paraId="55457132"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Table S1A. </w:t>
      </w:r>
      <w:r>
        <w:rPr>
          <w:rFonts w:asciiTheme="majorBidi" w:hAnsiTheme="majorBidi" w:cstheme="majorBidi"/>
          <w:sz w:val="22"/>
          <w:szCs w:val="22"/>
        </w:rPr>
        <w:t>Source-audit rules. Probable values recorded under R05–R07 are informational and were not inserted into the reconstructed dataset.</w:t>
      </w:r>
    </w:p>
    <w:tbl>
      <w:tblPr>
        <w:tblStyle w:val="TableGrid"/>
        <w:tblW w:w="9412" w:type="dxa"/>
        <w:tblLayout w:type="fixed"/>
        <w:tblLook w:val="04A0" w:firstRow="1" w:lastRow="0" w:firstColumn="1" w:lastColumn="0" w:noHBand="0" w:noVBand="1"/>
      </w:tblPr>
      <w:tblGrid>
        <w:gridCol w:w="715"/>
        <w:gridCol w:w="1440"/>
        <w:gridCol w:w="4422"/>
        <w:gridCol w:w="1428"/>
        <w:gridCol w:w="1407"/>
      </w:tblGrid>
      <w:tr w:rsidR="00F73B9F" w:rsidRPr="00802C34" w14:paraId="05DBEDBD" w14:textId="77777777" w:rsidTr="00E2060A">
        <w:tc>
          <w:tcPr>
            <w:tcW w:w="715" w:type="dxa"/>
          </w:tcPr>
          <w:p w14:paraId="64147449"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b/>
                <w:sz w:val="22"/>
                <w:szCs w:val="22"/>
              </w:rPr>
              <w:t>Rule</w:t>
            </w:r>
          </w:p>
        </w:tc>
        <w:tc>
          <w:tcPr>
            <w:tcW w:w="1440" w:type="dxa"/>
          </w:tcPr>
          <w:p w14:paraId="7FBE0EA6"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b/>
                <w:sz w:val="22"/>
                <w:szCs w:val="22"/>
              </w:rPr>
              <w:t>Name</w:t>
            </w:r>
          </w:p>
        </w:tc>
        <w:tc>
          <w:tcPr>
            <w:tcW w:w="4422" w:type="dxa"/>
          </w:tcPr>
          <w:p w14:paraId="3944F95B"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b/>
                <w:sz w:val="22"/>
                <w:szCs w:val="22"/>
              </w:rPr>
              <w:t>Definition</w:t>
            </w:r>
          </w:p>
        </w:tc>
        <w:tc>
          <w:tcPr>
            <w:tcW w:w="1428" w:type="dxa"/>
          </w:tcPr>
          <w:p w14:paraId="261EE61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Class</w:t>
            </w:r>
          </w:p>
        </w:tc>
        <w:tc>
          <w:tcPr>
            <w:tcW w:w="1407" w:type="dxa"/>
          </w:tcPr>
          <w:p w14:paraId="0A6CAAA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Treatment</w:t>
            </w:r>
          </w:p>
        </w:tc>
      </w:tr>
      <w:tr w:rsidR="00F73B9F" w:rsidRPr="00802C34" w14:paraId="6D3B3902" w14:textId="77777777" w:rsidTr="00E2060A">
        <w:tc>
          <w:tcPr>
            <w:tcW w:w="715" w:type="dxa"/>
          </w:tcPr>
          <w:p w14:paraId="613C250E"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R01</w:t>
            </w:r>
          </w:p>
        </w:tc>
        <w:tc>
          <w:tcPr>
            <w:tcW w:w="1440" w:type="dxa"/>
          </w:tcPr>
          <w:p w14:paraId="5B66692B"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Channel transposition</w:t>
            </w:r>
          </w:p>
        </w:tc>
        <w:tc>
          <w:tcPr>
            <w:tcW w:w="4422" w:type="dxa"/>
          </w:tcPr>
          <w:p w14:paraId="02DD83B9"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Rows "Start count" and "Compressor inlet air temp. (T₁)" exchanged in the source sheet. Row is transposed when start-count slot &lt; 100 and T₁ slot &gt; 100; ambiguous rows (one slot missing or mistyped) take the layout of the other rows of the same sheet.</w:t>
            </w:r>
          </w:p>
        </w:tc>
        <w:tc>
          <w:tcPr>
            <w:tcW w:w="1428" w:type="dxa"/>
          </w:tcPr>
          <w:p w14:paraId="0712EF4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Deterministic</w:t>
            </w:r>
          </w:p>
        </w:tc>
        <w:tc>
          <w:tcPr>
            <w:tcW w:w="1407" w:type="dxa"/>
          </w:tcPr>
          <w:p w14:paraId="7C73456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Applied</w:t>
            </w:r>
          </w:p>
        </w:tc>
      </w:tr>
      <w:tr w:rsidR="00F73B9F" w:rsidRPr="00802C34" w14:paraId="6905701D" w14:textId="77777777" w:rsidTr="00E2060A">
        <w:tc>
          <w:tcPr>
            <w:tcW w:w="715" w:type="dxa"/>
          </w:tcPr>
          <w:p w14:paraId="1406EB4E"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R02</w:t>
            </w:r>
          </w:p>
        </w:tc>
        <w:tc>
          <w:tcPr>
            <w:tcW w:w="1440" w:type="dxa"/>
          </w:tcPr>
          <w:p w14:paraId="687DC043"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Mis-dated worksheet</w:t>
            </w:r>
          </w:p>
        </w:tc>
        <w:tc>
          <w:tcPr>
            <w:tcW w:w="4422" w:type="dxa"/>
          </w:tcPr>
          <w:p w14:paraId="3B45BBA2"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Sheet name encodes a date inconsistent with its Date cell and with the cumulative counters of neighbouring sheets; date corrected to the one confirmed by the counters.</w:t>
            </w:r>
          </w:p>
        </w:tc>
        <w:tc>
          <w:tcPr>
            <w:tcW w:w="1428" w:type="dxa"/>
          </w:tcPr>
          <w:p w14:paraId="7D3C01E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Deterministic</w:t>
            </w:r>
          </w:p>
        </w:tc>
        <w:tc>
          <w:tcPr>
            <w:tcW w:w="1407" w:type="dxa"/>
          </w:tcPr>
          <w:p w14:paraId="0221E2C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Applied</w:t>
            </w:r>
          </w:p>
        </w:tc>
      </w:tr>
      <w:tr w:rsidR="00F73B9F" w:rsidRPr="00802C34" w14:paraId="27DD9688" w14:textId="77777777" w:rsidTr="00E2060A">
        <w:tc>
          <w:tcPr>
            <w:tcW w:w="715" w:type="dxa"/>
          </w:tcPr>
          <w:p w14:paraId="10AAEC7F"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R03</w:t>
            </w:r>
          </w:p>
        </w:tc>
        <w:tc>
          <w:tcPr>
            <w:tcW w:w="1440" w:type="dxa"/>
          </w:tcPr>
          <w:p w14:paraId="083F7418"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Out-of-period worksheet</w:t>
            </w:r>
          </w:p>
        </w:tc>
        <w:tc>
          <w:tcPr>
            <w:tcW w:w="4422" w:type="dxa"/>
          </w:tcPr>
          <w:p w14:paraId="055579CA"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Sheet dated after the study period filed among study-period sheets.</w:t>
            </w:r>
          </w:p>
        </w:tc>
        <w:tc>
          <w:tcPr>
            <w:tcW w:w="1428" w:type="dxa"/>
          </w:tcPr>
          <w:p w14:paraId="3B2DEF4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Deterministic</w:t>
            </w:r>
          </w:p>
        </w:tc>
        <w:tc>
          <w:tcPr>
            <w:tcW w:w="1407" w:type="dxa"/>
          </w:tcPr>
          <w:p w14:paraId="6C41802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Kept, flagged outside study period</w:t>
            </w:r>
          </w:p>
        </w:tc>
      </w:tr>
      <w:tr w:rsidR="00F73B9F" w:rsidRPr="00802C34" w14:paraId="1198AA5A" w14:textId="77777777" w:rsidTr="00E2060A">
        <w:tc>
          <w:tcPr>
            <w:tcW w:w="715" w:type="dxa"/>
          </w:tcPr>
          <w:p w14:paraId="7AE4B4BF"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R04</w:t>
            </w:r>
          </w:p>
        </w:tc>
        <w:tc>
          <w:tcPr>
            <w:tcW w:w="1440" w:type="dxa"/>
          </w:tcPr>
          <w:p w14:paraId="32F6FF52"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Empty worksheet</w:t>
            </w:r>
          </w:p>
        </w:tc>
        <w:tc>
          <w:tcPr>
            <w:tcW w:w="4422" w:type="dxa"/>
          </w:tcPr>
          <w:p w14:paraId="48ADB10C"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Sheet template with no time header or values.</w:t>
            </w:r>
          </w:p>
        </w:tc>
        <w:tc>
          <w:tcPr>
            <w:tcW w:w="1428" w:type="dxa"/>
          </w:tcPr>
          <w:p w14:paraId="4A6E056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Deterministic</w:t>
            </w:r>
          </w:p>
        </w:tc>
        <w:tc>
          <w:tcPr>
            <w:tcW w:w="1407" w:type="dxa"/>
          </w:tcPr>
          <w:p w14:paraId="79D23DC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Documented only</w:t>
            </w:r>
          </w:p>
        </w:tc>
      </w:tr>
      <w:tr w:rsidR="00F73B9F" w:rsidRPr="00802C34" w14:paraId="5C4CE05F" w14:textId="77777777" w:rsidTr="00E2060A">
        <w:tc>
          <w:tcPr>
            <w:tcW w:w="715" w:type="dxa"/>
          </w:tcPr>
          <w:p w14:paraId="28CBF4DF"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R05</w:t>
            </w:r>
          </w:p>
        </w:tc>
        <w:tc>
          <w:tcPr>
            <w:tcW w:w="1440" w:type="dxa"/>
          </w:tcPr>
          <w:p w14:paraId="337DCF00"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Non-numeric cell</w:t>
            </w:r>
          </w:p>
        </w:tc>
        <w:tc>
          <w:tcPr>
            <w:tcW w:w="4422" w:type="dxa"/>
          </w:tcPr>
          <w:p w14:paraId="7C7B117B"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Operational notes moved to the event-text field; malformed numbers (e.g. "0..94") excluded, with a repaired Probable</w:t>
            </w:r>
            <w:r>
              <w:rPr>
                <w:rFonts w:asciiTheme="majorBidi" w:hAnsiTheme="majorBidi" w:cstheme="majorBidi" w:hint="cs"/>
                <w:sz w:val="22"/>
                <w:szCs w:val="22"/>
                <w:rtl/>
              </w:rPr>
              <w:t xml:space="preserve"> </w:t>
            </w:r>
            <w:r>
              <w:rPr>
                <w:rFonts w:asciiTheme="majorBidi" w:hAnsiTheme="majorBidi" w:cstheme="majorBidi"/>
                <w:sz w:val="22"/>
                <w:szCs w:val="22"/>
              </w:rPr>
              <w:t>Value.</w:t>
            </w:r>
          </w:p>
        </w:tc>
        <w:tc>
          <w:tcPr>
            <w:tcW w:w="1428" w:type="dxa"/>
          </w:tcPr>
          <w:p w14:paraId="185A9DC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Excluded</w:t>
            </w:r>
          </w:p>
        </w:tc>
        <w:tc>
          <w:tcPr>
            <w:tcW w:w="1407" w:type="dxa"/>
          </w:tcPr>
          <w:p w14:paraId="676301E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Probable values not applied</w:t>
            </w:r>
          </w:p>
        </w:tc>
      </w:tr>
      <w:tr w:rsidR="00F73B9F" w:rsidRPr="00802C34" w14:paraId="428BC722" w14:textId="77777777" w:rsidTr="00E2060A">
        <w:tc>
          <w:tcPr>
            <w:tcW w:w="715" w:type="dxa"/>
          </w:tcPr>
          <w:p w14:paraId="0C48741B"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R06</w:t>
            </w:r>
          </w:p>
        </w:tc>
        <w:tc>
          <w:tcPr>
            <w:tcW w:w="1440" w:type="dxa"/>
          </w:tcPr>
          <w:p w14:paraId="529AF03F"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Counter inconsistency</w:t>
            </w:r>
          </w:p>
        </w:tc>
        <w:tc>
          <w:tcPr>
            <w:tcW w:w="4422" w:type="dxa"/>
          </w:tcPr>
          <w:p w14:paraId="1CFF82D2"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Cumulative counter reading outside the longest sequence of readings that never decreases by more than 1 unit and advances no faster than the clock (hours counters: elapsed hours + 1; start count: max(3, elapsed hours/2)); sequence found by dynamic programming.</w:t>
            </w:r>
          </w:p>
        </w:tc>
        <w:tc>
          <w:tcPr>
            <w:tcW w:w="1428" w:type="dxa"/>
          </w:tcPr>
          <w:p w14:paraId="114A754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Excluded</w:t>
            </w:r>
          </w:p>
        </w:tc>
        <w:tc>
          <w:tcPr>
            <w:tcW w:w="1407" w:type="dxa"/>
          </w:tcPr>
          <w:p w14:paraId="7081E71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Interpolated Probable_Value not applied</w:t>
            </w:r>
          </w:p>
        </w:tc>
      </w:tr>
      <w:tr w:rsidR="00F73B9F" w:rsidRPr="00802C34" w14:paraId="63F3F4D7" w14:textId="77777777" w:rsidTr="00E2060A">
        <w:tc>
          <w:tcPr>
            <w:tcW w:w="715" w:type="dxa"/>
          </w:tcPr>
          <w:p w14:paraId="07633268"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R07</w:t>
            </w:r>
          </w:p>
        </w:tc>
        <w:tc>
          <w:tcPr>
            <w:tcW w:w="1440" w:type="dxa"/>
          </w:tcPr>
          <w:p w14:paraId="03916519"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Physical bounds</w:t>
            </w:r>
          </w:p>
        </w:tc>
        <w:tc>
          <w:tcPr>
            <w:tcW w:w="4422" w:type="dxa"/>
          </w:tcPr>
          <w:p w14:paraId="7BE03516"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Value outside the gross bounds listed in Table S1B. If exactly one decimal shift (/10, /100, /1000, x10) lands inside the 1-99 % range of the channel, it is reported as Probable</w:t>
            </w:r>
            <w:r>
              <w:rPr>
                <w:rFonts w:asciiTheme="majorBidi" w:hAnsiTheme="majorBidi" w:cstheme="majorBidi" w:hint="cs"/>
                <w:sz w:val="22"/>
                <w:szCs w:val="22"/>
                <w:rtl/>
              </w:rPr>
              <w:t xml:space="preserve"> </w:t>
            </w:r>
            <w:r>
              <w:rPr>
                <w:rFonts w:asciiTheme="majorBidi" w:hAnsiTheme="majorBidi" w:cstheme="majorBidi"/>
                <w:sz w:val="22"/>
                <w:szCs w:val="22"/>
              </w:rPr>
              <w:t>Value.</w:t>
            </w:r>
          </w:p>
        </w:tc>
        <w:tc>
          <w:tcPr>
            <w:tcW w:w="1428" w:type="dxa"/>
          </w:tcPr>
          <w:p w14:paraId="6361985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Excluded</w:t>
            </w:r>
          </w:p>
        </w:tc>
        <w:tc>
          <w:tcPr>
            <w:tcW w:w="1407" w:type="dxa"/>
          </w:tcPr>
          <w:p w14:paraId="321ED59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Probable values not applied</w:t>
            </w:r>
          </w:p>
        </w:tc>
      </w:tr>
      <w:tr w:rsidR="00F73B9F" w:rsidRPr="00802C34" w14:paraId="0FFA80D3" w14:textId="77777777" w:rsidTr="00E2060A">
        <w:tc>
          <w:tcPr>
            <w:tcW w:w="715" w:type="dxa"/>
          </w:tcPr>
          <w:p w14:paraId="2104BBCB"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lastRenderedPageBreak/>
              <w:t>R08</w:t>
            </w:r>
          </w:p>
        </w:tc>
        <w:tc>
          <w:tcPr>
            <w:tcW w:w="1440" w:type="dxa"/>
          </w:tcPr>
          <w:p w14:paraId="4DA50C7F"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T₅ cross-channel</w:t>
            </w:r>
          </w:p>
        </w:tc>
        <w:tc>
          <w:tcPr>
            <w:tcW w:w="4422" w:type="dxa"/>
          </w:tcPr>
          <w:p w14:paraId="4FDD555A" w14:textId="77777777" w:rsidR="00F73B9F" w:rsidRPr="00802C34" w:rsidRDefault="00F73B9F" w:rsidP="00E2060A">
            <w:pPr>
              <w:spacing w:after="160" w:line="360" w:lineRule="auto"/>
              <w:jc w:val="center"/>
              <w:rPr>
                <w:rFonts w:asciiTheme="majorBidi" w:hAnsiTheme="majorBidi" w:cstheme="majorBidi"/>
                <w:sz w:val="22"/>
                <w:szCs w:val="22"/>
              </w:rPr>
            </w:pPr>
            <w:r>
              <w:rPr>
                <w:rFonts w:asciiTheme="majorBidi" w:hAnsiTheme="majorBidi" w:cstheme="majorBidi"/>
                <w:sz w:val="22"/>
                <w:szCs w:val="22"/>
              </w:rPr>
              <w:t>While running (P &gt; 200 kW), a T₅ thermocouple more than 100 °C from the median of the six.</w:t>
            </w:r>
          </w:p>
        </w:tc>
        <w:tc>
          <w:tcPr>
            <w:tcW w:w="1428" w:type="dxa"/>
          </w:tcPr>
          <w:p w14:paraId="7920492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Flag</w:t>
            </w:r>
          </w:p>
        </w:tc>
        <w:tc>
          <w:tcPr>
            <w:tcW w:w="1407" w:type="dxa"/>
          </w:tcPr>
          <w:p w14:paraId="66A2D60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Value kept</w:t>
            </w:r>
          </w:p>
        </w:tc>
      </w:tr>
    </w:tbl>
    <w:p w14:paraId="182CD8CD" w14:textId="77777777" w:rsidR="00F73B9F" w:rsidRPr="00802C34" w:rsidRDefault="00F73B9F" w:rsidP="00802C34">
      <w:pPr>
        <w:spacing w:line="360" w:lineRule="auto"/>
        <w:jc w:val="lowKashida"/>
        <w:rPr>
          <w:rFonts w:asciiTheme="majorBidi" w:hAnsiTheme="majorBidi" w:cstheme="majorBidi"/>
          <w:sz w:val="22"/>
          <w:szCs w:val="22"/>
        </w:rPr>
      </w:pPr>
    </w:p>
    <w:p w14:paraId="0B85E227"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Table S1B. </w:t>
      </w:r>
      <w:r>
        <w:rPr>
          <w:rFonts w:asciiTheme="majorBidi" w:hAnsiTheme="majorBidi" w:cstheme="majorBidi"/>
          <w:sz w:val="22"/>
          <w:szCs w:val="22"/>
        </w:rPr>
        <w:t>Gross physical-plausibility bounds used by R07 (inclusive). The bounds are deliberately wide: they admit shutdown values and reject only values that cannot be physical for this 5.68-MW, 11-kV, 50-Hz unit. Variable names are as written in the source worksheets.</w:t>
      </w:r>
    </w:p>
    <w:tbl>
      <w:tblPr>
        <w:tblStyle w:val="TableGrid"/>
        <w:tblW w:w="0" w:type="auto"/>
        <w:tblLayout w:type="fixed"/>
        <w:tblLook w:val="04A0" w:firstRow="1" w:lastRow="0" w:firstColumn="1" w:lastColumn="0" w:noHBand="0" w:noVBand="1"/>
      </w:tblPr>
      <w:tblGrid>
        <w:gridCol w:w="2835"/>
        <w:gridCol w:w="850"/>
        <w:gridCol w:w="900"/>
        <w:gridCol w:w="2673"/>
        <w:gridCol w:w="927"/>
        <w:gridCol w:w="990"/>
      </w:tblGrid>
      <w:tr w:rsidR="00F73B9F" w:rsidRPr="00802C34" w14:paraId="784BA72F" w14:textId="77777777" w:rsidTr="00955969">
        <w:tc>
          <w:tcPr>
            <w:tcW w:w="2835" w:type="dxa"/>
          </w:tcPr>
          <w:p w14:paraId="2A41B60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Variable</w:t>
            </w:r>
          </w:p>
        </w:tc>
        <w:tc>
          <w:tcPr>
            <w:tcW w:w="850" w:type="dxa"/>
          </w:tcPr>
          <w:p w14:paraId="35F2004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Lower</w:t>
            </w:r>
          </w:p>
        </w:tc>
        <w:tc>
          <w:tcPr>
            <w:tcW w:w="900" w:type="dxa"/>
          </w:tcPr>
          <w:p w14:paraId="2002027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Upper</w:t>
            </w:r>
          </w:p>
        </w:tc>
        <w:tc>
          <w:tcPr>
            <w:tcW w:w="2673" w:type="dxa"/>
          </w:tcPr>
          <w:p w14:paraId="0825FC3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Variable</w:t>
            </w:r>
          </w:p>
        </w:tc>
        <w:tc>
          <w:tcPr>
            <w:tcW w:w="927" w:type="dxa"/>
          </w:tcPr>
          <w:p w14:paraId="344A2B3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Lower</w:t>
            </w:r>
          </w:p>
        </w:tc>
        <w:tc>
          <w:tcPr>
            <w:tcW w:w="990" w:type="dxa"/>
          </w:tcPr>
          <w:p w14:paraId="1C68B74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Upper</w:t>
            </w:r>
          </w:p>
        </w:tc>
      </w:tr>
      <w:tr w:rsidR="00F73B9F" w:rsidRPr="00802C34" w14:paraId="7DBC942F" w14:textId="77777777" w:rsidTr="00955969">
        <w:tc>
          <w:tcPr>
            <w:tcW w:w="2835" w:type="dxa"/>
          </w:tcPr>
          <w:p w14:paraId="09599D1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Compressor-inlet air temperature T₁ (°C)</w:t>
            </w:r>
          </w:p>
        </w:tc>
        <w:tc>
          <w:tcPr>
            <w:tcW w:w="850" w:type="dxa"/>
          </w:tcPr>
          <w:p w14:paraId="4DECBEF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w:t>
            </w:r>
          </w:p>
        </w:tc>
        <w:tc>
          <w:tcPr>
            <w:tcW w:w="900" w:type="dxa"/>
          </w:tcPr>
          <w:p w14:paraId="0E67FA3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50</w:t>
            </w:r>
          </w:p>
        </w:tc>
        <w:tc>
          <w:tcPr>
            <w:tcW w:w="2673" w:type="dxa"/>
          </w:tcPr>
          <w:p w14:paraId="45F768B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Generator excitation current (A)</w:t>
            </w:r>
          </w:p>
        </w:tc>
        <w:tc>
          <w:tcPr>
            <w:tcW w:w="927" w:type="dxa"/>
          </w:tcPr>
          <w:p w14:paraId="3F7A53E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52F0DF8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w:t>
            </w:r>
          </w:p>
        </w:tc>
      </w:tr>
      <w:tr w:rsidR="00F73B9F" w:rsidRPr="00802C34" w14:paraId="0FBE8306" w14:textId="77777777" w:rsidTr="00955969">
        <w:tc>
          <w:tcPr>
            <w:tcW w:w="2835" w:type="dxa"/>
          </w:tcPr>
          <w:p w14:paraId="468DD43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Ceiling temperature (°C)</w:t>
            </w:r>
          </w:p>
        </w:tc>
        <w:tc>
          <w:tcPr>
            <w:tcW w:w="850" w:type="dxa"/>
          </w:tcPr>
          <w:p w14:paraId="4A13600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15</w:t>
            </w:r>
          </w:p>
        </w:tc>
        <w:tc>
          <w:tcPr>
            <w:tcW w:w="900" w:type="dxa"/>
          </w:tcPr>
          <w:p w14:paraId="6456E34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w:t>
            </w:r>
          </w:p>
        </w:tc>
        <w:tc>
          <w:tcPr>
            <w:tcW w:w="2673" w:type="dxa"/>
          </w:tcPr>
          <w:p w14:paraId="7459D74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Instrument Air Pressure (barg)</w:t>
            </w:r>
          </w:p>
        </w:tc>
        <w:tc>
          <w:tcPr>
            <w:tcW w:w="927" w:type="dxa"/>
          </w:tcPr>
          <w:p w14:paraId="35A3EF3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6D1D151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12</w:t>
            </w:r>
          </w:p>
        </w:tc>
      </w:tr>
      <w:tr w:rsidR="00F73B9F" w:rsidRPr="00802C34" w14:paraId="273168C8" w14:textId="77777777" w:rsidTr="00955969">
        <w:tc>
          <w:tcPr>
            <w:tcW w:w="2835" w:type="dxa"/>
          </w:tcPr>
          <w:p w14:paraId="1AB5403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Compressor T₅ average (°C)</w:t>
            </w:r>
          </w:p>
        </w:tc>
        <w:tc>
          <w:tcPr>
            <w:tcW w:w="850" w:type="dxa"/>
          </w:tcPr>
          <w:p w14:paraId="366E53C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4191D20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w:t>
            </w:r>
          </w:p>
        </w:tc>
        <w:tc>
          <w:tcPr>
            <w:tcW w:w="2673" w:type="dxa"/>
          </w:tcPr>
          <w:p w14:paraId="1233990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Gas Fuel Control Temperature (°C)</w:t>
            </w:r>
          </w:p>
        </w:tc>
        <w:tc>
          <w:tcPr>
            <w:tcW w:w="927" w:type="dxa"/>
          </w:tcPr>
          <w:p w14:paraId="60839C9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c>
          <w:tcPr>
            <w:tcW w:w="990" w:type="dxa"/>
          </w:tcPr>
          <w:p w14:paraId="341BBD1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w:t>
            </w:r>
          </w:p>
        </w:tc>
      </w:tr>
      <w:tr w:rsidR="00F73B9F" w:rsidRPr="00802C34" w14:paraId="0C3A4882" w14:textId="77777777" w:rsidTr="00955969">
        <w:tc>
          <w:tcPr>
            <w:tcW w:w="2835" w:type="dxa"/>
          </w:tcPr>
          <w:p w14:paraId="2D8D833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Exhaust temperature T₇ (Average) (°C)</w:t>
            </w:r>
          </w:p>
        </w:tc>
        <w:tc>
          <w:tcPr>
            <w:tcW w:w="850" w:type="dxa"/>
          </w:tcPr>
          <w:p w14:paraId="28EED40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6D48F99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750</w:t>
            </w:r>
          </w:p>
        </w:tc>
        <w:tc>
          <w:tcPr>
            <w:tcW w:w="2673" w:type="dxa"/>
          </w:tcPr>
          <w:p w14:paraId="239C090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Enclosure Main Filter DP (mbard)</w:t>
            </w:r>
          </w:p>
        </w:tc>
        <w:tc>
          <w:tcPr>
            <w:tcW w:w="927" w:type="dxa"/>
          </w:tcPr>
          <w:p w14:paraId="3412E5B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w:t>
            </w:r>
          </w:p>
        </w:tc>
        <w:tc>
          <w:tcPr>
            <w:tcW w:w="990" w:type="dxa"/>
          </w:tcPr>
          <w:p w14:paraId="5402D88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r>
      <w:tr w:rsidR="00F73B9F" w:rsidRPr="00802C34" w14:paraId="74E859B1" w14:textId="77777777" w:rsidTr="00955969">
        <w:tc>
          <w:tcPr>
            <w:tcW w:w="2835" w:type="dxa"/>
          </w:tcPr>
          <w:p w14:paraId="32FC47F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Compressor outlet air pressure (PCD) (barg)</w:t>
            </w:r>
          </w:p>
        </w:tc>
        <w:tc>
          <w:tcPr>
            <w:tcW w:w="850" w:type="dxa"/>
          </w:tcPr>
          <w:p w14:paraId="1360C28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021407B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15</w:t>
            </w:r>
          </w:p>
        </w:tc>
        <w:tc>
          <w:tcPr>
            <w:tcW w:w="2673" w:type="dxa"/>
          </w:tcPr>
          <w:p w14:paraId="5579D52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air inlet filter DP (mbard) [A]</w:t>
            </w:r>
          </w:p>
        </w:tc>
        <w:tc>
          <w:tcPr>
            <w:tcW w:w="927" w:type="dxa"/>
          </w:tcPr>
          <w:p w14:paraId="3DF3C7F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4C4B041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r>
      <w:tr w:rsidR="00F73B9F" w:rsidRPr="00802C34" w14:paraId="545FD697" w14:textId="77777777" w:rsidTr="00955969">
        <w:tc>
          <w:tcPr>
            <w:tcW w:w="2835" w:type="dxa"/>
          </w:tcPr>
          <w:p w14:paraId="10C5C0C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Lube oil pressure (mbarg)</w:t>
            </w:r>
          </w:p>
        </w:tc>
        <w:tc>
          <w:tcPr>
            <w:tcW w:w="850" w:type="dxa"/>
          </w:tcPr>
          <w:p w14:paraId="0D8083D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164F36F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15</w:t>
            </w:r>
          </w:p>
        </w:tc>
        <w:tc>
          <w:tcPr>
            <w:tcW w:w="2673" w:type="dxa"/>
          </w:tcPr>
          <w:p w14:paraId="77FB488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air inlet filter DP (mbard) [B]</w:t>
            </w:r>
          </w:p>
        </w:tc>
        <w:tc>
          <w:tcPr>
            <w:tcW w:w="927" w:type="dxa"/>
          </w:tcPr>
          <w:p w14:paraId="7E19B3A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3B0F489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r>
      <w:tr w:rsidR="00F73B9F" w:rsidRPr="00802C34" w14:paraId="46E748D8" w14:textId="77777777" w:rsidTr="00955969">
        <w:tc>
          <w:tcPr>
            <w:tcW w:w="2835" w:type="dxa"/>
          </w:tcPr>
          <w:p w14:paraId="7BB8389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Lube oil temperature (°C)</w:t>
            </w:r>
          </w:p>
        </w:tc>
        <w:tc>
          <w:tcPr>
            <w:tcW w:w="850" w:type="dxa"/>
          </w:tcPr>
          <w:p w14:paraId="6560F67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53DC10D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110</w:t>
            </w:r>
          </w:p>
        </w:tc>
        <w:tc>
          <w:tcPr>
            <w:tcW w:w="2673" w:type="dxa"/>
          </w:tcPr>
          <w:p w14:paraId="3C7DF6B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Air Inlet Pre Filter DP (mbard)</w:t>
            </w:r>
          </w:p>
        </w:tc>
        <w:tc>
          <w:tcPr>
            <w:tcW w:w="927" w:type="dxa"/>
          </w:tcPr>
          <w:p w14:paraId="476FC88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266D371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r>
      <w:tr w:rsidR="00F73B9F" w:rsidRPr="00802C34" w14:paraId="183A4ED2" w14:textId="77777777" w:rsidTr="00955969">
        <w:tc>
          <w:tcPr>
            <w:tcW w:w="2835" w:type="dxa"/>
          </w:tcPr>
          <w:p w14:paraId="31E257F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Gearbox Acceleration Vibration (g ms)</w:t>
            </w:r>
          </w:p>
        </w:tc>
        <w:tc>
          <w:tcPr>
            <w:tcW w:w="850" w:type="dxa"/>
          </w:tcPr>
          <w:p w14:paraId="535676B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3715940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50</w:t>
            </w:r>
          </w:p>
        </w:tc>
        <w:tc>
          <w:tcPr>
            <w:tcW w:w="2673" w:type="dxa"/>
          </w:tcPr>
          <w:p w14:paraId="51DD0EA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Air Inlet PrePre Filter DP (mbard)</w:t>
            </w:r>
          </w:p>
        </w:tc>
        <w:tc>
          <w:tcPr>
            <w:tcW w:w="927" w:type="dxa"/>
          </w:tcPr>
          <w:p w14:paraId="2887563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6B041F8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r>
      <w:tr w:rsidR="00F73B9F" w:rsidRPr="00802C34" w14:paraId="7698E58E" w14:textId="77777777" w:rsidTr="00955969">
        <w:tc>
          <w:tcPr>
            <w:tcW w:w="2835" w:type="dxa"/>
          </w:tcPr>
          <w:p w14:paraId="0FEE7A9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Generator DE bearing temperature (°C)</w:t>
            </w:r>
          </w:p>
        </w:tc>
        <w:tc>
          <w:tcPr>
            <w:tcW w:w="850" w:type="dxa"/>
          </w:tcPr>
          <w:p w14:paraId="4AE11A4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38BA6E4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120</w:t>
            </w:r>
          </w:p>
        </w:tc>
        <w:tc>
          <w:tcPr>
            <w:tcW w:w="2673" w:type="dxa"/>
          </w:tcPr>
          <w:p w14:paraId="6324D0F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temperature T₅ #1 (°C)</w:t>
            </w:r>
          </w:p>
        </w:tc>
        <w:tc>
          <w:tcPr>
            <w:tcW w:w="927" w:type="dxa"/>
          </w:tcPr>
          <w:p w14:paraId="1671584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1554F07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w:t>
            </w:r>
          </w:p>
        </w:tc>
      </w:tr>
      <w:tr w:rsidR="00F73B9F" w:rsidRPr="00802C34" w14:paraId="197EADF3" w14:textId="77777777" w:rsidTr="00955969">
        <w:tc>
          <w:tcPr>
            <w:tcW w:w="2835" w:type="dxa"/>
          </w:tcPr>
          <w:p w14:paraId="62AB75D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Generator NDE bearing temperature (°C)</w:t>
            </w:r>
          </w:p>
        </w:tc>
        <w:tc>
          <w:tcPr>
            <w:tcW w:w="850" w:type="dxa"/>
          </w:tcPr>
          <w:p w14:paraId="66D5941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2A9F63B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120</w:t>
            </w:r>
          </w:p>
        </w:tc>
        <w:tc>
          <w:tcPr>
            <w:tcW w:w="2673" w:type="dxa"/>
          </w:tcPr>
          <w:p w14:paraId="3FC22FA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temperature T₅ #2 (°C)</w:t>
            </w:r>
          </w:p>
        </w:tc>
        <w:tc>
          <w:tcPr>
            <w:tcW w:w="927" w:type="dxa"/>
          </w:tcPr>
          <w:p w14:paraId="17AA623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7E86EEA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w:t>
            </w:r>
          </w:p>
        </w:tc>
      </w:tr>
      <w:tr w:rsidR="00F73B9F" w:rsidRPr="00802C34" w14:paraId="239E2DA4" w14:textId="77777777" w:rsidTr="00955969">
        <w:tc>
          <w:tcPr>
            <w:tcW w:w="2835" w:type="dxa"/>
          </w:tcPr>
          <w:p w14:paraId="2BE4142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Gas fuel flow (kg/h)</w:t>
            </w:r>
          </w:p>
        </w:tc>
        <w:tc>
          <w:tcPr>
            <w:tcW w:w="850" w:type="dxa"/>
          </w:tcPr>
          <w:p w14:paraId="67E4E91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53CEEC8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2500</w:t>
            </w:r>
          </w:p>
        </w:tc>
        <w:tc>
          <w:tcPr>
            <w:tcW w:w="2673" w:type="dxa"/>
          </w:tcPr>
          <w:p w14:paraId="4455A4D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temperature T₅ #3 (°C)</w:t>
            </w:r>
          </w:p>
        </w:tc>
        <w:tc>
          <w:tcPr>
            <w:tcW w:w="927" w:type="dxa"/>
          </w:tcPr>
          <w:p w14:paraId="24A231E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7D61950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w:t>
            </w:r>
          </w:p>
        </w:tc>
      </w:tr>
      <w:tr w:rsidR="00F73B9F" w:rsidRPr="00802C34" w14:paraId="03F3A7D9" w14:textId="77777777" w:rsidTr="00955969">
        <w:tc>
          <w:tcPr>
            <w:tcW w:w="2835" w:type="dxa"/>
          </w:tcPr>
          <w:p w14:paraId="0649C42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lastRenderedPageBreak/>
              <w:t>Gas fuel pressure 1 (barg)</w:t>
            </w:r>
          </w:p>
        </w:tc>
        <w:tc>
          <w:tcPr>
            <w:tcW w:w="850" w:type="dxa"/>
          </w:tcPr>
          <w:p w14:paraId="56F78C6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71D2ED2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40</w:t>
            </w:r>
          </w:p>
        </w:tc>
        <w:tc>
          <w:tcPr>
            <w:tcW w:w="2673" w:type="dxa"/>
          </w:tcPr>
          <w:p w14:paraId="43E14D9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temperature T₅ #4 (°C)</w:t>
            </w:r>
          </w:p>
        </w:tc>
        <w:tc>
          <w:tcPr>
            <w:tcW w:w="927" w:type="dxa"/>
          </w:tcPr>
          <w:p w14:paraId="356B1C2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6923229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w:t>
            </w:r>
          </w:p>
        </w:tc>
      </w:tr>
      <w:tr w:rsidR="00F73B9F" w:rsidRPr="00802C34" w14:paraId="3A0C0F50" w14:textId="77777777" w:rsidTr="00955969">
        <w:tc>
          <w:tcPr>
            <w:tcW w:w="2835" w:type="dxa"/>
          </w:tcPr>
          <w:p w14:paraId="357AD5E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Liquid fuel flow (kg/min)</w:t>
            </w:r>
          </w:p>
        </w:tc>
        <w:tc>
          <w:tcPr>
            <w:tcW w:w="850" w:type="dxa"/>
          </w:tcPr>
          <w:p w14:paraId="446C968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14D74E7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40</w:t>
            </w:r>
          </w:p>
        </w:tc>
        <w:tc>
          <w:tcPr>
            <w:tcW w:w="2673" w:type="dxa"/>
          </w:tcPr>
          <w:p w14:paraId="22EA4FD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temperature T₅ #5 (°C)</w:t>
            </w:r>
          </w:p>
        </w:tc>
        <w:tc>
          <w:tcPr>
            <w:tcW w:w="927" w:type="dxa"/>
          </w:tcPr>
          <w:p w14:paraId="1206142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0E3FA0E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w:t>
            </w:r>
          </w:p>
        </w:tc>
      </w:tr>
      <w:tr w:rsidR="00F73B9F" w:rsidRPr="00802C34" w14:paraId="044F5139" w14:textId="77777777" w:rsidTr="00955969">
        <w:tc>
          <w:tcPr>
            <w:tcW w:w="2835" w:type="dxa"/>
          </w:tcPr>
          <w:p w14:paraId="7BB44AA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Liquid fuel inlet pressure (barg)</w:t>
            </w:r>
          </w:p>
        </w:tc>
        <w:tc>
          <w:tcPr>
            <w:tcW w:w="850" w:type="dxa"/>
          </w:tcPr>
          <w:p w14:paraId="4EA0B34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060B412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30</w:t>
            </w:r>
          </w:p>
        </w:tc>
        <w:tc>
          <w:tcPr>
            <w:tcW w:w="2673" w:type="dxa"/>
          </w:tcPr>
          <w:p w14:paraId="78CF472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temperature T₅ #6 (°C)</w:t>
            </w:r>
          </w:p>
        </w:tc>
        <w:tc>
          <w:tcPr>
            <w:tcW w:w="927" w:type="dxa"/>
          </w:tcPr>
          <w:p w14:paraId="42E8FEF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7F8AA0F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w:t>
            </w:r>
          </w:p>
        </w:tc>
      </w:tr>
      <w:tr w:rsidR="00F73B9F" w:rsidRPr="00802C34" w14:paraId="1DB4FBC1" w14:textId="77777777" w:rsidTr="00955969">
        <w:tc>
          <w:tcPr>
            <w:tcW w:w="2835" w:type="dxa"/>
          </w:tcPr>
          <w:p w14:paraId="71EBB17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Voltage (Vac)</w:t>
            </w:r>
          </w:p>
        </w:tc>
        <w:tc>
          <w:tcPr>
            <w:tcW w:w="850" w:type="dxa"/>
          </w:tcPr>
          <w:p w14:paraId="7A0470E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176B66B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13000</w:t>
            </w:r>
          </w:p>
        </w:tc>
        <w:tc>
          <w:tcPr>
            <w:tcW w:w="2673" w:type="dxa"/>
          </w:tcPr>
          <w:p w14:paraId="0E515C5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vibration 1 X (µm pp)</w:t>
            </w:r>
          </w:p>
        </w:tc>
        <w:tc>
          <w:tcPr>
            <w:tcW w:w="927" w:type="dxa"/>
          </w:tcPr>
          <w:p w14:paraId="625157B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659EF1F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200</w:t>
            </w:r>
          </w:p>
        </w:tc>
      </w:tr>
      <w:tr w:rsidR="00F73B9F" w:rsidRPr="00802C34" w14:paraId="4924F01D" w14:textId="77777777" w:rsidTr="00955969">
        <w:tc>
          <w:tcPr>
            <w:tcW w:w="2835" w:type="dxa"/>
          </w:tcPr>
          <w:p w14:paraId="432AD3F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Current A (A)</w:t>
            </w:r>
          </w:p>
        </w:tc>
        <w:tc>
          <w:tcPr>
            <w:tcW w:w="850" w:type="dxa"/>
          </w:tcPr>
          <w:p w14:paraId="5D133F3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466D048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500</w:t>
            </w:r>
          </w:p>
        </w:tc>
        <w:tc>
          <w:tcPr>
            <w:tcW w:w="2673" w:type="dxa"/>
          </w:tcPr>
          <w:p w14:paraId="5F54CB2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vibration 1 Y (µm pp)</w:t>
            </w:r>
          </w:p>
        </w:tc>
        <w:tc>
          <w:tcPr>
            <w:tcW w:w="927" w:type="dxa"/>
          </w:tcPr>
          <w:p w14:paraId="53024B8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1A18EC1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200</w:t>
            </w:r>
          </w:p>
        </w:tc>
      </w:tr>
      <w:tr w:rsidR="00F73B9F" w:rsidRPr="00802C34" w14:paraId="1CF9BED7" w14:textId="77777777" w:rsidTr="00955969">
        <w:tc>
          <w:tcPr>
            <w:tcW w:w="2835" w:type="dxa"/>
          </w:tcPr>
          <w:p w14:paraId="291C5B4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Current B (A)</w:t>
            </w:r>
          </w:p>
        </w:tc>
        <w:tc>
          <w:tcPr>
            <w:tcW w:w="850" w:type="dxa"/>
          </w:tcPr>
          <w:p w14:paraId="3FE5BAD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6B3D5EA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500</w:t>
            </w:r>
          </w:p>
        </w:tc>
        <w:tc>
          <w:tcPr>
            <w:tcW w:w="2673" w:type="dxa"/>
          </w:tcPr>
          <w:p w14:paraId="2C64643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vibration 2 X (µm pp)</w:t>
            </w:r>
          </w:p>
        </w:tc>
        <w:tc>
          <w:tcPr>
            <w:tcW w:w="927" w:type="dxa"/>
          </w:tcPr>
          <w:p w14:paraId="2265531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243193A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200</w:t>
            </w:r>
          </w:p>
        </w:tc>
      </w:tr>
      <w:tr w:rsidR="00F73B9F" w:rsidRPr="00802C34" w14:paraId="281F7F39" w14:textId="77777777" w:rsidTr="00955969">
        <w:tc>
          <w:tcPr>
            <w:tcW w:w="2835" w:type="dxa"/>
          </w:tcPr>
          <w:p w14:paraId="341B03C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Current C (A)</w:t>
            </w:r>
          </w:p>
        </w:tc>
        <w:tc>
          <w:tcPr>
            <w:tcW w:w="850" w:type="dxa"/>
          </w:tcPr>
          <w:p w14:paraId="0B6D336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7758BF4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500</w:t>
            </w:r>
          </w:p>
        </w:tc>
        <w:tc>
          <w:tcPr>
            <w:tcW w:w="2673" w:type="dxa"/>
          </w:tcPr>
          <w:p w14:paraId="22AF7CC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vibration 2 Y (µm pp)</w:t>
            </w:r>
          </w:p>
        </w:tc>
        <w:tc>
          <w:tcPr>
            <w:tcW w:w="927" w:type="dxa"/>
          </w:tcPr>
          <w:p w14:paraId="4152EB1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25116A1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200</w:t>
            </w:r>
          </w:p>
        </w:tc>
      </w:tr>
      <w:tr w:rsidR="00F73B9F" w:rsidRPr="00802C34" w14:paraId="05A3908F" w14:textId="77777777" w:rsidTr="00955969">
        <w:tc>
          <w:tcPr>
            <w:tcW w:w="2835" w:type="dxa"/>
          </w:tcPr>
          <w:p w14:paraId="5B606E2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Real power (kW)</w:t>
            </w:r>
          </w:p>
        </w:tc>
        <w:tc>
          <w:tcPr>
            <w:tcW w:w="850" w:type="dxa"/>
          </w:tcPr>
          <w:p w14:paraId="1D6E636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2EE71CD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6500</w:t>
            </w:r>
          </w:p>
        </w:tc>
        <w:tc>
          <w:tcPr>
            <w:tcW w:w="2673" w:type="dxa"/>
          </w:tcPr>
          <w:p w14:paraId="734B0C9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vibration 3 X (µm pp)</w:t>
            </w:r>
          </w:p>
        </w:tc>
        <w:tc>
          <w:tcPr>
            <w:tcW w:w="927" w:type="dxa"/>
          </w:tcPr>
          <w:p w14:paraId="212F19E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2701A85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200</w:t>
            </w:r>
          </w:p>
        </w:tc>
      </w:tr>
      <w:tr w:rsidR="00F73B9F" w:rsidRPr="00802C34" w14:paraId="37C45009" w14:textId="77777777" w:rsidTr="00955969">
        <w:tc>
          <w:tcPr>
            <w:tcW w:w="2835" w:type="dxa"/>
          </w:tcPr>
          <w:p w14:paraId="6EED82F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Apparent power (kVA)</w:t>
            </w:r>
          </w:p>
        </w:tc>
        <w:tc>
          <w:tcPr>
            <w:tcW w:w="850" w:type="dxa"/>
          </w:tcPr>
          <w:p w14:paraId="28C5D60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48AFDED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8000</w:t>
            </w:r>
          </w:p>
        </w:tc>
        <w:tc>
          <w:tcPr>
            <w:tcW w:w="2673" w:type="dxa"/>
          </w:tcPr>
          <w:p w14:paraId="1E05EA2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Turbine vibration 3 Y (µm pp)</w:t>
            </w:r>
          </w:p>
        </w:tc>
        <w:tc>
          <w:tcPr>
            <w:tcW w:w="927" w:type="dxa"/>
          </w:tcPr>
          <w:p w14:paraId="63F5A00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61092B0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200</w:t>
            </w:r>
          </w:p>
        </w:tc>
      </w:tr>
      <w:tr w:rsidR="00F73B9F" w:rsidRPr="00802C34" w14:paraId="2D87AA6D" w14:textId="77777777" w:rsidTr="00955969">
        <w:tc>
          <w:tcPr>
            <w:tcW w:w="2835" w:type="dxa"/>
          </w:tcPr>
          <w:p w14:paraId="013F2E5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Reactive power (kVAR)</w:t>
            </w:r>
          </w:p>
        </w:tc>
        <w:tc>
          <w:tcPr>
            <w:tcW w:w="850" w:type="dxa"/>
          </w:tcPr>
          <w:p w14:paraId="6FE21EA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50BF562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6000</w:t>
            </w:r>
          </w:p>
        </w:tc>
        <w:tc>
          <w:tcPr>
            <w:tcW w:w="2673" w:type="dxa"/>
          </w:tcPr>
          <w:p w14:paraId="5758AE8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Generator L1 winding temperature (°C)</w:t>
            </w:r>
          </w:p>
        </w:tc>
        <w:tc>
          <w:tcPr>
            <w:tcW w:w="927" w:type="dxa"/>
          </w:tcPr>
          <w:p w14:paraId="002BFF6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32F2F40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155</w:t>
            </w:r>
          </w:p>
        </w:tc>
      </w:tr>
      <w:tr w:rsidR="00F73B9F" w:rsidRPr="00802C34" w14:paraId="0564BFD2" w14:textId="77777777" w:rsidTr="00955969">
        <w:tc>
          <w:tcPr>
            <w:tcW w:w="2835" w:type="dxa"/>
          </w:tcPr>
          <w:p w14:paraId="48A1D43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Power factor</w:t>
            </w:r>
          </w:p>
        </w:tc>
        <w:tc>
          <w:tcPr>
            <w:tcW w:w="850" w:type="dxa"/>
          </w:tcPr>
          <w:p w14:paraId="035719C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3F857C7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w:t>
            </w:r>
          </w:p>
        </w:tc>
        <w:tc>
          <w:tcPr>
            <w:tcW w:w="2673" w:type="dxa"/>
          </w:tcPr>
          <w:p w14:paraId="7F0443B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Generator L2 winding temperature (°C)</w:t>
            </w:r>
          </w:p>
        </w:tc>
        <w:tc>
          <w:tcPr>
            <w:tcW w:w="927" w:type="dxa"/>
          </w:tcPr>
          <w:p w14:paraId="61A6613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46ECCC4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155</w:t>
            </w:r>
          </w:p>
        </w:tc>
      </w:tr>
      <w:tr w:rsidR="00F73B9F" w:rsidRPr="00802C34" w14:paraId="0DAE263D" w14:textId="77777777" w:rsidTr="00955969">
        <w:tc>
          <w:tcPr>
            <w:tcW w:w="2835" w:type="dxa"/>
          </w:tcPr>
          <w:p w14:paraId="051F857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Frequency (Hz)</w:t>
            </w:r>
          </w:p>
        </w:tc>
        <w:tc>
          <w:tcPr>
            <w:tcW w:w="850" w:type="dxa"/>
          </w:tcPr>
          <w:p w14:paraId="255056E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00" w:type="dxa"/>
          </w:tcPr>
          <w:p w14:paraId="16230E5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55</w:t>
            </w:r>
          </w:p>
        </w:tc>
        <w:tc>
          <w:tcPr>
            <w:tcW w:w="2673" w:type="dxa"/>
          </w:tcPr>
          <w:p w14:paraId="59E94C4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Generator L3 winding temperature (°C)</w:t>
            </w:r>
          </w:p>
        </w:tc>
        <w:tc>
          <w:tcPr>
            <w:tcW w:w="927" w:type="dxa"/>
          </w:tcPr>
          <w:p w14:paraId="662066F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990" w:type="dxa"/>
          </w:tcPr>
          <w:p w14:paraId="041AA81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155</w:t>
            </w:r>
          </w:p>
        </w:tc>
      </w:tr>
    </w:tbl>
    <w:p w14:paraId="6CFD9D04"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br w:type="page"/>
      </w:r>
    </w:p>
    <w:p w14:paraId="587D9EC2"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lastRenderedPageBreak/>
        <w:t>Table S2. Block-corruption metrics in the pre-specified benchmark</w:t>
      </w:r>
    </w:p>
    <w:p w14:paraId="66405F80"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b/>
          <w:sz w:val="22"/>
          <w:szCs w:val="22"/>
        </w:rPr>
        <w:t xml:space="preserve">Table S2. </w:t>
      </w:r>
      <w:r>
        <w:rPr>
          <w:rFonts w:asciiTheme="majorBidi" w:hAnsiTheme="majorBidi" w:cstheme="majorBidi"/>
          <w:sz w:val="22"/>
          <w:szCs w:val="22"/>
        </w:rPr>
        <w:t>Detection delay, detected-block fraction, and channel localisation for the block pattern (contiguous 25% of the evaluation half), with the clean-data false-positive rate (FPR) for comparison. Values are medians over the five swap pairs of the scenario-level medians over five seeds. Localisation was specified for the physics–chronology detector only.</w:t>
      </w:r>
    </w:p>
    <w:tbl>
      <w:tblPr>
        <w:tblStyle w:val="TableGrid"/>
        <w:tblW w:w="9535" w:type="dxa"/>
        <w:tblLayout w:type="fixed"/>
        <w:tblLook w:val="04A0" w:firstRow="1" w:lastRow="0" w:firstColumn="1" w:lastColumn="0" w:noHBand="0" w:noVBand="1"/>
      </w:tblPr>
      <w:tblGrid>
        <w:gridCol w:w="2154"/>
        <w:gridCol w:w="1171"/>
        <w:gridCol w:w="983"/>
        <w:gridCol w:w="1701"/>
        <w:gridCol w:w="1366"/>
        <w:gridCol w:w="2160"/>
      </w:tblGrid>
      <w:tr w:rsidR="00F73B9F" w:rsidRPr="00802C34" w14:paraId="412B3968" w14:textId="77777777" w:rsidTr="00955969">
        <w:tc>
          <w:tcPr>
            <w:tcW w:w="2154" w:type="dxa"/>
          </w:tcPr>
          <w:p w14:paraId="4E9CA85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Method</w:t>
            </w:r>
          </w:p>
        </w:tc>
        <w:tc>
          <w:tcPr>
            <w:tcW w:w="1171" w:type="dxa"/>
          </w:tcPr>
          <w:p w14:paraId="6AF2C83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Reference</w:t>
            </w:r>
          </w:p>
        </w:tc>
        <w:tc>
          <w:tcPr>
            <w:tcW w:w="983" w:type="dxa"/>
          </w:tcPr>
          <w:p w14:paraId="7EF842D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Delay (rows)</w:t>
            </w:r>
          </w:p>
        </w:tc>
        <w:tc>
          <w:tcPr>
            <w:tcW w:w="1701" w:type="dxa"/>
          </w:tcPr>
          <w:p w14:paraId="152A2AC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Fraction of block detected</w:t>
            </w:r>
          </w:p>
        </w:tc>
        <w:tc>
          <w:tcPr>
            <w:tcW w:w="1366" w:type="dxa"/>
          </w:tcPr>
          <w:p w14:paraId="0DB7A59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Localisation</w:t>
            </w:r>
          </w:p>
        </w:tc>
        <w:tc>
          <w:tcPr>
            <w:tcW w:w="2160" w:type="dxa"/>
          </w:tcPr>
          <w:p w14:paraId="5958DD3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Clean-data FPR</w:t>
            </w:r>
          </w:p>
        </w:tc>
      </w:tr>
      <w:tr w:rsidR="00F73B9F" w:rsidRPr="00802C34" w14:paraId="662A9F27" w14:textId="77777777" w:rsidTr="00955969">
        <w:tc>
          <w:tcPr>
            <w:tcW w:w="2154" w:type="dxa"/>
          </w:tcPr>
          <w:p w14:paraId="32462DF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Physics–chronology</w:t>
            </w:r>
          </w:p>
        </w:tc>
        <w:tc>
          <w:tcPr>
            <w:tcW w:w="1171" w:type="dxa"/>
          </w:tcPr>
          <w:p w14:paraId="495F094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w:t>
            </w:r>
          </w:p>
        </w:tc>
        <w:tc>
          <w:tcPr>
            <w:tcW w:w="983" w:type="dxa"/>
          </w:tcPr>
          <w:p w14:paraId="5DF3650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5D78540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1366" w:type="dxa"/>
          </w:tcPr>
          <w:p w14:paraId="6C3D56A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2160" w:type="dxa"/>
          </w:tcPr>
          <w:p w14:paraId="08314B8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0.683</w:t>
            </w:r>
          </w:p>
        </w:tc>
      </w:tr>
      <w:tr w:rsidR="00F73B9F" w:rsidRPr="00802C34" w14:paraId="05AF8A6C" w14:textId="77777777" w:rsidTr="00955969">
        <w:tc>
          <w:tcPr>
            <w:tcW w:w="2154" w:type="dxa"/>
          </w:tcPr>
          <w:p w14:paraId="0C288EB6"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171" w:type="dxa"/>
          </w:tcPr>
          <w:p w14:paraId="0AF7930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B</w:t>
            </w:r>
          </w:p>
        </w:tc>
        <w:tc>
          <w:tcPr>
            <w:tcW w:w="983" w:type="dxa"/>
          </w:tcPr>
          <w:p w14:paraId="56D0C5F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22468A3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1366" w:type="dxa"/>
          </w:tcPr>
          <w:p w14:paraId="073032E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2160" w:type="dxa"/>
          </w:tcPr>
          <w:p w14:paraId="5F1D64C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0.520</w:t>
            </w:r>
          </w:p>
        </w:tc>
      </w:tr>
      <w:tr w:rsidR="00F73B9F" w:rsidRPr="00802C34" w14:paraId="03388001" w14:textId="77777777" w:rsidTr="00955969">
        <w:tc>
          <w:tcPr>
            <w:tcW w:w="2154" w:type="dxa"/>
          </w:tcPr>
          <w:p w14:paraId="3A5E153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Isolation Forest</w:t>
            </w:r>
          </w:p>
        </w:tc>
        <w:tc>
          <w:tcPr>
            <w:tcW w:w="1171" w:type="dxa"/>
          </w:tcPr>
          <w:p w14:paraId="465FEF5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w:t>
            </w:r>
          </w:p>
        </w:tc>
        <w:tc>
          <w:tcPr>
            <w:tcW w:w="983" w:type="dxa"/>
          </w:tcPr>
          <w:p w14:paraId="696D9DB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20</w:t>
            </w:r>
          </w:p>
        </w:tc>
        <w:tc>
          <w:tcPr>
            <w:tcW w:w="1701" w:type="dxa"/>
          </w:tcPr>
          <w:p w14:paraId="2D486FC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0.036</w:t>
            </w:r>
          </w:p>
        </w:tc>
        <w:tc>
          <w:tcPr>
            <w:tcW w:w="1366" w:type="dxa"/>
          </w:tcPr>
          <w:p w14:paraId="4EF4767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137178E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0.036</w:t>
            </w:r>
          </w:p>
        </w:tc>
      </w:tr>
      <w:tr w:rsidR="00F73B9F" w:rsidRPr="00802C34" w14:paraId="0A027B6A" w14:textId="77777777" w:rsidTr="00955969">
        <w:tc>
          <w:tcPr>
            <w:tcW w:w="2154" w:type="dxa"/>
          </w:tcPr>
          <w:p w14:paraId="2993556C"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171" w:type="dxa"/>
          </w:tcPr>
          <w:p w14:paraId="1440C66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B</w:t>
            </w:r>
          </w:p>
        </w:tc>
        <w:tc>
          <w:tcPr>
            <w:tcW w:w="983" w:type="dxa"/>
          </w:tcPr>
          <w:p w14:paraId="1408812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13</w:t>
            </w:r>
          </w:p>
        </w:tc>
        <w:tc>
          <w:tcPr>
            <w:tcW w:w="1701" w:type="dxa"/>
          </w:tcPr>
          <w:p w14:paraId="254EF12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0.116</w:t>
            </w:r>
          </w:p>
        </w:tc>
        <w:tc>
          <w:tcPr>
            <w:tcW w:w="1366" w:type="dxa"/>
          </w:tcPr>
          <w:p w14:paraId="608581E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7CD4C7D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0.096</w:t>
            </w:r>
          </w:p>
        </w:tc>
      </w:tr>
      <w:tr w:rsidR="00F73B9F" w:rsidRPr="00802C34" w14:paraId="5DAB1FF2" w14:textId="77777777" w:rsidTr="00955969">
        <w:tc>
          <w:tcPr>
            <w:tcW w:w="2154" w:type="dxa"/>
          </w:tcPr>
          <w:p w14:paraId="1C4546E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Range/IQR</w:t>
            </w:r>
          </w:p>
        </w:tc>
        <w:tc>
          <w:tcPr>
            <w:tcW w:w="1171" w:type="dxa"/>
          </w:tcPr>
          <w:p w14:paraId="28BF05D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w:t>
            </w:r>
          </w:p>
        </w:tc>
        <w:tc>
          <w:tcPr>
            <w:tcW w:w="983" w:type="dxa"/>
          </w:tcPr>
          <w:p w14:paraId="435083E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02E099C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1366" w:type="dxa"/>
          </w:tcPr>
          <w:p w14:paraId="7D78E40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21D0ADE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0.425</w:t>
            </w:r>
          </w:p>
        </w:tc>
      </w:tr>
      <w:tr w:rsidR="00F73B9F" w:rsidRPr="00802C34" w14:paraId="63E6D022" w14:textId="77777777" w:rsidTr="00955969">
        <w:tc>
          <w:tcPr>
            <w:tcW w:w="2154" w:type="dxa"/>
          </w:tcPr>
          <w:p w14:paraId="08F58240"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171" w:type="dxa"/>
          </w:tcPr>
          <w:p w14:paraId="4D9283F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B</w:t>
            </w:r>
          </w:p>
        </w:tc>
        <w:tc>
          <w:tcPr>
            <w:tcW w:w="983" w:type="dxa"/>
          </w:tcPr>
          <w:p w14:paraId="08DDE68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43E1F20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0.959</w:t>
            </w:r>
          </w:p>
        </w:tc>
        <w:tc>
          <w:tcPr>
            <w:tcW w:w="1366" w:type="dxa"/>
          </w:tcPr>
          <w:p w14:paraId="4E0E013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0A5116D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0.472</w:t>
            </w:r>
          </w:p>
        </w:tc>
      </w:tr>
      <w:tr w:rsidR="00F73B9F" w:rsidRPr="00802C34" w14:paraId="59CAC62B" w14:textId="77777777" w:rsidTr="00955969">
        <w:tc>
          <w:tcPr>
            <w:tcW w:w="2154" w:type="dxa"/>
          </w:tcPr>
          <w:p w14:paraId="28CB9CD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z</w:t>
            </w:r>
          </w:p>
        </w:tc>
        <w:tc>
          <w:tcPr>
            <w:tcW w:w="1171" w:type="dxa"/>
          </w:tcPr>
          <w:p w14:paraId="264DB56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w:t>
            </w:r>
          </w:p>
        </w:tc>
        <w:tc>
          <w:tcPr>
            <w:tcW w:w="983" w:type="dxa"/>
          </w:tcPr>
          <w:p w14:paraId="0E36336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505F96B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1366" w:type="dxa"/>
          </w:tcPr>
          <w:p w14:paraId="7E26CF1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31E2831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0.982</w:t>
            </w:r>
          </w:p>
        </w:tc>
      </w:tr>
      <w:tr w:rsidR="00F73B9F" w:rsidRPr="00802C34" w14:paraId="4F1F20EA" w14:textId="77777777" w:rsidTr="00955969">
        <w:tc>
          <w:tcPr>
            <w:tcW w:w="2154" w:type="dxa"/>
          </w:tcPr>
          <w:p w14:paraId="532132CA"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171" w:type="dxa"/>
          </w:tcPr>
          <w:p w14:paraId="3BA6610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B</w:t>
            </w:r>
          </w:p>
        </w:tc>
        <w:tc>
          <w:tcPr>
            <w:tcW w:w="983" w:type="dxa"/>
          </w:tcPr>
          <w:p w14:paraId="78E5F84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2971A8D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0.983</w:t>
            </w:r>
          </w:p>
        </w:tc>
        <w:tc>
          <w:tcPr>
            <w:tcW w:w="1366" w:type="dxa"/>
          </w:tcPr>
          <w:p w14:paraId="0867D24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11FA6C7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0.634</w:t>
            </w:r>
          </w:p>
        </w:tc>
      </w:tr>
      <w:tr w:rsidR="00F73B9F" w:rsidRPr="00802C34" w14:paraId="0F8568B9" w14:textId="77777777" w:rsidTr="00955969">
        <w:tc>
          <w:tcPr>
            <w:tcW w:w="2154" w:type="dxa"/>
          </w:tcPr>
          <w:p w14:paraId="783E802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Mahalanobis</w:t>
            </w:r>
          </w:p>
        </w:tc>
        <w:tc>
          <w:tcPr>
            <w:tcW w:w="1171" w:type="dxa"/>
          </w:tcPr>
          <w:p w14:paraId="10C66B0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A</w:t>
            </w:r>
          </w:p>
        </w:tc>
        <w:tc>
          <w:tcPr>
            <w:tcW w:w="983" w:type="dxa"/>
          </w:tcPr>
          <w:p w14:paraId="27039FF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511C8CB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1366" w:type="dxa"/>
          </w:tcPr>
          <w:p w14:paraId="4F4F14F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27E4CC7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r>
      <w:tr w:rsidR="00F73B9F" w:rsidRPr="00802C34" w14:paraId="6E549A17" w14:textId="77777777" w:rsidTr="00955969">
        <w:tc>
          <w:tcPr>
            <w:tcW w:w="2154" w:type="dxa"/>
          </w:tcPr>
          <w:p w14:paraId="0C0F331D"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171" w:type="dxa"/>
          </w:tcPr>
          <w:p w14:paraId="3E2891F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B</w:t>
            </w:r>
          </w:p>
        </w:tc>
        <w:tc>
          <w:tcPr>
            <w:tcW w:w="983" w:type="dxa"/>
          </w:tcPr>
          <w:p w14:paraId="35746D9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701" w:type="dxa"/>
          </w:tcPr>
          <w:p w14:paraId="4E9C66C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w:t>
            </w:r>
          </w:p>
        </w:tc>
        <w:tc>
          <w:tcPr>
            <w:tcW w:w="1366" w:type="dxa"/>
          </w:tcPr>
          <w:p w14:paraId="611F0FD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w:t>
            </w:r>
          </w:p>
        </w:tc>
        <w:tc>
          <w:tcPr>
            <w:tcW w:w="2160" w:type="dxa"/>
          </w:tcPr>
          <w:p w14:paraId="7FAEC1F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0.997</w:t>
            </w:r>
          </w:p>
        </w:tc>
      </w:tr>
    </w:tbl>
    <w:p w14:paraId="3EA85160"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Methods with zero delay and complete block detection also had high clean-data false-positive rates, so these metrics are informative only together with the false-positive rate.</w:t>
      </w:r>
    </w:p>
    <w:p w14:paraId="5A46B4CD"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Table S3. Secondary point-corruption scenarios</w:t>
      </w:r>
    </w:p>
    <w:p w14:paraId="65931003"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b/>
          <w:sz w:val="22"/>
          <w:szCs w:val="22"/>
        </w:rPr>
        <w:t xml:space="preserve">Table S3. </w:t>
      </w:r>
      <w:r>
        <w:rPr>
          <w:rFonts w:asciiTheme="majorBidi" w:hAnsiTheme="majorBidi" w:cstheme="majorBidi"/>
          <w:sz w:val="22"/>
          <w:szCs w:val="22"/>
        </w:rPr>
        <w:t>Median recall over five seeds for point corruption of 1% of evaluation rows (spike: multiplication by U(3, 10); decimal shift: ×10 or ×0.1) in one randomly chosen channel, with the clean-data false-positive rate. Each seed corrupted 2 rows in Reference A and 11 rows in Reference B, so recall is estimated from very few rows.</w:t>
      </w:r>
    </w:p>
    <w:tbl>
      <w:tblPr>
        <w:tblStyle w:val="TableGrid"/>
        <w:tblW w:w="0" w:type="auto"/>
        <w:tblLayout w:type="fixed"/>
        <w:tblLook w:val="04A0" w:firstRow="1" w:lastRow="0" w:firstColumn="1" w:lastColumn="0" w:noHBand="0" w:noVBand="1"/>
      </w:tblPr>
      <w:tblGrid>
        <w:gridCol w:w="2268"/>
        <w:gridCol w:w="2154"/>
        <w:gridCol w:w="2381"/>
        <w:gridCol w:w="2154"/>
      </w:tblGrid>
      <w:tr w:rsidR="00F73B9F" w:rsidRPr="00802C34" w14:paraId="0EB061FB" w14:textId="77777777" w:rsidTr="00E2060A">
        <w:tc>
          <w:tcPr>
            <w:tcW w:w="2268" w:type="dxa"/>
          </w:tcPr>
          <w:p w14:paraId="55DA206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Method</w:t>
            </w:r>
          </w:p>
        </w:tc>
        <w:tc>
          <w:tcPr>
            <w:tcW w:w="2154" w:type="dxa"/>
          </w:tcPr>
          <w:p w14:paraId="2C18E22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Recall, spike (A / B)</w:t>
            </w:r>
          </w:p>
        </w:tc>
        <w:tc>
          <w:tcPr>
            <w:tcW w:w="2381" w:type="dxa"/>
          </w:tcPr>
          <w:p w14:paraId="51AA00B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Recall, decimal shift (A / B)</w:t>
            </w:r>
          </w:p>
        </w:tc>
        <w:tc>
          <w:tcPr>
            <w:tcW w:w="2154" w:type="dxa"/>
          </w:tcPr>
          <w:p w14:paraId="01EA259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Clean-data FPR (A / B)</w:t>
            </w:r>
          </w:p>
        </w:tc>
      </w:tr>
      <w:tr w:rsidR="00F73B9F" w:rsidRPr="00802C34" w14:paraId="6F88B101" w14:textId="77777777" w:rsidTr="00E2060A">
        <w:tc>
          <w:tcPr>
            <w:tcW w:w="2268" w:type="dxa"/>
          </w:tcPr>
          <w:p w14:paraId="1FAB8B0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Physics–chronology</w:t>
            </w:r>
          </w:p>
        </w:tc>
        <w:tc>
          <w:tcPr>
            <w:tcW w:w="2154" w:type="dxa"/>
          </w:tcPr>
          <w:p w14:paraId="1301D99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0.909</w:t>
            </w:r>
          </w:p>
        </w:tc>
        <w:tc>
          <w:tcPr>
            <w:tcW w:w="2381" w:type="dxa"/>
          </w:tcPr>
          <w:p w14:paraId="490589B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2154" w:type="dxa"/>
          </w:tcPr>
          <w:p w14:paraId="74800D3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0.683 / 0.520</w:t>
            </w:r>
          </w:p>
        </w:tc>
      </w:tr>
      <w:tr w:rsidR="00F73B9F" w:rsidRPr="00802C34" w14:paraId="51499F0F" w14:textId="77777777" w:rsidTr="00E2060A">
        <w:tc>
          <w:tcPr>
            <w:tcW w:w="2268" w:type="dxa"/>
          </w:tcPr>
          <w:p w14:paraId="69FB571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Isolation Forest</w:t>
            </w:r>
          </w:p>
        </w:tc>
        <w:tc>
          <w:tcPr>
            <w:tcW w:w="2154" w:type="dxa"/>
          </w:tcPr>
          <w:p w14:paraId="6A49049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0.000 / 0.091</w:t>
            </w:r>
          </w:p>
        </w:tc>
        <w:tc>
          <w:tcPr>
            <w:tcW w:w="2381" w:type="dxa"/>
          </w:tcPr>
          <w:p w14:paraId="0E41082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0.000 / 0.091</w:t>
            </w:r>
          </w:p>
        </w:tc>
        <w:tc>
          <w:tcPr>
            <w:tcW w:w="2154" w:type="dxa"/>
          </w:tcPr>
          <w:p w14:paraId="6FE2224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0.036 / 0.096</w:t>
            </w:r>
          </w:p>
        </w:tc>
      </w:tr>
      <w:tr w:rsidR="00F73B9F" w:rsidRPr="00802C34" w14:paraId="059B1B7E" w14:textId="77777777" w:rsidTr="00E2060A">
        <w:tc>
          <w:tcPr>
            <w:tcW w:w="2268" w:type="dxa"/>
          </w:tcPr>
          <w:p w14:paraId="1067F52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lastRenderedPageBreak/>
              <w:t>Range/IQR</w:t>
            </w:r>
          </w:p>
        </w:tc>
        <w:tc>
          <w:tcPr>
            <w:tcW w:w="2154" w:type="dxa"/>
          </w:tcPr>
          <w:p w14:paraId="7F35299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2381" w:type="dxa"/>
          </w:tcPr>
          <w:p w14:paraId="358A78A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2154" w:type="dxa"/>
          </w:tcPr>
          <w:p w14:paraId="1C445C7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0.425 / 0.472</w:t>
            </w:r>
          </w:p>
        </w:tc>
      </w:tr>
      <w:tr w:rsidR="00F73B9F" w:rsidRPr="00802C34" w14:paraId="0070C2CE" w14:textId="77777777" w:rsidTr="00E2060A">
        <w:tc>
          <w:tcPr>
            <w:tcW w:w="2268" w:type="dxa"/>
          </w:tcPr>
          <w:p w14:paraId="2A7A6C5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z</w:t>
            </w:r>
          </w:p>
        </w:tc>
        <w:tc>
          <w:tcPr>
            <w:tcW w:w="2154" w:type="dxa"/>
          </w:tcPr>
          <w:p w14:paraId="359B2EF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2381" w:type="dxa"/>
          </w:tcPr>
          <w:p w14:paraId="1D652F5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2154" w:type="dxa"/>
          </w:tcPr>
          <w:p w14:paraId="4DD506C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0.982 / 0.634</w:t>
            </w:r>
          </w:p>
        </w:tc>
      </w:tr>
      <w:tr w:rsidR="00F73B9F" w:rsidRPr="00802C34" w14:paraId="12A90121" w14:textId="77777777" w:rsidTr="00E2060A">
        <w:tc>
          <w:tcPr>
            <w:tcW w:w="2268" w:type="dxa"/>
          </w:tcPr>
          <w:p w14:paraId="00EDFE2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Mahalanobis</w:t>
            </w:r>
          </w:p>
        </w:tc>
        <w:tc>
          <w:tcPr>
            <w:tcW w:w="2154" w:type="dxa"/>
          </w:tcPr>
          <w:p w14:paraId="453BE32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2381" w:type="dxa"/>
          </w:tcPr>
          <w:p w14:paraId="258725D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2154" w:type="dxa"/>
          </w:tcPr>
          <w:p w14:paraId="4CC3E80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0.997</w:t>
            </w:r>
          </w:p>
        </w:tc>
      </w:tr>
    </w:tbl>
    <w:p w14:paraId="789D0562"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Superiority of the physics–chronology detector was not required in these scenarios (Supplementary Protocol).</w:t>
      </w:r>
    </w:p>
    <w:p w14:paraId="3AE47BDC"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Table S4. Post hoc benchmark sensitivity analyses</w:t>
      </w:r>
    </w:p>
    <w:p w14:paraId="6A70791E"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b/>
          <w:sz w:val="22"/>
          <w:szCs w:val="22"/>
        </w:rPr>
        <w:t xml:space="preserve">Table S4A. </w:t>
      </w:r>
      <w:r>
        <w:rPr>
          <w:rFonts w:asciiTheme="majorBidi" w:hAnsiTheme="majorBidi" w:cstheme="majorBidi"/>
          <w:sz w:val="22"/>
          <w:szCs w:val="22"/>
        </w:rPr>
        <w:t>Post hoc variants of the four statistical detectors (not part of the pre-specified protocol). V1 excludes the four cumulative counters unless they form part of the swapped pair; V2 fits and evaluates each detector on the two swapped channels only and therefore assumes knowledge of which channels were exchanged. Clean-data FPR is the median over the five pair-specific channel sets; median recall is over the 20 swap scenarios of each reference set; the last column counts scenarios (of 40) with recall ≥ 0.90 and FPR ≤ 0.05, using medians over five seeds.</w:t>
      </w:r>
    </w:p>
    <w:tbl>
      <w:tblPr>
        <w:tblStyle w:val="TableGrid"/>
        <w:tblW w:w="0" w:type="auto"/>
        <w:tblLayout w:type="fixed"/>
        <w:tblLook w:val="04A0" w:firstRow="1" w:lastRow="0" w:firstColumn="1" w:lastColumn="0" w:noHBand="0" w:noVBand="1"/>
      </w:tblPr>
      <w:tblGrid>
        <w:gridCol w:w="2041"/>
        <w:gridCol w:w="1814"/>
        <w:gridCol w:w="1814"/>
        <w:gridCol w:w="1814"/>
        <w:gridCol w:w="1701"/>
      </w:tblGrid>
      <w:tr w:rsidR="00F73B9F" w:rsidRPr="00802C34" w14:paraId="3BC4CBBD" w14:textId="77777777" w:rsidTr="00E2060A">
        <w:tc>
          <w:tcPr>
            <w:tcW w:w="2041" w:type="dxa"/>
          </w:tcPr>
          <w:p w14:paraId="77E357B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Variant</w:t>
            </w:r>
          </w:p>
        </w:tc>
        <w:tc>
          <w:tcPr>
            <w:tcW w:w="1814" w:type="dxa"/>
          </w:tcPr>
          <w:p w14:paraId="67A86C2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Detector</w:t>
            </w:r>
          </w:p>
        </w:tc>
        <w:tc>
          <w:tcPr>
            <w:tcW w:w="1814" w:type="dxa"/>
          </w:tcPr>
          <w:p w14:paraId="434922C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Clean-data FPR (A / B)</w:t>
            </w:r>
          </w:p>
        </w:tc>
        <w:tc>
          <w:tcPr>
            <w:tcW w:w="1814" w:type="dxa"/>
          </w:tcPr>
          <w:p w14:paraId="67C8F32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Median recall (A / B)</w:t>
            </w:r>
          </w:p>
        </w:tc>
        <w:tc>
          <w:tcPr>
            <w:tcW w:w="1701" w:type="dxa"/>
          </w:tcPr>
          <w:p w14:paraId="23241EF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Scenarios meeting both thresholds</w:t>
            </w:r>
          </w:p>
        </w:tc>
      </w:tr>
      <w:tr w:rsidR="00F73B9F" w:rsidRPr="00802C34" w14:paraId="3BA09257" w14:textId="77777777" w:rsidTr="00E2060A">
        <w:tc>
          <w:tcPr>
            <w:tcW w:w="2041" w:type="dxa"/>
          </w:tcPr>
          <w:p w14:paraId="07C8DB9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V1: without counters</w:t>
            </w:r>
          </w:p>
        </w:tc>
        <w:tc>
          <w:tcPr>
            <w:tcW w:w="1814" w:type="dxa"/>
          </w:tcPr>
          <w:p w14:paraId="3F9DFA9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Isolation Forest</w:t>
            </w:r>
          </w:p>
        </w:tc>
        <w:tc>
          <w:tcPr>
            <w:tcW w:w="1814" w:type="dxa"/>
          </w:tcPr>
          <w:p w14:paraId="2AA3438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0.045 / 0.082</w:t>
            </w:r>
          </w:p>
        </w:tc>
        <w:tc>
          <w:tcPr>
            <w:tcW w:w="1814" w:type="dxa"/>
          </w:tcPr>
          <w:p w14:paraId="54636A1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0.034 / 0.092</w:t>
            </w:r>
          </w:p>
        </w:tc>
        <w:tc>
          <w:tcPr>
            <w:tcW w:w="1701" w:type="dxa"/>
          </w:tcPr>
          <w:p w14:paraId="04EAB7F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0/40</w:t>
            </w:r>
          </w:p>
        </w:tc>
      </w:tr>
      <w:tr w:rsidR="00F73B9F" w:rsidRPr="00802C34" w14:paraId="51CB0597" w14:textId="77777777" w:rsidTr="00E2060A">
        <w:tc>
          <w:tcPr>
            <w:tcW w:w="2041" w:type="dxa"/>
          </w:tcPr>
          <w:p w14:paraId="1A1AE701"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814" w:type="dxa"/>
          </w:tcPr>
          <w:p w14:paraId="151CCB3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Range/IQR</w:t>
            </w:r>
          </w:p>
        </w:tc>
        <w:tc>
          <w:tcPr>
            <w:tcW w:w="1814" w:type="dxa"/>
          </w:tcPr>
          <w:p w14:paraId="0CAC92C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0.081 / 0.472</w:t>
            </w:r>
          </w:p>
        </w:tc>
        <w:tc>
          <w:tcPr>
            <w:tcW w:w="1814" w:type="dxa"/>
          </w:tcPr>
          <w:p w14:paraId="5387FD6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0.884</w:t>
            </w:r>
          </w:p>
        </w:tc>
        <w:tc>
          <w:tcPr>
            <w:tcW w:w="1701" w:type="dxa"/>
          </w:tcPr>
          <w:p w14:paraId="2310AD0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2/40</w:t>
            </w:r>
          </w:p>
        </w:tc>
      </w:tr>
      <w:tr w:rsidR="00F73B9F" w:rsidRPr="00802C34" w14:paraId="6F9549F2" w14:textId="77777777" w:rsidTr="00E2060A">
        <w:tc>
          <w:tcPr>
            <w:tcW w:w="2041" w:type="dxa"/>
          </w:tcPr>
          <w:p w14:paraId="74A24B18"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814" w:type="dxa"/>
          </w:tcPr>
          <w:p w14:paraId="1127BE6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z</w:t>
            </w:r>
          </w:p>
        </w:tc>
        <w:tc>
          <w:tcPr>
            <w:tcW w:w="1814" w:type="dxa"/>
          </w:tcPr>
          <w:p w14:paraId="3CBF16A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0.964 / 0.575</w:t>
            </w:r>
          </w:p>
        </w:tc>
        <w:tc>
          <w:tcPr>
            <w:tcW w:w="1814" w:type="dxa"/>
          </w:tcPr>
          <w:p w14:paraId="09D5043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0.952</w:t>
            </w:r>
          </w:p>
        </w:tc>
        <w:tc>
          <w:tcPr>
            <w:tcW w:w="1701" w:type="dxa"/>
          </w:tcPr>
          <w:p w14:paraId="4C0ED1D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0/40</w:t>
            </w:r>
          </w:p>
        </w:tc>
      </w:tr>
      <w:tr w:rsidR="00F73B9F" w:rsidRPr="00802C34" w14:paraId="3702BFDC" w14:textId="77777777" w:rsidTr="00E2060A">
        <w:tc>
          <w:tcPr>
            <w:tcW w:w="2041" w:type="dxa"/>
          </w:tcPr>
          <w:p w14:paraId="4D42BA21"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814" w:type="dxa"/>
          </w:tcPr>
          <w:p w14:paraId="13EB6F8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Mahalanobis</w:t>
            </w:r>
          </w:p>
        </w:tc>
        <w:tc>
          <w:tcPr>
            <w:tcW w:w="1814" w:type="dxa"/>
          </w:tcPr>
          <w:p w14:paraId="4A21C12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0.995 / 0.952</w:t>
            </w:r>
          </w:p>
        </w:tc>
        <w:tc>
          <w:tcPr>
            <w:tcW w:w="1814" w:type="dxa"/>
          </w:tcPr>
          <w:p w14:paraId="0BFC5A8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1701" w:type="dxa"/>
          </w:tcPr>
          <w:p w14:paraId="6B29A09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0/40</w:t>
            </w:r>
          </w:p>
        </w:tc>
      </w:tr>
      <w:tr w:rsidR="00F73B9F" w:rsidRPr="00802C34" w14:paraId="2899DAB9" w14:textId="77777777" w:rsidTr="00E2060A">
        <w:tc>
          <w:tcPr>
            <w:tcW w:w="2041" w:type="dxa"/>
          </w:tcPr>
          <w:p w14:paraId="7F87304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V2: swapped pair only</w:t>
            </w:r>
          </w:p>
        </w:tc>
        <w:tc>
          <w:tcPr>
            <w:tcW w:w="1814" w:type="dxa"/>
          </w:tcPr>
          <w:p w14:paraId="0053764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Isolation Forest</w:t>
            </w:r>
          </w:p>
        </w:tc>
        <w:tc>
          <w:tcPr>
            <w:tcW w:w="1814" w:type="dxa"/>
          </w:tcPr>
          <w:p w14:paraId="1CED1FB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0.072 / 0.082</w:t>
            </w:r>
          </w:p>
        </w:tc>
        <w:tc>
          <w:tcPr>
            <w:tcW w:w="1814" w:type="dxa"/>
          </w:tcPr>
          <w:p w14:paraId="4FE58EF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0.975 / 1.000</w:t>
            </w:r>
          </w:p>
        </w:tc>
        <w:tc>
          <w:tcPr>
            <w:tcW w:w="1701" w:type="dxa"/>
          </w:tcPr>
          <w:p w14:paraId="34AB3EE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2/40</w:t>
            </w:r>
          </w:p>
        </w:tc>
      </w:tr>
      <w:tr w:rsidR="00F73B9F" w:rsidRPr="00802C34" w14:paraId="34C4F7C3" w14:textId="77777777" w:rsidTr="00E2060A">
        <w:tc>
          <w:tcPr>
            <w:tcW w:w="2041" w:type="dxa"/>
          </w:tcPr>
          <w:p w14:paraId="3168AFC5"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814" w:type="dxa"/>
          </w:tcPr>
          <w:p w14:paraId="182BD3C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Range/IQR</w:t>
            </w:r>
          </w:p>
        </w:tc>
        <w:tc>
          <w:tcPr>
            <w:tcW w:w="1814" w:type="dxa"/>
          </w:tcPr>
          <w:p w14:paraId="6467A65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0.009 / 0.003</w:t>
            </w:r>
          </w:p>
        </w:tc>
        <w:tc>
          <w:tcPr>
            <w:tcW w:w="1814" w:type="dxa"/>
          </w:tcPr>
          <w:p w14:paraId="77657B3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0.831</w:t>
            </w:r>
          </w:p>
        </w:tc>
        <w:tc>
          <w:tcPr>
            <w:tcW w:w="1701" w:type="dxa"/>
          </w:tcPr>
          <w:p w14:paraId="0B3614B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17/40</w:t>
            </w:r>
          </w:p>
        </w:tc>
      </w:tr>
      <w:tr w:rsidR="00F73B9F" w:rsidRPr="00802C34" w14:paraId="1D8DFC23" w14:textId="77777777" w:rsidTr="00E2060A">
        <w:tc>
          <w:tcPr>
            <w:tcW w:w="2041" w:type="dxa"/>
          </w:tcPr>
          <w:p w14:paraId="0361BA6D"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814" w:type="dxa"/>
          </w:tcPr>
          <w:p w14:paraId="57399F1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z</w:t>
            </w:r>
          </w:p>
        </w:tc>
        <w:tc>
          <w:tcPr>
            <w:tcW w:w="1814" w:type="dxa"/>
          </w:tcPr>
          <w:p w14:paraId="589A3297"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0.068 / 0.101</w:t>
            </w:r>
          </w:p>
        </w:tc>
        <w:tc>
          <w:tcPr>
            <w:tcW w:w="1814" w:type="dxa"/>
          </w:tcPr>
          <w:p w14:paraId="2E93ABE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0.905</w:t>
            </w:r>
          </w:p>
        </w:tc>
        <w:tc>
          <w:tcPr>
            <w:tcW w:w="1701" w:type="dxa"/>
          </w:tcPr>
          <w:p w14:paraId="723605E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12/40</w:t>
            </w:r>
          </w:p>
        </w:tc>
      </w:tr>
      <w:tr w:rsidR="00F73B9F" w:rsidRPr="00802C34" w14:paraId="06F9F7DF" w14:textId="77777777" w:rsidTr="00E2060A">
        <w:tc>
          <w:tcPr>
            <w:tcW w:w="2041" w:type="dxa"/>
          </w:tcPr>
          <w:p w14:paraId="6B0E969D" w14:textId="77777777" w:rsidR="00F73B9F" w:rsidRPr="00802C34" w:rsidRDefault="00F73B9F" w:rsidP="00802C34">
            <w:pPr>
              <w:spacing w:after="160" w:line="360" w:lineRule="auto"/>
              <w:jc w:val="lowKashida"/>
              <w:rPr>
                <w:rFonts w:asciiTheme="majorBidi" w:hAnsiTheme="majorBidi" w:cstheme="majorBidi"/>
                <w:sz w:val="22"/>
                <w:szCs w:val="22"/>
              </w:rPr>
            </w:pPr>
          </w:p>
        </w:tc>
        <w:tc>
          <w:tcPr>
            <w:tcW w:w="1814" w:type="dxa"/>
          </w:tcPr>
          <w:p w14:paraId="29B5055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Mahalanobis</w:t>
            </w:r>
          </w:p>
        </w:tc>
        <w:tc>
          <w:tcPr>
            <w:tcW w:w="1814" w:type="dxa"/>
          </w:tcPr>
          <w:p w14:paraId="2099A6B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0.127 / 0.263</w:t>
            </w:r>
          </w:p>
        </w:tc>
        <w:tc>
          <w:tcPr>
            <w:tcW w:w="1814" w:type="dxa"/>
          </w:tcPr>
          <w:p w14:paraId="419D1CA9"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1.000 / 1.000</w:t>
            </w:r>
          </w:p>
        </w:tc>
        <w:tc>
          <w:tcPr>
            <w:tcW w:w="1701" w:type="dxa"/>
          </w:tcPr>
          <w:p w14:paraId="43614DF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5/40</w:t>
            </w:r>
          </w:p>
        </w:tc>
      </w:tr>
    </w:tbl>
    <w:p w14:paraId="3EA6DD62" w14:textId="77777777" w:rsidR="00F73B9F" w:rsidRPr="00802C34" w:rsidRDefault="00F73B9F" w:rsidP="00802C34">
      <w:pPr>
        <w:spacing w:line="360" w:lineRule="auto"/>
        <w:jc w:val="lowKashida"/>
        <w:rPr>
          <w:rFonts w:asciiTheme="majorBidi" w:hAnsiTheme="majorBidi" w:cstheme="majorBidi"/>
          <w:sz w:val="22"/>
          <w:szCs w:val="22"/>
        </w:rPr>
      </w:pPr>
    </w:p>
    <w:p w14:paraId="2287DB5C"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b/>
          <w:sz w:val="22"/>
          <w:szCs w:val="22"/>
        </w:rPr>
        <w:t xml:space="preserve">Table S4B. </w:t>
      </w:r>
      <w:r>
        <w:rPr>
          <w:rFonts w:asciiTheme="majorBidi" w:hAnsiTheme="majorBidi" w:cstheme="majorBidi"/>
          <w:sz w:val="22"/>
          <w:szCs w:val="22"/>
        </w:rPr>
        <w:t>Variant V2: number of scenarios (of 8 per pair: four patterns × two references) meeting both thresholds, by swapped pair.</w:t>
      </w:r>
    </w:p>
    <w:tbl>
      <w:tblPr>
        <w:tblStyle w:val="TableGrid"/>
        <w:tblW w:w="0" w:type="auto"/>
        <w:tblLayout w:type="fixed"/>
        <w:tblLook w:val="04A0" w:firstRow="1" w:lastRow="0" w:firstColumn="1" w:lastColumn="0" w:noHBand="0" w:noVBand="1"/>
      </w:tblPr>
      <w:tblGrid>
        <w:gridCol w:w="1814"/>
        <w:gridCol w:w="1247"/>
        <w:gridCol w:w="1361"/>
        <w:gridCol w:w="1361"/>
        <w:gridCol w:w="1134"/>
        <w:gridCol w:w="1361"/>
        <w:gridCol w:w="1020"/>
      </w:tblGrid>
      <w:tr w:rsidR="00F73B9F" w:rsidRPr="00802C34" w14:paraId="6A7D4781" w14:textId="77777777" w:rsidTr="00E2060A">
        <w:tc>
          <w:tcPr>
            <w:tcW w:w="1814" w:type="dxa"/>
          </w:tcPr>
          <w:p w14:paraId="50F71B5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lastRenderedPageBreak/>
              <w:t>Detector</w:t>
            </w:r>
          </w:p>
        </w:tc>
        <w:tc>
          <w:tcPr>
            <w:tcW w:w="1247" w:type="dxa"/>
          </w:tcPr>
          <w:p w14:paraId="32E06D9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T₁ ↔ start count</w:t>
            </w:r>
          </w:p>
        </w:tc>
        <w:tc>
          <w:tcPr>
            <w:tcW w:w="1361" w:type="dxa"/>
          </w:tcPr>
          <w:p w14:paraId="66D8E7E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T₁ ↔ ceiling temperature</w:t>
            </w:r>
          </w:p>
        </w:tc>
        <w:tc>
          <w:tcPr>
            <w:tcW w:w="1361" w:type="dxa"/>
          </w:tcPr>
          <w:p w14:paraId="2A46B0D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Gas-fuel flow ↔ average T₅</w:t>
            </w:r>
          </w:p>
        </w:tc>
        <w:tc>
          <w:tcPr>
            <w:tcW w:w="1134" w:type="dxa"/>
          </w:tcPr>
          <w:p w14:paraId="74FBDD7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T₅#2 ↔ T₅#5</w:t>
            </w:r>
          </w:p>
        </w:tc>
        <w:tc>
          <w:tcPr>
            <w:tcW w:w="1361" w:type="dxa"/>
          </w:tcPr>
          <w:p w14:paraId="7D6CB7A8"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DE ↔ NDE bearing temperature</w:t>
            </w:r>
          </w:p>
        </w:tc>
        <w:tc>
          <w:tcPr>
            <w:tcW w:w="1020" w:type="dxa"/>
          </w:tcPr>
          <w:p w14:paraId="4ECEB18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b/>
                <w:sz w:val="22"/>
                <w:szCs w:val="22"/>
              </w:rPr>
              <w:t>Total (of 40)</w:t>
            </w:r>
          </w:p>
        </w:tc>
      </w:tr>
      <w:tr w:rsidR="00F73B9F" w:rsidRPr="00802C34" w14:paraId="17520AB9" w14:textId="77777777" w:rsidTr="00E2060A">
        <w:tc>
          <w:tcPr>
            <w:tcW w:w="1814" w:type="dxa"/>
          </w:tcPr>
          <w:p w14:paraId="632D1A4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Isolation Forest</w:t>
            </w:r>
          </w:p>
        </w:tc>
        <w:tc>
          <w:tcPr>
            <w:tcW w:w="1247" w:type="dxa"/>
          </w:tcPr>
          <w:p w14:paraId="5456A7C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w:t>
            </w:r>
          </w:p>
        </w:tc>
        <w:tc>
          <w:tcPr>
            <w:tcW w:w="1361" w:type="dxa"/>
          </w:tcPr>
          <w:p w14:paraId="1B706DA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w:t>
            </w:r>
          </w:p>
        </w:tc>
        <w:tc>
          <w:tcPr>
            <w:tcW w:w="1361" w:type="dxa"/>
          </w:tcPr>
          <w:p w14:paraId="432B0452"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134" w:type="dxa"/>
          </w:tcPr>
          <w:p w14:paraId="64518C2A"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361" w:type="dxa"/>
          </w:tcPr>
          <w:p w14:paraId="277B00F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020" w:type="dxa"/>
          </w:tcPr>
          <w:p w14:paraId="34E02E0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2</w:t>
            </w:r>
          </w:p>
        </w:tc>
      </w:tr>
      <w:tr w:rsidR="00F73B9F" w:rsidRPr="00802C34" w14:paraId="641F9ADC" w14:textId="77777777" w:rsidTr="00E2060A">
        <w:tc>
          <w:tcPr>
            <w:tcW w:w="1814" w:type="dxa"/>
          </w:tcPr>
          <w:p w14:paraId="417228A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Range/IQR</w:t>
            </w:r>
          </w:p>
        </w:tc>
        <w:tc>
          <w:tcPr>
            <w:tcW w:w="1247" w:type="dxa"/>
          </w:tcPr>
          <w:p w14:paraId="538F945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c>
          <w:tcPr>
            <w:tcW w:w="1361" w:type="dxa"/>
          </w:tcPr>
          <w:p w14:paraId="463BCF5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8</w:t>
            </w:r>
          </w:p>
        </w:tc>
        <w:tc>
          <w:tcPr>
            <w:tcW w:w="1361" w:type="dxa"/>
          </w:tcPr>
          <w:p w14:paraId="7F8DF36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4</w:t>
            </w:r>
          </w:p>
        </w:tc>
        <w:tc>
          <w:tcPr>
            <w:tcW w:w="1134" w:type="dxa"/>
          </w:tcPr>
          <w:p w14:paraId="03BEA19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361" w:type="dxa"/>
          </w:tcPr>
          <w:p w14:paraId="434AC1B4"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020" w:type="dxa"/>
          </w:tcPr>
          <w:p w14:paraId="25F5DCA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17</w:t>
            </w:r>
          </w:p>
        </w:tc>
      </w:tr>
      <w:tr w:rsidR="00F73B9F" w:rsidRPr="00802C34" w14:paraId="53D5819B" w14:textId="77777777" w:rsidTr="00E2060A">
        <w:tc>
          <w:tcPr>
            <w:tcW w:w="1814" w:type="dxa"/>
          </w:tcPr>
          <w:p w14:paraId="2B84C4B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z</w:t>
            </w:r>
          </w:p>
        </w:tc>
        <w:tc>
          <w:tcPr>
            <w:tcW w:w="1247" w:type="dxa"/>
          </w:tcPr>
          <w:p w14:paraId="1F7C3FD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w:t>
            </w:r>
          </w:p>
        </w:tc>
        <w:tc>
          <w:tcPr>
            <w:tcW w:w="1361" w:type="dxa"/>
          </w:tcPr>
          <w:p w14:paraId="7CA9988E"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4</w:t>
            </w:r>
          </w:p>
        </w:tc>
        <w:tc>
          <w:tcPr>
            <w:tcW w:w="1361" w:type="dxa"/>
          </w:tcPr>
          <w:p w14:paraId="114E790C"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7</w:t>
            </w:r>
          </w:p>
        </w:tc>
        <w:tc>
          <w:tcPr>
            <w:tcW w:w="1134" w:type="dxa"/>
          </w:tcPr>
          <w:p w14:paraId="0A8685C6"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361" w:type="dxa"/>
          </w:tcPr>
          <w:p w14:paraId="65C6AA2F"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020" w:type="dxa"/>
          </w:tcPr>
          <w:p w14:paraId="117BC231"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12</w:t>
            </w:r>
          </w:p>
        </w:tc>
      </w:tr>
      <w:tr w:rsidR="00F73B9F" w:rsidRPr="00802C34" w14:paraId="14AE81FC" w14:textId="77777777" w:rsidTr="00E2060A">
        <w:tc>
          <w:tcPr>
            <w:tcW w:w="1814" w:type="dxa"/>
          </w:tcPr>
          <w:p w14:paraId="40D9ECC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Robust Mahalanobis</w:t>
            </w:r>
          </w:p>
        </w:tc>
        <w:tc>
          <w:tcPr>
            <w:tcW w:w="1247" w:type="dxa"/>
          </w:tcPr>
          <w:p w14:paraId="035E57FB"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361" w:type="dxa"/>
          </w:tcPr>
          <w:p w14:paraId="5561F40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w:t>
            </w:r>
          </w:p>
        </w:tc>
        <w:tc>
          <w:tcPr>
            <w:tcW w:w="1361" w:type="dxa"/>
          </w:tcPr>
          <w:p w14:paraId="29DC7595"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134" w:type="dxa"/>
          </w:tcPr>
          <w:p w14:paraId="0997AD53"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w:t>
            </w:r>
          </w:p>
        </w:tc>
        <w:tc>
          <w:tcPr>
            <w:tcW w:w="1361" w:type="dxa"/>
          </w:tcPr>
          <w:p w14:paraId="1AE0F49D"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4</w:t>
            </w:r>
          </w:p>
        </w:tc>
        <w:tc>
          <w:tcPr>
            <w:tcW w:w="1020" w:type="dxa"/>
          </w:tcPr>
          <w:p w14:paraId="4314EC00" w14:textId="77777777" w:rsidR="00F73B9F" w:rsidRPr="00802C34" w:rsidRDefault="00F73B9F" w:rsidP="00802C34">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5</w:t>
            </w:r>
          </w:p>
        </w:tc>
      </w:tr>
    </w:tbl>
    <w:p w14:paraId="05BD6D0D"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t>Successes were confined to pairs whose channels occupy distinct numerical ranges, except for robust Mahalanobis on the DE ↔ NDE pair; no variant detected the exchange of two T₅ thermocouples.</w:t>
      </w:r>
    </w:p>
    <w:p w14:paraId="4F0D50A8"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br w:type="page"/>
      </w:r>
    </w:p>
    <w:p w14:paraId="4CDC1B11"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lastRenderedPageBreak/>
        <w:t>Figures S1–S8</w:t>
      </w:r>
    </w:p>
    <w:p w14:paraId="33073371"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2FC3CAC1" wp14:editId="05461EE4">
            <wp:extent cx="3671315" cy="1911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_temporal_availability.png"/>
                    <pic:cNvPicPr/>
                  </pic:nvPicPr>
                  <pic:blipFill>
                    <a:blip r:embed="rId5"/>
                    <a:stretch>
                      <a:fillRect/>
                    </a:stretch>
                  </pic:blipFill>
                  <pic:spPr>
                    <a:xfrm>
                      <a:off x="0" y="0"/>
                      <a:ext cx="3671315" cy="1911095"/>
                    </a:xfrm>
                    <a:prstGeom prst="rect">
                      <a:avLst/>
                    </a:prstGeom>
                  </pic:spPr>
                </pic:pic>
              </a:graphicData>
            </a:graphic>
          </wp:inline>
        </w:drawing>
      </w:r>
    </w:p>
    <w:p w14:paraId="364D4ED7"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Fig. S1. </w:t>
      </w:r>
      <w:r>
        <w:rPr>
          <w:rFonts w:asciiTheme="majorBidi" w:hAnsiTheme="majorBidi" w:cstheme="majorBidi"/>
          <w:sz w:val="22"/>
          <w:szCs w:val="22"/>
        </w:rPr>
        <w:t>Daily availability of hourly records, running hours (P &gt; 200 kW), and load-stable hours over the study period.</w:t>
      </w:r>
    </w:p>
    <w:p w14:paraId="4ED6714F"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6E1BBCF5" wp14:editId="392D02AF">
            <wp:extent cx="3902964" cy="17967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_intermittent_transposition_by_sheet.png"/>
                    <pic:cNvPicPr/>
                  </pic:nvPicPr>
                  <pic:blipFill>
                    <a:blip r:embed="rId6"/>
                    <a:stretch>
                      <a:fillRect/>
                    </a:stretch>
                  </pic:blipFill>
                  <pic:spPr>
                    <a:xfrm>
                      <a:off x="0" y="0"/>
                      <a:ext cx="3902964" cy="1796796"/>
                    </a:xfrm>
                    <a:prstGeom prst="rect">
                      <a:avLst/>
                    </a:prstGeom>
                  </pic:spPr>
                </pic:pic>
              </a:graphicData>
            </a:graphic>
          </wp:inline>
        </w:drawing>
      </w:r>
    </w:p>
    <w:p w14:paraId="13C5D06C"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Fig. S2. </w:t>
      </w:r>
      <w:r>
        <w:rPr>
          <w:rFonts w:asciiTheme="majorBidi" w:hAnsiTheme="majorBidi" w:cstheme="majorBidi"/>
          <w:sz w:val="22"/>
          <w:szCs w:val="22"/>
        </w:rPr>
        <w:t>Layout of the T</w:t>
      </w:r>
      <w:r>
        <w:rPr>
          <w:rFonts w:asciiTheme="majorBidi" w:hAnsiTheme="majorBidi" w:cstheme="majorBidi"/>
          <w:sz w:val="22"/>
          <w:szCs w:val="22"/>
          <w:vertAlign w:val="subscript"/>
        </w:rPr>
        <w:t>1</w:t>
      </w:r>
      <w:r>
        <w:rPr>
          <w:rFonts w:asciiTheme="majorBidi" w:hAnsiTheme="majorBidi" w:cstheme="majorBidi"/>
          <w:sz w:val="22"/>
          <w:szCs w:val="22"/>
        </w:rPr>
        <w:t>/start-count rows in each shift worksheet containing data in either row. Transposition was intermittent at the worksheet level rather than a single continuous period.</w:t>
      </w:r>
    </w:p>
    <w:p w14:paraId="26D98837"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0ECCBAD6" wp14:editId="5F284D40">
            <wp:extent cx="2694432" cy="2278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3_T1_vs_ceiling_temperature.png"/>
                    <pic:cNvPicPr/>
                  </pic:nvPicPr>
                  <pic:blipFill>
                    <a:blip r:embed="rId7"/>
                    <a:stretch>
                      <a:fillRect/>
                    </a:stretch>
                  </pic:blipFill>
                  <pic:spPr>
                    <a:xfrm>
                      <a:off x="0" y="0"/>
                      <a:ext cx="2694432" cy="2278380"/>
                    </a:xfrm>
                    <a:prstGeom prst="rect">
                      <a:avLst/>
                    </a:prstGeom>
                  </pic:spPr>
                </pic:pic>
              </a:graphicData>
            </a:graphic>
          </wp:inline>
        </w:drawing>
      </w:r>
    </w:p>
    <w:p w14:paraId="024B7CAD" w14:textId="4F89CCF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Fig. S3. </w:t>
      </w:r>
      <w:r>
        <w:rPr>
          <w:rFonts w:asciiTheme="majorBidi" w:hAnsiTheme="majorBidi" w:cstheme="majorBidi"/>
          <w:sz w:val="22"/>
          <w:szCs w:val="22"/>
        </w:rPr>
        <w:t>Reconstructed T</w:t>
      </w:r>
      <w:r>
        <w:rPr>
          <w:rFonts w:asciiTheme="majorBidi" w:hAnsiTheme="majorBidi" w:cstheme="majorBidi"/>
          <w:sz w:val="22"/>
          <w:szCs w:val="22"/>
          <w:vertAlign w:val="subscript"/>
        </w:rPr>
        <w:t>1</w:t>
      </w:r>
      <w:r>
        <w:rPr>
          <w:rFonts w:asciiTheme="majorBidi" w:hAnsiTheme="majorBidi" w:cstheme="majorBidi"/>
          <w:sz w:val="22"/>
          <w:szCs w:val="22"/>
        </w:rPr>
        <w:t xml:space="preserve"> versus ceiling (enclosure) temperature in the complete-case stable sample (n = 1,460; r = 0.82)</w:t>
      </w:r>
      <w:r w:rsidR="00955969">
        <w:rPr>
          <w:rFonts w:asciiTheme="majorBidi" w:hAnsiTheme="majorBidi" w:cstheme="majorBidi"/>
          <w:sz w:val="22"/>
          <w:szCs w:val="22"/>
        </w:rPr>
        <w:t>—dotted</w:t>
      </w:r>
      <w:r>
        <w:rPr>
          <w:rFonts w:asciiTheme="majorBidi" w:hAnsiTheme="majorBidi" w:cstheme="majorBidi"/>
          <w:sz w:val="22"/>
          <w:szCs w:val="22"/>
        </w:rPr>
        <w:t xml:space="preserve"> line: 1:1; dashed line: 1:1 plus the mean offset δ = 17.6 °C.</w:t>
      </w:r>
    </w:p>
    <w:p w14:paraId="24FAB265"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28288238" wp14:editId="35185C63">
            <wp:extent cx="3756659" cy="19248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4_counter_identity.png"/>
                    <pic:cNvPicPr/>
                  </pic:nvPicPr>
                  <pic:blipFill>
                    <a:blip r:embed="rId8"/>
                    <a:stretch>
                      <a:fillRect/>
                    </a:stretch>
                  </pic:blipFill>
                  <pic:spPr>
                    <a:xfrm>
                      <a:off x="0" y="0"/>
                      <a:ext cx="3756659" cy="1924812"/>
                    </a:xfrm>
                    <a:prstGeom prst="rect">
                      <a:avLst/>
                    </a:prstGeom>
                  </pic:spPr>
                </pic:pic>
              </a:graphicData>
            </a:graphic>
          </wp:inline>
        </w:drawing>
      </w:r>
    </w:p>
    <w:p w14:paraId="409A935A"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Fig. S4. </w:t>
      </w:r>
      <w:r>
        <w:rPr>
          <w:rFonts w:asciiTheme="majorBidi" w:hAnsiTheme="majorBidi" w:cstheme="majorBidi"/>
          <w:sz w:val="22"/>
          <w:szCs w:val="22"/>
        </w:rPr>
        <w:t>Counter identity H</w:t>
      </w:r>
      <w:r>
        <w:rPr>
          <w:rFonts w:asciiTheme="majorBidi" w:hAnsiTheme="majorBidi" w:cstheme="majorBidi"/>
          <w:sz w:val="22"/>
          <w:szCs w:val="22"/>
          <w:vertAlign w:val="subscript"/>
        </w:rPr>
        <w:t>T</w:t>
      </w:r>
      <w:r>
        <w:rPr>
          <w:rFonts w:asciiTheme="majorBidi" w:hAnsiTheme="majorBidi" w:cstheme="majorBidi"/>
          <w:sz w:val="22"/>
          <w:szCs w:val="22"/>
        </w:rPr>
        <w:t xml:space="preserve"> − H</w:t>
      </w:r>
      <w:r>
        <w:rPr>
          <w:rFonts w:asciiTheme="majorBidi" w:hAnsiTheme="majorBidi" w:cstheme="majorBidi"/>
          <w:sz w:val="22"/>
          <w:szCs w:val="22"/>
          <w:vertAlign w:val="subscript"/>
        </w:rPr>
        <w:t>G</w:t>
      </w:r>
      <w:r>
        <w:rPr>
          <w:rFonts w:asciiTheme="majorBidi" w:hAnsiTheme="majorBidi" w:cstheme="majorBidi"/>
          <w:sz w:val="22"/>
          <w:szCs w:val="22"/>
        </w:rPr>
        <w:t xml:space="preserve"> − H</w:t>
      </w:r>
      <w:r>
        <w:rPr>
          <w:rFonts w:asciiTheme="majorBidi" w:hAnsiTheme="majorBidi" w:cstheme="majorBidi"/>
          <w:sz w:val="22"/>
          <w:szCs w:val="22"/>
          <w:vertAlign w:val="subscript"/>
        </w:rPr>
        <w:t>L</w:t>
      </w:r>
      <w:r>
        <w:rPr>
          <w:rFonts w:asciiTheme="majorBidi" w:hAnsiTheme="majorBidi" w:cstheme="majorBidi"/>
          <w:sz w:val="22"/>
          <w:szCs w:val="22"/>
        </w:rPr>
        <w:t xml:space="preserve"> (turbine hours minus gas- and liquid-fuel-fired hours). (a) As recorded (symmetric-log scale). (b) After rule R06 (median 45 h, s.d. 1.6 h). Short residual excursions and a slow drift of about 3 h remain and are reported rather than corrected.</w:t>
      </w:r>
    </w:p>
    <w:p w14:paraId="0513B931"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029D04BB" wp14:editId="5CCB2757">
            <wp:extent cx="3718559" cy="21732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5_residual_inbound_gross_errors.png"/>
                    <pic:cNvPicPr/>
                  </pic:nvPicPr>
                  <pic:blipFill>
                    <a:blip r:embed="rId9"/>
                    <a:stretch>
                      <a:fillRect/>
                    </a:stretch>
                  </pic:blipFill>
                  <pic:spPr>
                    <a:xfrm>
                      <a:off x="0" y="0"/>
                      <a:ext cx="3718559" cy="2173224"/>
                    </a:xfrm>
                    <a:prstGeom prst="rect">
                      <a:avLst/>
                    </a:prstGeom>
                  </pic:spPr>
                </pic:pic>
              </a:graphicData>
            </a:graphic>
          </wp:inline>
        </w:drawing>
      </w:r>
    </w:p>
    <w:p w14:paraId="60B449F1"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Fig. S5. </w:t>
      </w:r>
      <w:r>
        <w:rPr>
          <w:rFonts w:asciiTheme="majorBidi" w:hAnsiTheme="majorBidi" w:cstheme="majorBidi"/>
          <w:sz w:val="22"/>
          <w:szCs w:val="22"/>
        </w:rPr>
        <w:t>Stable-hour observations inconsistent with the load–ambient relation Y = f(P, P², T</w:t>
      </w:r>
      <w:r>
        <w:rPr>
          <w:rFonts w:asciiTheme="majorBidi" w:hAnsiTheme="majorBidi" w:cstheme="majorBidi"/>
          <w:sz w:val="22"/>
          <w:szCs w:val="22"/>
          <w:vertAlign w:val="subscript"/>
        </w:rPr>
        <w:t>1</w:t>
      </w:r>
      <w:r>
        <w:rPr>
          <w:rFonts w:asciiTheme="majorBidi" w:hAnsiTheme="majorBidi" w:cstheme="majorBidi"/>
          <w:sz w:val="22"/>
          <w:szCs w:val="22"/>
        </w:rPr>
        <w:t>) (|robust z| &gt; 6): (a) average T</w:t>
      </w:r>
      <w:r>
        <w:rPr>
          <w:rFonts w:asciiTheme="majorBidi" w:hAnsiTheme="majorBidi" w:cstheme="majorBidi"/>
          <w:sz w:val="22"/>
          <w:szCs w:val="22"/>
          <w:vertAlign w:val="subscript"/>
        </w:rPr>
        <w:t>5</w:t>
      </w:r>
      <w:r>
        <w:rPr>
          <w:rFonts w:asciiTheme="majorBidi" w:hAnsiTheme="majorBidi" w:cstheme="majorBidi"/>
          <w:sz w:val="22"/>
          <w:szCs w:val="22"/>
        </w:rPr>
        <w:t xml:space="preserve"> (n = 26); (b) compressor discharge pressure (n = 13). Some are physically implausible for loads above 1.5 MW (T</w:t>
      </w:r>
      <w:r>
        <w:rPr>
          <w:rFonts w:asciiTheme="majorBidi" w:hAnsiTheme="majorBidi" w:cstheme="majorBidi"/>
          <w:sz w:val="22"/>
          <w:szCs w:val="22"/>
          <w:vertAlign w:val="subscript"/>
        </w:rPr>
        <w:t>5</w:t>
      </w:r>
      <w:r>
        <w:rPr>
          <w:rFonts w:asciiTheme="majorBidi" w:hAnsiTheme="majorBidi" w:cstheme="majorBidi"/>
          <w:sz w:val="22"/>
          <w:szCs w:val="22"/>
        </w:rPr>
        <w:t xml:space="preserve"> ≈ 40 °C, PCD ≈ 1 barg) yet lie inside the gross plausibility bounds; others may be genuine transients. We retained them, so the reconstructed dataset is not error-free.</w:t>
      </w:r>
    </w:p>
    <w:p w14:paraId="7F8584C7"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78B1114A" wp14:editId="3BF14F2D">
            <wp:extent cx="3832859" cy="20208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_T5_thermocouple_pattern.png"/>
                    <pic:cNvPicPr/>
                  </pic:nvPicPr>
                  <pic:blipFill>
                    <a:blip r:embed="rId10"/>
                    <a:stretch>
                      <a:fillRect/>
                    </a:stretch>
                  </pic:blipFill>
                  <pic:spPr>
                    <a:xfrm>
                      <a:off x="0" y="0"/>
                      <a:ext cx="3832859" cy="2020823"/>
                    </a:xfrm>
                    <a:prstGeom prst="rect">
                      <a:avLst/>
                    </a:prstGeom>
                  </pic:spPr>
                </pic:pic>
              </a:graphicData>
            </a:graphic>
          </wp:inline>
        </w:drawing>
      </w:r>
    </w:p>
    <w:p w14:paraId="4043CB84"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Fig. S6. </w:t>
      </w:r>
      <w:r>
        <w:rPr>
          <w:rFonts w:asciiTheme="majorBidi" w:hAnsiTheme="majorBidi" w:cstheme="majorBidi"/>
          <w:sz w:val="22"/>
          <w:szCs w:val="22"/>
        </w:rPr>
        <w:t>Weekly median deviation of each of the six T</w:t>
      </w:r>
      <w:r>
        <w:rPr>
          <w:rFonts w:asciiTheme="majorBidi" w:hAnsiTheme="majorBidi" w:cstheme="majorBidi"/>
          <w:sz w:val="22"/>
          <w:szCs w:val="22"/>
          <w:vertAlign w:val="subscript"/>
        </w:rPr>
        <w:t>5</w:t>
      </w:r>
      <w:r>
        <w:rPr>
          <w:rFonts w:asciiTheme="majorBidi" w:hAnsiTheme="majorBidi" w:cstheme="majorBidi"/>
          <w:sz w:val="22"/>
          <w:szCs w:val="22"/>
        </w:rPr>
        <w:t xml:space="preserve"> thermocouples from their mean in stable hours. Thermocouple #3 shows a transient departure of +35 to +50 °C in late August–September.</w:t>
      </w:r>
    </w:p>
    <w:p w14:paraId="03E35F4C"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33773E9A" wp14:editId="00A957D7">
            <wp:extent cx="3753612" cy="22981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7_pattern_effect_T7.png"/>
                    <pic:cNvPicPr/>
                  </pic:nvPicPr>
                  <pic:blipFill>
                    <a:blip r:embed="rId11"/>
                    <a:stretch>
                      <a:fillRect/>
                    </a:stretch>
                  </pic:blipFill>
                  <pic:spPr>
                    <a:xfrm>
                      <a:off x="0" y="0"/>
                      <a:ext cx="3753612" cy="2298192"/>
                    </a:xfrm>
                    <a:prstGeom prst="rect">
                      <a:avLst/>
                    </a:prstGeom>
                  </pic:spPr>
                </pic:pic>
              </a:graphicData>
            </a:graphic>
          </wp:inline>
        </w:drawing>
      </w:r>
    </w:p>
    <w:p w14:paraId="44CBA001" w14:textId="77777777" w:rsidR="00F73B9F" w:rsidRPr="00802C34" w:rsidRDefault="00F73B9F" w:rsidP="00E2060A">
      <w:pPr>
        <w:spacing w:line="360" w:lineRule="auto"/>
        <w:jc w:val="center"/>
        <w:rPr>
          <w:rFonts w:asciiTheme="majorBidi" w:hAnsiTheme="majorBidi" w:cstheme="majorBidi"/>
          <w:sz w:val="22"/>
          <w:szCs w:val="22"/>
        </w:rPr>
      </w:pPr>
      <w:r>
        <w:rPr>
          <w:rFonts w:asciiTheme="majorBidi" w:hAnsiTheme="majorBidi" w:cstheme="majorBidi"/>
          <w:b/>
          <w:sz w:val="22"/>
          <w:szCs w:val="22"/>
        </w:rPr>
        <w:t xml:space="preserve">Fig. S7. </w:t>
      </w:r>
      <w:r>
        <w:rPr>
          <w:rFonts w:asciiTheme="majorBidi" w:hAnsiTheme="majorBidi" w:cstheme="majorBidi"/>
          <w:sz w:val="22"/>
          <w:szCs w:val="22"/>
        </w:rPr>
        <w:t>Controlled substitutions. Effect of the corruption pattern (block, intermittent, whole worksheets) on E</w:t>
      </w:r>
      <w:r>
        <w:rPr>
          <w:rFonts w:asciiTheme="majorBidi" w:hAnsiTheme="majorBidi" w:cstheme="majorBidi"/>
          <w:sz w:val="22"/>
          <w:szCs w:val="22"/>
          <w:vertAlign w:val="subscript"/>
        </w:rPr>
        <w:t>β</w:t>
      </w:r>
      <w:r>
        <w:rPr>
          <w:rFonts w:asciiTheme="majorBidi" w:hAnsiTheme="majorBidi" w:cstheme="majorBidi"/>
          <w:sz w:val="22"/>
          <w:szCs w:val="22"/>
        </w:rPr>
        <w:t xml:space="preserve"> for T</w:t>
      </w:r>
      <w:r>
        <w:rPr>
          <w:rFonts w:asciiTheme="majorBidi" w:hAnsiTheme="majorBidi" w:cstheme="majorBidi"/>
          <w:sz w:val="22"/>
          <w:szCs w:val="22"/>
          <w:vertAlign w:val="subscript"/>
        </w:rPr>
        <w:t>7</w:t>
      </w:r>
      <w:r>
        <w:rPr>
          <w:rFonts w:asciiTheme="majorBidi" w:hAnsiTheme="majorBidi" w:cstheme="majorBidi"/>
          <w:sz w:val="22"/>
          <w:szCs w:val="22"/>
        </w:rPr>
        <w:t>, for each substitute channel (median and 95% band of 200 replications).</w:t>
      </w:r>
    </w:p>
    <w:p w14:paraId="52C62572" w14:textId="77777777" w:rsidR="00F73B9F" w:rsidRPr="00802C34" w:rsidRDefault="00F73B9F" w:rsidP="00955969">
      <w:pPr>
        <w:spacing w:line="360"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7B9B87ED" wp14:editId="18BA917A">
            <wp:extent cx="3703319" cy="20284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8_E_beta_by_substitute.png"/>
                    <pic:cNvPicPr/>
                  </pic:nvPicPr>
                  <pic:blipFill>
                    <a:blip r:embed="rId12"/>
                    <a:stretch>
                      <a:fillRect/>
                    </a:stretch>
                  </pic:blipFill>
                  <pic:spPr>
                    <a:xfrm>
                      <a:off x="0" y="0"/>
                      <a:ext cx="3703319" cy="2028443"/>
                    </a:xfrm>
                    <a:prstGeom prst="rect">
                      <a:avLst/>
                    </a:prstGeom>
                  </pic:spPr>
                </pic:pic>
              </a:graphicData>
            </a:graphic>
          </wp:inline>
        </w:drawing>
      </w:r>
    </w:p>
    <w:p w14:paraId="16977383"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b/>
          <w:sz w:val="22"/>
          <w:szCs w:val="22"/>
        </w:rPr>
        <w:t xml:space="preserve">Fig. S8. </w:t>
      </w:r>
      <w:r>
        <w:rPr>
          <w:rFonts w:asciiTheme="majorBidi" w:hAnsiTheme="majorBidi" w:cstheme="majorBidi"/>
          <w:sz w:val="22"/>
          <w:szCs w:val="22"/>
        </w:rPr>
        <w:t>Controlled substitutions. Distribution of E</w:t>
      </w:r>
      <w:r>
        <w:rPr>
          <w:rFonts w:asciiTheme="majorBidi" w:hAnsiTheme="majorBidi" w:cstheme="majorBidi"/>
          <w:sz w:val="22"/>
          <w:szCs w:val="22"/>
          <w:vertAlign w:val="subscript"/>
        </w:rPr>
        <w:t>β</w:t>
      </w:r>
      <w:r>
        <w:rPr>
          <w:rFonts w:asciiTheme="majorBidi" w:hAnsiTheme="majorBidi" w:cstheme="majorBidi"/>
          <w:sz w:val="22"/>
          <w:szCs w:val="22"/>
        </w:rPr>
        <w:t xml:space="preserve"> under partial substitution (5–90%, all patterns) by substitute channel, for (a) T</w:t>
      </w:r>
      <w:r>
        <w:rPr>
          <w:rFonts w:asciiTheme="majorBidi" w:hAnsiTheme="majorBidi" w:cstheme="majorBidi"/>
          <w:sz w:val="22"/>
          <w:szCs w:val="22"/>
          <w:vertAlign w:val="subscript"/>
        </w:rPr>
        <w:t>5</w:t>
      </w:r>
      <w:r>
        <w:rPr>
          <w:rFonts w:asciiTheme="majorBidi" w:hAnsiTheme="majorBidi" w:cstheme="majorBidi"/>
          <w:sz w:val="22"/>
          <w:szCs w:val="22"/>
        </w:rPr>
        <w:t>, (b) T</w:t>
      </w:r>
      <w:r>
        <w:rPr>
          <w:rFonts w:asciiTheme="majorBidi" w:hAnsiTheme="majorBidi" w:cstheme="majorBidi"/>
          <w:sz w:val="22"/>
          <w:szCs w:val="22"/>
          <w:vertAlign w:val="subscript"/>
        </w:rPr>
        <w:t>7</w:t>
      </w:r>
      <w:r>
        <w:rPr>
          <w:rFonts w:asciiTheme="majorBidi" w:hAnsiTheme="majorBidi" w:cstheme="majorBidi"/>
          <w:sz w:val="22"/>
          <w:szCs w:val="22"/>
        </w:rPr>
        <w:t>, and (c) compressor discharge pressure.</w:t>
      </w:r>
    </w:p>
    <w:p w14:paraId="4B372E0C" w14:textId="77777777" w:rsidR="00F73B9F" w:rsidRPr="00802C34" w:rsidRDefault="00F73B9F" w:rsidP="00802C34">
      <w:pPr>
        <w:spacing w:line="360" w:lineRule="auto"/>
        <w:jc w:val="lowKashida"/>
        <w:rPr>
          <w:rFonts w:asciiTheme="majorBidi" w:hAnsiTheme="majorBidi" w:cstheme="majorBidi"/>
          <w:sz w:val="22"/>
          <w:szCs w:val="22"/>
        </w:rPr>
      </w:pPr>
      <w:r>
        <w:rPr>
          <w:rFonts w:asciiTheme="majorBidi" w:hAnsiTheme="majorBidi" w:cstheme="majorBidi"/>
          <w:sz w:val="22"/>
          <w:szCs w:val="22"/>
        </w:rPr>
        <w:br w:type="page"/>
      </w:r>
    </w:p>
    <w:p w14:paraId="1EEE6AD0" w14:textId="77777777" w:rsidR="00F73B9F" w:rsidRPr="00802C34" w:rsidRDefault="00F73B9F" w:rsidP="00802C34">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lastRenderedPageBreak/>
        <w:t>Supplementary Protocol. Pre-specified benchmark protocol</w:t>
      </w:r>
    </w:p>
    <w:p w14:paraId="3B8468FB" w14:textId="77777777" w:rsidR="00E94995" w:rsidRDefault="00E94995" w:rsidP="00E94995">
      <w:pPr>
        <w:spacing w:line="360" w:lineRule="auto"/>
        <w:jc w:val="lowKashida"/>
        <w:rPr>
          <w:rFonts w:asciiTheme="majorBidi" w:hAnsiTheme="majorBidi" w:cstheme="majorBidi"/>
          <w:sz w:val="22"/>
          <w:szCs w:val="22"/>
          <w:rtl/>
        </w:rPr>
      </w:pPr>
      <w:r>
        <w:rPr>
          <w:rFonts w:asciiTheme="majorBidi" w:hAnsiTheme="majorBidi" w:cstheme="majorBidi"/>
          <w:sz w:val="22"/>
          <w:szCs w:val="22"/>
        </w:rPr>
        <w:t xml:space="preserve">The following is a condensed and reorganised presentation of the benchmark protocol frozen on 29 September 2026, before the benchmark code was executed (benchmark_preregistration.md). The protocol was not deposited in an externally time-stamped registry and is therefore described as </w:t>
      </w:r>
      <w:r>
        <w:rPr>
          <w:rFonts w:asciiTheme="majorBidi" w:hAnsiTheme="majorBidi" w:cstheme="majorBidi"/>
          <w:i/>
          <w:iCs/>
          <w:sz w:val="22"/>
          <w:szCs w:val="22"/>
        </w:rPr>
        <w:t>pre-specified</w:t>
      </w:r>
      <w:r>
        <w:rPr>
          <w:rFonts w:asciiTheme="majorBidi" w:hAnsiTheme="majorBidi" w:cstheme="majorBidi"/>
          <w:sz w:val="22"/>
          <w:szCs w:val="22"/>
        </w:rPr>
        <w:t>, rather than preregistered. “Framework” refers to the physics–chronology detector, “Master v1.0” to the reconstructed dataset, and “Experiment II” to the smaller pre-specified substitution experiment (Section 2.6). The verbatim protocol file is included in Online Resource 2.</w:t>
      </w:r>
    </w:p>
    <w:p w14:paraId="61BC4098"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P1. Data and reference populations</w:t>
      </w:r>
    </w:p>
    <w:p w14:paraId="0E06F824" w14:textId="606C30A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The benchmark used Master v1.0 (GT568</w:t>
      </w:r>
      <w:r w:rsidR="00955969">
        <w:rPr>
          <w:rFonts w:asciiTheme="majorBidi" w:hAnsiTheme="majorBidi" w:cstheme="majorBidi"/>
          <w:sz w:val="22"/>
          <w:szCs w:val="22"/>
        </w:rPr>
        <w:t xml:space="preserve"> </w:t>
      </w:r>
      <w:r>
        <w:rPr>
          <w:rFonts w:asciiTheme="majorBidi" w:hAnsiTheme="majorBidi" w:cstheme="majorBidi"/>
          <w:sz w:val="22"/>
          <w:szCs w:val="22"/>
        </w:rPr>
        <w:t>Master</w:t>
      </w:r>
      <w:r w:rsidR="00955969">
        <w:rPr>
          <w:rFonts w:asciiTheme="majorBidi" w:hAnsiTheme="majorBidi" w:cstheme="majorBidi"/>
          <w:sz w:val="22"/>
          <w:szCs w:val="22"/>
        </w:rPr>
        <w:t xml:space="preserve"> </w:t>
      </w:r>
      <w:r>
        <w:rPr>
          <w:rFonts w:asciiTheme="majorBidi" w:hAnsiTheme="majorBidi" w:cstheme="majorBidi"/>
          <w:sz w:val="22"/>
          <w:szCs w:val="22"/>
        </w:rPr>
        <w:t>Reconstructed; 3,079 records). Two reference populations were selected from running, gas-fuel observations within the July</w:t>
      </w:r>
      <w:r w:rsidR="00955969">
        <w:rPr>
          <w:rFonts w:asciiTheme="majorBidi" w:hAnsiTheme="majorBidi" w:cstheme="majorBidi"/>
          <w:sz w:val="22"/>
          <w:szCs w:val="22"/>
        </w:rPr>
        <w:t>-</w:t>
      </w:r>
      <w:r>
        <w:rPr>
          <w:rFonts w:asciiTheme="majorBidi" w:hAnsiTheme="majorBidi" w:cstheme="majorBidi"/>
          <w:sz w:val="22"/>
          <w:szCs w:val="22"/>
        </w:rPr>
        <w:t>December 2017 study period.</w:t>
      </w:r>
    </w:p>
    <w:p w14:paraId="3C6A264A" w14:textId="7F38F238"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b/>
          <w:bCs/>
          <w:sz w:val="22"/>
          <w:szCs w:val="22"/>
        </w:rPr>
        <w:t>Reference A (pristine; approximately 441 observations)</w:t>
      </w:r>
      <w:r>
        <w:rPr>
          <w:rFonts w:asciiTheme="majorBidi" w:hAnsiTheme="majorBidi" w:cstheme="majorBidi"/>
          <w:sz w:val="22"/>
          <w:szCs w:val="22"/>
        </w:rPr>
        <w:t xml:space="preserve"> included only records with Quality</w:t>
      </w:r>
      <w:r w:rsidR="00955969">
        <w:rPr>
          <w:rFonts w:asciiTheme="majorBidi" w:hAnsiTheme="majorBidi" w:cstheme="majorBidi"/>
          <w:sz w:val="22"/>
          <w:szCs w:val="22"/>
        </w:rPr>
        <w:t xml:space="preserve"> </w:t>
      </w:r>
      <w:r>
        <w:rPr>
          <w:rFonts w:asciiTheme="majorBidi" w:hAnsiTheme="majorBidi" w:cstheme="majorBidi"/>
          <w:sz w:val="22"/>
          <w:szCs w:val="22"/>
        </w:rPr>
        <w:t>Flag = OK, indicating that no reconstruction or exclusion rule had been triggered.</w:t>
      </w:r>
    </w:p>
    <w:p w14:paraId="4F4BBAFA"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b/>
          <w:bCs/>
          <w:sz w:val="22"/>
          <w:szCs w:val="22"/>
        </w:rPr>
        <w:t>Reference B (reconstructed; approximately 2,351 observations)</w:t>
      </w:r>
      <w:r>
        <w:rPr>
          <w:rFonts w:asciiTheme="majorBidi" w:hAnsiTheme="majorBidi" w:cstheme="majorBidi"/>
          <w:sz w:val="22"/>
          <w:szCs w:val="22"/>
        </w:rPr>
        <w:t xml:space="preserve"> included Reference A records and those corrected deterministically under R01 or R02, excluding any records affected by R05–R08.</w:t>
      </w:r>
    </w:p>
    <w:p w14:paraId="63623298" w14:textId="6B95D678" w:rsidR="00E94995" w:rsidRPr="00E94995" w:rsidRDefault="00E94995" w:rsidP="00955969">
      <w:pPr>
        <w:spacing w:line="360" w:lineRule="auto"/>
        <w:jc w:val="lowKashida"/>
        <w:rPr>
          <w:rFonts w:asciiTheme="majorBidi" w:hAnsiTheme="majorBidi" w:cstheme="majorBidi"/>
          <w:sz w:val="22"/>
          <w:szCs w:val="22"/>
        </w:rPr>
      </w:pPr>
      <w:r>
        <w:rPr>
          <w:rFonts w:asciiTheme="majorBidi" w:hAnsiTheme="majorBidi" w:cstheme="majorBidi"/>
          <w:sz w:val="22"/>
          <w:szCs w:val="22"/>
        </w:rPr>
        <w:t>Reference A covered July–September 2017, whereas Reference B covered July</w:t>
      </w:r>
      <w:r w:rsidR="00955969">
        <w:rPr>
          <w:rFonts w:asciiTheme="majorBidi" w:hAnsiTheme="majorBidi" w:cstheme="majorBidi"/>
          <w:sz w:val="22"/>
          <w:szCs w:val="22"/>
        </w:rPr>
        <w:t xml:space="preserve"> </w:t>
      </w:r>
      <w:r>
        <w:rPr>
          <w:rFonts w:asciiTheme="majorBidi" w:hAnsiTheme="majorBidi" w:cstheme="majorBidi"/>
          <w:sz w:val="22"/>
          <w:szCs w:val="22"/>
        </w:rPr>
        <w:t>December 2017. Each population was divided chronologically into equal calibration and evaluation halves. We calibrated detectors on the first half and injected known channel swaps only into the second half. Injection labels were not provided to the detectors.</w:t>
      </w:r>
    </w:p>
    <w:p w14:paraId="493BD313"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The same channels were evaluated by all methods: T₁, ceiling temperature, average T₅, T₅ thermocouples #1–#6, T₇, compressor discharge pressure (PCD), gas-fuel flow, real/apparent/reactive power, power factor, voltage, phase currents A–C, generator drive-end (DE) and non-drive-end (NDE) bearing temperatures, generator winding temperatures L1–L3, lubricating-oil temperature and pressure, gearbox vibration, six turbine vibration channels, inlet-filter differential pressure [A], turbine/gas/liquid operating hours, and start count.</w:t>
      </w:r>
    </w:p>
    <w:p w14:paraId="171D6249"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P2. Physics–chronology detector</w:t>
      </w:r>
    </w:p>
    <w:p w14:paraId="5D5050F3"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The proposed framework combined three types of constraints, with thresholds fixed before execution.</w:t>
      </w:r>
    </w:p>
    <w:p w14:paraId="6D3E709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b/>
          <w:bCs/>
          <w:sz w:val="22"/>
          <w:szCs w:val="22"/>
        </w:rPr>
        <w:t>Physical plausibility:</w:t>
      </w:r>
      <w:r>
        <w:rPr>
          <w:rFonts w:asciiTheme="majorBidi" w:hAnsiTheme="majorBidi" w:cstheme="majorBidi"/>
          <w:sz w:val="22"/>
          <w:szCs w:val="22"/>
        </w:rPr>
        <w:t xml:space="preserve"> Gross channel bounds from the </w:t>
      </w:r>
      <w:r>
        <w:rPr>
          <w:rFonts w:asciiTheme="majorBidi" w:hAnsiTheme="majorBidi" w:cstheme="majorBidi"/>
          <w:i/>
          <w:iCs/>
          <w:sz w:val="22"/>
          <w:szCs w:val="22"/>
        </w:rPr>
        <w:t>Bounds</w:t>
      </w:r>
      <w:r>
        <w:rPr>
          <w:rFonts w:asciiTheme="majorBidi" w:hAnsiTheme="majorBidi" w:cstheme="majorBidi"/>
          <w:sz w:val="22"/>
          <w:szCs w:val="22"/>
        </w:rPr>
        <w:t xml:space="preserve"> sheet of Master v1.0 (rule R07).</w:t>
      </w:r>
    </w:p>
    <w:p w14:paraId="0F72236E"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b/>
          <w:bCs/>
          <w:sz w:val="22"/>
          <w:szCs w:val="22"/>
        </w:rPr>
        <w:t>Counter consistency:</w:t>
      </w:r>
      <w:r>
        <w:rPr>
          <w:rFonts w:asciiTheme="majorBidi" w:hAnsiTheme="majorBidi" w:cstheme="majorBidi"/>
          <w:sz w:val="22"/>
          <w:szCs w:val="22"/>
        </w:rPr>
        <w:t xml:space="preserve"> The longest monotonic, clock-rate-admissible counter sequence (R06), together with the turbine-hour identity:</w:t>
      </w:r>
    </w:p>
    <w:p w14:paraId="28C5ED08" w14:textId="77777777" w:rsidR="00E94995" w:rsidRPr="00E94995" w:rsidRDefault="00000000" w:rsidP="00E94995">
      <w:pPr>
        <w:spacing w:line="360" w:lineRule="auto"/>
        <w:jc w:val="lowKashida"/>
        <w:rPr>
          <w:rFonts w:asciiTheme="majorBidi" w:hAnsiTheme="majorBidi" w:cstheme="majorBidi"/>
          <w:sz w:val="22"/>
          <w:szCs w:val="22"/>
        </w:rPr>
      </w:pPr>
      <m:oMathPara>
        <m:oMath>
          <m:sSub>
            <m:sSubPr>
              <m:ctrlPr>
                <w:rPr>
                  <w:rFonts w:ascii="Cambria Math" w:hAnsi="Cambria Math" w:cstheme="majorBidi"/>
                  <w:sz w:val="22"/>
                  <w:szCs w:val="22"/>
                </w:rPr>
              </m:ctrlPr>
            </m:sSubPr>
            <m:e>
              <m:r>
                <w:rPr>
                  <w:rFonts w:ascii="Cambria Math" w:hAnsi="Cambria Math" w:cstheme="majorBidi"/>
                  <w:sz w:val="22"/>
                  <w:szCs w:val="22"/>
                </w:rPr>
                <m:t>H</m:t>
              </m:r>
            </m:e>
            <m:sub>
              <m:r>
                <w:rPr>
                  <w:rFonts w:ascii="Cambria Math" w:hAnsi="Cambria Math" w:cstheme="majorBidi"/>
                  <w:sz w:val="22"/>
                  <w:szCs w:val="22"/>
                </w:rPr>
                <m:t>T</m:t>
              </m:r>
            </m:sub>
          </m:sSub>
          <m:r>
            <w:rPr>
              <w:rFonts w:ascii="Cambria Math" w:hAnsi="Cambria Math" w:cstheme="majorBidi"/>
              <w:sz w:val="22"/>
              <w:szCs w:val="22"/>
            </w:rPr>
            <m:t>-</m:t>
          </m:r>
          <m:sSub>
            <m:sSubPr>
              <m:ctrlPr>
                <w:rPr>
                  <w:rFonts w:ascii="Cambria Math" w:hAnsi="Cambria Math" w:cstheme="majorBidi"/>
                  <w:sz w:val="22"/>
                  <w:szCs w:val="22"/>
                </w:rPr>
              </m:ctrlPr>
            </m:sSubPr>
            <m:e>
              <m:r>
                <w:rPr>
                  <w:rFonts w:ascii="Cambria Math" w:hAnsi="Cambria Math" w:cstheme="majorBidi"/>
                  <w:sz w:val="22"/>
                  <w:szCs w:val="22"/>
                </w:rPr>
                <m:t>H</m:t>
              </m:r>
            </m:e>
            <m:sub>
              <m:r>
                <w:rPr>
                  <w:rFonts w:ascii="Cambria Math" w:hAnsi="Cambria Math" w:cstheme="majorBidi"/>
                  <w:sz w:val="22"/>
                  <w:szCs w:val="22"/>
                </w:rPr>
                <m:t>G</m:t>
              </m:r>
            </m:sub>
          </m:sSub>
          <m:r>
            <w:rPr>
              <w:rFonts w:ascii="Cambria Math" w:hAnsi="Cambria Math" w:cstheme="majorBidi"/>
              <w:sz w:val="22"/>
              <w:szCs w:val="22"/>
            </w:rPr>
            <m:t>-</m:t>
          </m:r>
          <m:sSub>
            <m:sSubPr>
              <m:ctrlPr>
                <w:rPr>
                  <w:rFonts w:ascii="Cambria Math" w:hAnsi="Cambria Math" w:cstheme="majorBidi"/>
                  <w:sz w:val="22"/>
                  <w:szCs w:val="22"/>
                </w:rPr>
              </m:ctrlPr>
            </m:sSubPr>
            <m:e>
              <m:r>
                <w:rPr>
                  <w:rFonts w:ascii="Cambria Math" w:hAnsi="Cambria Math" w:cstheme="majorBidi"/>
                  <w:sz w:val="22"/>
                  <w:szCs w:val="22"/>
                </w:rPr>
                <m:t>H</m:t>
              </m:r>
            </m:e>
            <m:sub>
              <m:r>
                <w:rPr>
                  <w:rFonts w:ascii="Cambria Math" w:hAnsi="Cambria Math" w:cstheme="majorBidi"/>
                  <w:sz w:val="22"/>
                  <w:szCs w:val="22"/>
                </w:rPr>
                <m:t>L</m:t>
              </m:r>
            </m:sub>
          </m:sSub>
          <m:r>
            <w:rPr>
              <w:rFonts w:ascii="Cambria Math" w:hAnsi="Cambria Math" w:cstheme="majorBidi"/>
              <w:sz w:val="22"/>
              <w:szCs w:val="22"/>
            </w:rPr>
            <m:t>=</m:t>
          </m:r>
          <m:r>
            <m:rPr>
              <m:sty m:val="p"/>
            </m:rPr>
            <w:rPr>
              <w:rFonts w:ascii="Cambria Math" w:hAnsi="Cambria Math" w:cstheme="majorBidi"/>
              <w:sz w:val="22"/>
              <w:szCs w:val="22"/>
            </w:rPr>
            <m:t>constant</m:t>
          </m:r>
          <m:r>
            <w:rPr>
              <w:rFonts w:ascii="Cambria Math" w:hAnsi="Cambria Math" w:cstheme="majorBidi"/>
              <w:sz w:val="22"/>
              <w:szCs w:val="22"/>
            </w:rPr>
            <m:t>,</m:t>
          </m:r>
        </m:oMath>
      </m:oMathPara>
    </w:p>
    <w:p w14:paraId="4C231CFA"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with a robust-z threshold greater than 6 for violations of the identity.</w:t>
      </w:r>
    </w:p>
    <w:p w14:paraId="7A1B9130"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b/>
          <w:bCs/>
          <w:sz w:val="22"/>
          <w:szCs w:val="22"/>
        </w:rPr>
        <w:lastRenderedPageBreak/>
        <w:t>Analytical redundancy:</w:t>
      </w:r>
      <w:r>
        <w:rPr>
          <w:rFonts w:asciiTheme="majorBidi" w:hAnsiTheme="majorBidi" w:cstheme="majorBidi"/>
          <w:sz w:val="22"/>
          <w:szCs w:val="22"/>
        </w:rPr>
        <w:t xml:space="preserve"> Relations between operational channels, with coefficients estimated by ordinary least squares (OLS) on the calibration half. The relations were:</w:t>
      </w:r>
    </w:p>
    <w:p w14:paraId="0E9DCDA2" w14:textId="77777777" w:rsidR="00E94995" w:rsidRPr="00E94995" w:rsidRDefault="00E94995" w:rsidP="00E94995">
      <w:pPr>
        <w:spacing w:line="360" w:lineRule="auto"/>
        <w:jc w:val="lowKashida"/>
        <w:rPr>
          <w:rFonts w:asciiTheme="majorBidi" w:hAnsiTheme="majorBidi" w:cstheme="majorBidi"/>
          <w:sz w:val="22"/>
          <w:szCs w:val="22"/>
        </w:rPr>
      </w:pPr>
      <m:oMathPara>
        <m:oMath>
          <m:r>
            <w:rPr>
              <w:rFonts w:ascii="Cambria Math" w:hAnsi="Cambria Math" w:cstheme="majorBidi"/>
              <w:sz w:val="22"/>
              <w:szCs w:val="22"/>
            </w:rPr>
            <m:t>S≈</m:t>
          </m:r>
          <m:rad>
            <m:radPr>
              <m:degHide m:val="1"/>
              <m:ctrlPr>
                <w:rPr>
                  <w:rFonts w:ascii="Cambria Math" w:hAnsi="Cambria Math" w:cstheme="majorBidi"/>
                  <w:sz w:val="22"/>
                  <w:szCs w:val="22"/>
                </w:rPr>
              </m:ctrlPr>
            </m:radPr>
            <m:deg/>
            <m:e>
              <m:r>
                <w:rPr>
                  <w:rFonts w:ascii="Cambria Math" w:hAnsi="Cambria Math" w:cstheme="majorBidi"/>
                  <w:sz w:val="22"/>
                  <w:szCs w:val="22"/>
                </w:rPr>
                <m:t>3</m:t>
              </m:r>
            </m:e>
          </m:rad>
          <m:r>
            <m:rPr>
              <m:nor/>
            </m:rPr>
            <w:rPr>
              <w:rFonts w:asciiTheme="majorBidi" w:hAnsiTheme="majorBidi" w:cstheme="majorBidi"/>
              <w:sz w:val="22"/>
              <w:szCs w:val="22"/>
            </w:rPr>
            <m:t> </m:t>
          </m:r>
          <m:r>
            <w:rPr>
              <w:rFonts w:ascii="Cambria Math" w:hAnsi="Cambria Math" w:cstheme="majorBidi"/>
              <w:sz w:val="22"/>
              <w:szCs w:val="22"/>
            </w:rPr>
            <m:t>V</m:t>
          </m:r>
          <m:acc>
            <m:accPr>
              <m:chr m:val="̅"/>
              <m:ctrlPr>
                <w:rPr>
                  <w:rFonts w:ascii="Cambria Math" w:hAnsi="Cambria Math" w:cstheme="majorBidi"/>
                  <w:sz w:val="22"/>
                  <w:szCs w:val="22"/>
                </w:rPr>
              </m:ctrlPr>
            </m:accPr>
            <m:e>
              <m:r>
                <w:rPr>
                  <w:rFonts w:ascii="Cambria Math" w:hAnsi="Cambria Math" w:cstheme="majorBidi"/>
                  <w:sz w:val="22"/>
                  <w:szCs w:val="22"/>
                </w:rPr>
                <m:t>I</m:t>
              </m:r>
            </m:e>
          </m:acc>
          <m:r>
            <w:rPr>
              <w:rFonts w:ascii="Cambria Math" w:hAnsi="Cambria Math" w:cstheme="majorBidi"/>
              <w:sz w:val="22"/>
              <w:szCs w:val="22"/>
            </w:rPr>
            <m:t>,</m:t>
          </m:r>
          <m:r>
            <w:rPr>
              <w:rFonts w:asciiTheme="majorBidi" w:hAnsiTheme="majorBidi" w:cstheme="majorBidi"/>
              <w:sz w:val="22"/>
              <w:szCs w:val="22"/>
            </w:rPr>
            <w:br/>
          </m:r>
        </m:oMath>
        <m:oMath>
          <m:r>
            <w:rPr>
              <w:rFonts w:ascii="Cambria Math" w:hAnsi="Cambria Math" w:cstheme="majorBidi"/>
              <w:sz w:val="22"/>
              <w:szCs w:val="22"/>
            </w:rPr>
            <m:t>P≈S</m:t>
          </m:r>
          <m:r>
            <m:rPr>
              <m:nor/>
            </m:rPr>
            <w:rPr>
              <w:rFonts w:asciiTheme="majorBidi" w:hAnsiTheme="majorBidi" w:cstheme="majorBidi"/>
              <w:sz w:val="22"/>
              <w:szCs w:val="22"/>
            </w:rPr>
            <m:t> </m:t>
          </m:r>
          <m:r>
            <w:rPr>
              <w:rFonts w:ascii="Cambria Math" w:hAnsi="Cambria Math" w:cstheme="majorBidi"/>
              <w:sz w:val="22"/>
              <w:szCs w:val="22"/>
            </w:rPr>
            <m:t>PF,</m:t>
          </m:r>
          <m:r>
            <w:rPr>
              <w:rFonts w:asciiTheme="majorBidi" w:hAnsiTheme="majorBidi" w:cstheme="majorBidi"/>
              <w:sz w:val="22"/>
              <w:szCs w:val="22"/>
            </w:rPr>
            <w:br/>
          </m:r>
        </m:oMath>
        <m:oMath>
          <m:r>
            <w:rPr>
              <w:rFonts w:ascii="Cambria Math" w:hAnsi="Cambria Math" w:cstheme="majorBidi"/>
              <w:sz w:val="22"/>
              <w:szCs w:val="22"/>
            </w:rPr>
            <m:t>Q≈</m:t>
          </m:r>
          <m:rad>
            <m:radPr>
              <m:degHide m:val="1"/>
              <m:ctrlPr>
                <w:rPr>
                  <w:rFonts w:ascii="Cambria Math" w:hAnsi="Cambria Math" w:cstheme="majorBidi"/>
                  <w:sz w:val="22"/>
                  <w:szCs w:val="22"/>
                </w:rPr>
              </m:ctrlPr>
            </m:radPr>
            <m:deg/>
            <m:e>
              <m:sSup>
                <m:sSupPr>
                  <m:ctrlPr>
                    <w:rPr>
                      <w:rFonts w:ascii="Cambria Math" w:hAnsi="Cambria Math" w:cstheme="majorBidi"/>
                      <w:sz w:val="22"/>
                      <w:szCs w:val="22"/>
                    </w:rPr>
                  </m:ctrlPr>
                </m:sSupPr>
                <m:e>
                  <m:r>
                    <w:rPr>
                      <w:rFonts w:ascii="Cambria Math" w:hAnsi="Cambria Math" w:cstheme="majorBidi"/>
                      <w:sz w:val="22"/>
                      <w:szCs w:val="22"/>
                    </w:rPr>
                    <m:t>S</m:t>
                  </m:r>
                </m:e>
                <m:sup>
                  <m:r>
                    <w:rPr>
                      <w:rFonts w:ascii="Cambria Math" w:hAnsi="Cambria Math" w:cstheme="majorBidi"/>
                      <w:sz w:val="22"/>
                      <w:szCs w:val="22"/>
                    </w:rPr>
                    <m:t>2</m:t>
                  </m:r>
                </m:sup>
              </m:sSup>
              <m:r>
                <w:rPr>
                  <w:rFonts w:ascii="Cambria Math" w:hAnsi="Cambria Math" w:cstheme="majorBidi"/>
                  <w:sz w:val="22"/>
                  <w:szCs w:val="22"/>
                </w:rPr>
                <m:t>-</m:t>
              </m:r>
              <m:sSup>
                <m:sSupPr>
                  <m:ctrlPr>
                    <w:rPr>
                      <w:rFonts w:ascii="Cambria Math" w:hAnsi="Cambria Math" w:cstheme="majorBidi"/>
                      <w:sz w:val="22"/>
                      <w:szCs w:val="22"/>
                    </w:rPr>
                  </m:ctrlPr>
                </m:sSupPr>
                <m:e>
                  <m:r>
                    <w:rPr>
                      <w:rFonts w:ascii="Cambria Math" w:hAnsi="Cambria Math" w:cstheme="majorBidi"/>
                      <w:sz w:val="22"/>
                      <w:szCs w:val="22"/>
                    </w:rPr>
                    <m:t>P</m:t>
                  </m:r>
                </m:e>
                <m:sup>
                  <m:r>
                    <w:rPr>
                      <w:rFonts w:ascii="Cambria Math" w:hAnsi="Cambria Math" w:cstheme="majorBidi"/>
                      <w:sz w:val="22"/>
                      <w:szCs w:val="22"/>
                    </w:rPr>
                    <m:t>2</m:t>
                  </m:r>
                </m:sup>
              </m:sSup>
            </m:e>
          </m:rad>
          <m:r>
            <w:rPr>
              <w:rFonts w:ascii="Cambria Math" w:hAnsi="Cambria Math" w:cstheme="majorBidi"/>
              <w:sz w:val="22"/>
              <w:szCs w:val="22"/>
            </w:rPr>
            <m:t>,</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I</m:t>
              </m:r>
            </m:e>
            <m:sub>
              <m:r>
                <w:rPr>
                  <w:rFonts w:ascii="Cambria Math" w:hAnsi="Cambria Math" w:cstheme="majorBidi"/>
                  <w:sz w:val="22"/>
                  <w:szCs w:val="22"/>
                </w:rPr>
                <m:t>k</m:t>
              </m:r>
            </m:sub>
          </m:sSub>
          <m:r>
            <w:rPr>
              <w:rFonts w:ascii="Cambria Math" w:hAnsi="Cambria Math" w:cstheme="majorBidi"/>
              <w:sz w:val="22"/>
              <w:szCs w:val="22"/>
            </w:rPr>
            <m:t>≈</m:t>
          </m:r>
          <m:r>
            <m:rPr>
              <m:sty m:val="p"/>
            </m:rPr>
            <w:rPr>
              <w:rFonts w:ascii="Cambria Math" w:hAnsi="Cambria Math" w:cstheme="majorBidi"/>
              <w:sz w:val="22"/>
              <w:szCs w:val="22"/>
            </w:rPr>
            <m:t>mean</m:t>
          </m:r>
          <m:r>
            <w:rPr>
              <w:rFonts w:ascii="Cambria Math" w:hAnsi="Cambria Math" w:cstheme="majorBidi"/>
              <w:sz w:val="22"/>
              <w:szCs w:val="22"/>
            </w:rPr>
            <m:t>⁡</m:t>
          </m:r>
          <m:d>
            <m:dPr>
              <m:ctrlPr>
                <w:rPr>
                  <w:rFonts w:ascii="Cambria Math" w:hAnsi="Cambria Math" w:cstheme="majorBidi"/>
                  <w:sz w:val="22"/>
                  <w:szCs w:val="22"/>
                </w:rPr>
              </m:ctrlPr>
            </m:dPr>
            <m:e>
              <m:sSub>
                <m:sSubPr>
                  <m:ctrlPr>
                    <w:rPr>
                      <w:rFonts w:ascii="Cambria Math" w:hAnsi="Cambria Math" w:cstheme="majorBidi"/>
                      <w:sz w:val="22"/>
                      <w:szCs w:val="22"/>
                    </w:rPr>
                  </m:ctrlPr>
                </m:sSubPr>
                <m:e>
                  <m:r>
                    <w:rPr>
                      <w:rFonts w:ascii="Cambria Math" w:hAnsi="Cambria Math" w:cstheme="majorBidi"/>
                      <w:sz w:val="22"/>
                      <w:szCs w:val="22"/>
                    </w:rPr>
                    <m:t>I</m:t>
                  </m:r>
                </m:e>
                <m:sub>
                  <m:r>
                    <m:rPr>
                      <m:nor/>
                    </m:rPr>
                    <w:rPr>
                      <w:rFonts w:asciiTheme="majorBidi" w:hAnsiTheme="majorBidi" w:cstheme="majorBidi"/>
                      <w:sz w:val="22"/>
                      <w:szCs w:val="22"/>
                    </w:rPr>
                    <m:t>other two phases</m:t>
                  </m:r>
                </m:sub>
              </m:sSub>
            </m:e>
          </m:d>
          <m:r>
            <w:rPr>
              <w:rFonts w:ascii="Cambria Math" w:hAnsi="Cambria Math" w:cstheme="majorBidi"/>
              <w:sz w:val="22"/>
              <w:szCs w:val="22"/>
            </w:rPr>
            <m:t>,</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W</m:t>
              </m:r>
            </m:e>
            <m:sub>
              <m:r>
                <w:rPr>
                  <w:rFonts w:ascii="Cambria Math" w:hAnsi="Cambria Math" w:cstheme="majorBidi"/>
                  <w:sz w:val="22"/>
                  <w:szCs w:val="22"/>
                </w:rPr>
                <m:t>k</m:t>
              </m:r>
            </m:sub>
          </m:sSub>
          <m:r>
            <w:rPr>
              <w:rFonts w:ascii="Cambria Math" w:hAnsi="Cambria Math" w:cstheme="majorBidi"/>
              <w:sz w:val="22"/>
              <w:szCs w:val="22"/>
            </w:rPr>
            <m:t>≈</m:t>
          </m:r>
          <m:r>
            <m:rPr>
              <m:sty m:val="p"/>
            </m:rPr>
            <w:rPr>
              <w:rFonts w:ascii="Cambria Math" w:hAnsi="Cambria Math" w:cstheme="majorBidi"/>
              <w:sz w:val="22"/>
              <w:szCs w:val="22"/>
            </w:rPr>
            <m:t>mean</m:t>
          </m:r>
          <m:r>
            <w:rPr>
              <w:rFonts w:ascii="Cambria Math" w:hAnsi="Cambria Math" w:cstheme="majorBidi"/>
              <w:sz w:val="22"/>
              <w:szCs w:val="22"/>
            </w:rPr>
            <m:t>⁡</m:t>
          </m:r>
          <m:d>
            <m:dPr>
              <m:ctrlPr>
                <w:rPr>
                  <w:rFonts w:ascii="Cambria Math" w:hAnsi="Cambria Math" w:cstheme="majorBidi"/>
                  <w:sz w:val="22"/>
                  <w:szCs w:val="22"/>
                </w:rPr>
              </m:ctrlPr>
            </m:dPr>
            <m:e>
              <m:sSub>
                <m:sSubPr>
                  <m:ctrlPr>
                    <w:rPr>
                      <w:rFonts w:ascii="Cambria Math" w:hAnsi="Cambria Math" w:cstheme="majorBidi"/>
                      <w:sz w:val="22"/>
                      <w:szCs w:val="22"/>
                    </w:rPr>
                  </m:ctrlPr>
                </m:sSubPr>
                <m:e>
                  <m:r>
                    <w:rPr>
                      <w:rFonts w:ascii="Cambria Math" w:hAnsi="Cambria Math" w:cstheme="majorBidi"/>
                      <w:sz w:val="22"/>
                      <w:szCs w:val="22"/>
                    </w:rPr>
                    <m:t>W</m:t>
                  </m:r>
                </m:e>
                <m:sub>
                  <m:r>
                    <m:rPr>
                      <m:nor/>
                    </m:rPr>
                    <w:rPr>
                      <w:rFonts w:asciiTheme="majorBidi" w:hAnsiTheme="majorBidi" w:cstheme="majorBidi"/>
                      <w:sz w:val="22"/>
                      <w:szCs w:val="22"/>
                    </w:rPr>
                    <m:t>other two windings</m:t>
                  </m:r>
                </m:sub>
              </m:sSub>
            </m:e>
          </m:d>
          <m:r>
            <w:rPr>
              <w:rFonts w:ascii="Cambria Math" w:hAnsi="Cambria Math" w:cstheme="majorBidi"/>
              <w:sz w:val="22"/>
              <w:szCs w:val="22"/>
            </w:rPr>
            <m:t>.</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5,i</m:t>
              </m:r>
            </m:sub>
          </m:sSub>
          <m:r>
            <w:rPr>
              <w:rFonts w:ascii="Cambria Math" w:hAnsi="Cambria Math" w:cstheme="majorBidi"/>
              <w:sz w:val="22"/>
              <w:szCs w:val="22"/>
            </w:rPr>
            <m:t>-</m:t>
          </m:r>
          <m:r>
            <m:rPr>
              <m:sty m:val="p"/>
            </m:rPr>
            <w:rPr>
              <w:rFonts w:ascii="Cambria Math" w:hAnsi="Cambria Math" w:cstheme="majorBidi"/>
              <w:sz w:val="22"/>
              <w:szCs w:val="22"/>
            </w:rPr>
            <m:t>mean</m:t>
          </m:r>
          <m:r>
            <w:rPr>
              <w:rFonts w:ascii="Cambria Math" w:hAnsi="Cambria Math" w:cstheme="majorBidi"/>
              <w:sz w:val="22"/>
              <w:szCs w:val="22"/>
            </w:rPr>
            <m:t>⁡</m:t>
          </m:r>
          <m:d>
            <m:dPr>
              <m:ctrlPr>
                <w:rPr>
                  <w:rFonts w:ascii="Cambria Math" w:hAnsi="Cambria Math" w:cstheme="majorBidi"/>
                  <w:sz w:val="22"/>
                  <w:szCs w:val="22"/>
                </w:rPr>
              </m:ctrlPr>
            </m:dPr>
            <m:e>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5,j≠i</m:t>
                  </m:r>
                </m:sub>
              </m:sSub>
            </m:e>
          </m:d>
          <m:r>
            <w:rPr>
              <w:rFonts w:ascii="Cambria Math" w:hAnsi="Cambria Math" w:cstheme="majorBidi"/>
              <w:sz w:val="22"/>
              <w:szCs w:val="22"/>
            </w:rPr>
            <m:t>≈a+bP, i=1,…,6,</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5,</m:t>
              </m:r>
              <m:r>
                <m:rPr>
                  <m:sty m:val="p"/>
                </m:rPr>
                <w:rPr>
                  <w:rFonts w:ascii="Cambria Math" w:hAnsi="Cambria Math" w:cstheme="majorBidi"/>
                  <w:sz w:val="22"/>
                  <w:szCs w:val="22"/>
                </w:rPr>
                <m:t>avg</m:t>
              </m:r>
            </m:sub>
          </m:sSub>
          <m:r>
            <w:rPr>
              <w:rFonts w:ascii="Cambria Math" w:hAnsi="Cambria Math" w:cstheme="majorBidi"/>
              <w:sz w:val="22"/>
              <w:szCs w:val="22"/>
            </w:rPr>
            <m:t>≈a+b</m:t>
          </m:r>
          <m:r>
            <m:rPr>
              <m:nor/>
            </m:rPr>
            <w:rPr>
              <w:rFonts w:asciiTheme="majorBidi" w:hAnsiTheme="majorBidi" w:cstheme="majorBidi"/>
              <w:sz w:val="22"/>
              <w:szCs w:val="22"/>
            </w:rPr>
            <m:t> </m:t>
          </m:r>
          <m:r>
            <m:rPr>
              <m:sty m:val="p"/>
            </m:rPr>
            <w:rPr>
              <w:rFonts w:ascii="Cambria Math" w:hAnsi="Cambria Math" w:cstheme="majorBidi"/>
              <w:sz w:val="22"/>
              <w:szCs w:val="22"/>
            </w:rPr>
            <m:t>mean</m:t>
          </m:r>
          <m:r>
            <w:rPr>
              <w:rFonts w:ascii="Cambria Math" w:hAnsi="Cambria Math" w:cstheme="majorBidi"/>
              <w:sz w:val="22"/>
              <w:szCs w:val="22"/>
            </w:rPr>
            <m:t>⁡</m:t>
          </m:r>
          <m:d>
            <m:dPr>
              <m:sepChr m:val=","/>
              <m:ctrlPr>
                <w:rPr>
                  <w:rFonts w:ascii="Cambria Math" w:hAnsi="Cambria Math" w:cstheme="majorBidi"/>
                  <w:sz w:val="22"/>
                  <w:szCs w:val="22"/>
                </w:rPr>
              </m:ctrlPr>
            </m:dPr>
            <m:e>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5,1</m:t>
                  </m:r>
                </m:sub>
              </m:sSub>
            </m:e>
            <m:e>
              <m:r>
                <w:rPr>
                  <w:rFonts w:ascii="Cambria Math" w:hAnsi="Cambria Math" w:cstheme="majorBidi"/>
                  <w:sz w:val="22"/>
                  <w:szCs w:val="22"/>
                </w:rPr>
                <m:t>…</m:t>
              </m:r>
            </m:e>
            <m:e>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5,6</m:t>
                  </m:r>
                </m:sub>
              </m:sSub>
            </m:e>
          </m:d>
          <m:r>
            <w:rPr>
              <w:rFonts w:ascii="Cambria Math" w:hAnsi="Cambria Math" w:cstheme="majorBidi"/>
              <w:sz w:val="22"/>
              <w:szCs w:val="22"/>
            </w:rPr>
            <m:t>,</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7</m:t>
              </m:r>
            </m:sub>
          </m:sSub>
          <m:r>
            <w:rPr>
              <w:rFonts w:ascii="Cambria Math" w:hAnsi="Cambria Math" w:cstheme="majorBidi"/>
              <w:sz w:val="22"/>
              <w:szCs w:val="22"/>
            </w:rPr>
            <m:t>≈a+b</m:t>
          </m:r>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5,</m:t>
              </m:r>
              <m:r>
                <m:rPr>
                  <m:sty m:val="p"/>
                </m:rPr>
                <w:rPr>
                  <w:rFonts w:ascii="Cambria Math" w:hAnsi="Cambria Math" w:cstheme="majorBidi"/>
                  <w:sz w:val="22"/>
                  <w:szCs w:val="22"/>
                </w:rPr>
                <m:t>avg</m:t>
              </m:r>
            </m:sub>
          </m:sSub>
          <m:r>
            <w:rPr>
              <w:rFonts w:ascii="Cambria Math" w:hAnsi="Cambria Math" w:cstheme="majorBidi"/>
              <w:sz w:val="22"/>
              <w:szCs w:val="22"/>
            </w:rPr>
            <m:t>,</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F</m:t>
              </m:r>
            </m:e>
            <m:sub>
              <m:r>
                <w:rPr>
                  <w:rFonts w:ascii="Cambria Math" w:hAnsi="Cambria Math" w:cstheme="majorBidi"/>
                  <w:sz w:val="22"/>
                  <w:szCs w:val="22"/>
                </w:rPr>
                <m:t>g</m:t>
              </m:r>
            </m:sub>
          </m:sSub>
          <m:r>
            <w:rPr>
              <w:rFonts w:ascii="Cambria Math" w:hAnsi="Cambria Math" w:cstheme="majorBidi"/>
              <w:sz w:val="22"/>
              <w:szCs w:val="22"/>
            </w:rPr>
            <m:t>≈a+bP+c</m:t>
          </m:r>
          <m:sSup>
            <m:sSupPr>
              <m:ctrlPr>
                <w:rPr>
                  <w:rFonts w:ascii="Cambria Math" w:hAnsi="Cambria Math" w:cstheme="majorBidi"/>
                  <w:sz w:val="22"/>
                  <w:szCs w:val="22"/>
                </w:rPr>
              </m:ctrlPr>
            </m:sSupPr>
            <m:e>
              <m:r>
                <w:rPr>
                  <w:rFonts w:ascii="Cambria Math" w:hAnsi="Cambria Math" w:cstheme="majorBidi"/>
                  <w:sz w:val="22"/>
                  <w:szCs w:val="22"/>
                </w:rPr>
                <m:t>P</m:t>
              </m:r>
            </m:e>
            <m:sup>
              <m:r>
                <w:rPr>
                  <w:rFonts w:ascii="Cambria Math" w:hAnsi="Cambria Math" w:cstheme="majorBidi"/>
                  <w:sz w:val="22"/>
                  <w:szCs w:val="22"/>
                </w:rPr>
                <m:t>2</m:t>
              </m:r>
            </m:sup>
          </m:sSup>
          <m:r>
            <w:rPr>
              <w:rFonts w:ascii="Cambria Math" w:hAnsi="Cambria Math" w:cstheme="majorBidi"/>
              <w:sz w:val="22"/>
              <w:szCs w:val="22"/>
            </w:rPr>
            <m:t>,</m:t>
          </m:r>
          <m:r>
            <w:rPr>
              <w:rFonts w:asciiTheme="majorBidi" w:hAnsiTheme="majorBidi" w:cstheme="majorBidi"/>
              <w:sz w:val="22"/>
              <w:szCs w:val="22"/>
            </w:rPr>
            <w:br/>
          </m:r>
        </m:oMath>
        <m:oMath>
          <m:r>
            <w:rPr>
              <w:rFonts w:ascii="Cambria Math" w:hAnsi="Cambria Math" w:cstheme="majorBidi"/>
              <w:sz w:val="22"/>
              <w:szCs w:val="22"/>
            </w:rPr>
            <m:t>PCD≈a+bP+c</m:t>
          </m:r>
          <m:sSup>
            <m:sSupPr>
              <m:ctrlPr>
                <w:rPr>
                  <w:rFonts w:ascii="Cambria Math" w:hAnsi="Cambria Math" w:cstheme="majorBidi"/>
                  <w:sz w:val="22"/>
                  <w:szCs w:val="22"/>
                </w:rPr>
              </m:ctrlPr>
            </m:sSupPr>
            <m:e>
              <m:r>
                <w:rPr>
                  <w:rFonts w:ascii="Cambria Math" w:hAnsi="Cambria Math" w:cstheme="majorBidi"/>
                  <w:sz w:val="22"/>
                  <w:szCs w:val="22"/>
                </w:rPr>
                <m:t>P</m:t>
              </m:r>
            </m:e>
            <m:sup>
              <m:r>
                <w:rPr>
                  <w:rFonts w:ascii="Cambria Math" w:hAnsi="Cambria Math" w:cstheme="majorBidi"/>
                  <w:sz w:val="22"/>
                  <w:szCs w:val="22"/>
                </w:rPr>
                <m:t>2</m:t>
              </m:r>
            </m:sup>
          </m:sSup>
          <m:r>
            <w:rPr>
              <w:rFonts w:ascii="Cambria Math" w:hAnsi="Cambria Math" w:cstheme="majorBidi"/>
              <w:sz w:val="22"/>
              <w:szCs w:val="22"/>
            </w:rPr>
            <m:t>+d</m:t>
          </m:r>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1</m:t>
              </m:r>
            </m:sub>
          </m:sSub>
          <m:r>
            <w:rPr>
              <w:rFonts w:ascii="Cambria Math" w:hAnsi="Cambria Math" w:cstheme="majorBidi"/>
              <w:sz w:val="22"/>
              <w:szCs w:val="22"/>
            </w:rPr>
            <m:t>,</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T</m:t>
              </m:r>
            </m:e>
            <m:sub>
              <m:r>
                <w:rPr>
                  <w:rFonts w:ascii="Cambria Math" w:hAnsi="Cambria Math" w:cstheme="majorBidi"/>
                  <w:sz w:val="22"/>
                  <w:szCs w:val="22"/>
                </w:rPr>
                <m:t>1</m:t>
              </m:r>
            </m:sub>
          </m:sSub>
          <m:r>
            <w:rPr>
              <w:rFonts w:ascii="Cambria Math" w:hAnsi="Cambria Math" w:cstheme="majorBidi"/>
              <w:sz w:val="22"/>
              <w:szCs w:val="22"/>
            </w:rPr>
            <m:t>≈a+b</m:t>
          </m:r>
          <m:sSub>
            <m:sSubPr>
              <m:ctrlPr>
                <w:rPr>
                  <w:rFonts w:ascii="Cambria Math" w:hAnsi="Cambria Math" w:cstheme="majorBidi"/>
                  <w:sz w:val="22"/>
                  <w:szCs w:val="22"/>
                </w:rPr>
              </m:ctrlPr>
            </m:sSubPr>
            <m:e>
              <m:r>
                <w:rPr>
                  <w:rFonts w:ascii="Cambria Math" w:hAnsi="Cambria Math" w:cstheme="majorBidi"/>
                  <w:sz w:val="22"/>
                  <w:szCs w:val="22"/>
                </w:rPr>
                <m:t>T</m:t>
              </m:r>
            </m:e>
            <m:sub>
              <m:r>
                <m:rPr>
                  <m:sty m:val="p"/>
                </m:rPr>
                <w:rPr>
                  <w:rFonts w:ascii="Cambria Math" w:hAnsi="Cambria Math" w:cstheme="majorBidi"/>
                  <w:sz w:val="22"/>
                  <w:szCs w:val="22"/>
                </w:rPr>
                <m:t>ceiling</m:t>
              </m:r>
            </m:sub>
          </m:sSub>
          <m:r>
            <w:rPr>
              <w:rFonts w:ascii="Cambria Math" w:hAnsi="Cambria Math" w:cstheme="majorBidi"/>
              <w:sz w:val="22"/>
              <w:szCs w:val="22"/>
            </w:rPr>
            <m:t>,</m:t>
          </m:r>
          <m:r>
            <w:rPr>
              <w:rFonts w:asciiTheme="majorBidi" w:hAnsiTheme="majorBidi" w:cstheme="majorBidi"/>
              <w:sz w:val="22"/>
              <w:szCs w:val="22"/>
            </w:rPr>
            <w:br/>
          </m:r>
        </m:oMath>
        <m:oMath>
          <m:sSub>
            <m:sSubPr>
              <m:ctrlPr>
                <w:rPr>
                  <w:rFonts w:ascii="Cambria Math" w:hAnsi="Cambria Math" w:cstheme="majorBidi"/>
                  <w:sz w:val="22"/>
                  <w:szCs w:val="22"/>
                </w:rPr>
              </m:ctrlPr>
            </m:sSubPr>
            <m:e>
              <m:r>
                <w:rPr>
                  <w:rFonts w:ascii="Cambria Math" w:hAnsi="Cambria Math" w:cstheme="majorBidi"/>
                  <w:sz w:val="22"/>
                  <w:szCs w:val="22"/>
                </w:rPr>
                <m:t>T</m:t>
              </m:r>
            </m:e>
            <m:sub>
              <m:r>
                <m:rPr>
                  <m:sty m:val="p"/>
                </m:rPr>
                <w:rPr>
                  <w:rFonts w:ascii="Cambria Math" w:hAnsi="Cambria Math" w:cstheme="majorBidi"/>
                  <w:sz w:val="22"/>
                  <w:szCs w:val="22"/>
                </w:rPr>
                <m:t>DE</m:t>
              </m:r>
            </m:sub>
          </m:sSub>
          <m:r>
            <w:rPr>
              <w:rFonts w:ascii="Cambria Math" w:hAnsi="Cambria Math" w:cstheme="majorBidi"/>
              <w:sz w:val="22"/>
              <w:szCs w:val="22"/>
            </w:rPr>
            <m:t>≈a+b</m:t>
          </m:r>
          <m:sSub>
            <m:sSubPr>
              <m:ctrlPr>
                <w:rPr>
                  <w:rFonts w:ascii="Cambria Math" w:hAnsi="Cambria Math" w:cstheme="majorBidi"/>
                  <w:sz w:val="22"/>
                  <w:szCs w:val="22"/>
                </w:rPr>
              </m:ctrlPr>
            </m:sSubPr>
            <m:e>
              <m:r>
                <w:rPr>
                  <w:rFonts w:ascii="Cambria Math" w:hAnsi="Cambria Math" w:cstheme="majorBidi"/>
                  <w:sz w:val="22"/>
                  <w:szCs w:val="22"/>
                </w:rPr>
                <m:t>T</m:t>
              </m:r>
            </m:e>
            <m:sub>
              <m:r>
                <m:rPr>
                  <m:sty m:val="p"/>
                </m:rPr>
                <w:rPr>
                  <w:rFonts w:ascii="Cambria Math" w:hAnsi="Cambria Math" w:cstheme="majorBidi"/>
                  <w:sz w:val="22"/>
                  <w:szCs w:val="22"/>
                </w:rPr>
                <m:t>NDE</m:t>
              </m:r>
            </m:sub>
          </m:sSub>
          <m:r>
            <w:rPr>
              <w:rFonts w:ascii="Cambria Math" w:hAnsi="Cambria Math" w:cstheme="majorBidi"/>
              <w:sz w:val="22"/>
              <w:szCs w:val="22"/>
            </w:rPr>
            <m:t>.</m:t>
          </m:r>
        </m:oMath>
      </m:oMathPara>
    </w:p>
    <w:p w14:paraId="56E6889B"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Each relation predicted one target channel. We normalised its residual using the calibration median and median absolute deviation (MAD).</w:t>
      </w:r>
    </w:p>
    <w:p w14:paraId="65138A75"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A relation was considered violated when either the absolute normalised residual exceeded 6 at an individual row or its centred five-row rolling median exceeded 3. We flagged a row if any constraint was violated; we recorded the target of the violated relation as the localised channel.</w:t>
      </w:r>
    </w:p>
    <w:p w14:paraId="39B396C7"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P3. Statistical baseline detectors</w:t>
      </w:r>
    </w:p>
    <w:p w14:paraId="39AC15D4"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Four conventional detectors were evaluated using the same channels and row-level alarm aggregation:</w:t>
      </w:r>
    </w:p>
    <w:tbl>
      <w:tblPr>
        <w:tblStyle w:val="TableGrid"/>
        <w:tblW w:w="0" w:type="auto"/>
        <w:tblLook w:val="04A0" w:firstRow="1" w:lastRow="0" w:firstColumn="1" w:lastColumn="0" w:noHBand="0" w:noVBand="1"/>
      </w:tblPr>
      <w:tblGrid>
        <w:gridCol w:w="1716"/>
        <w:gridCol w:w="7686"/>
      </w:tblGrid>
      <w:tr w:rsidR="00E94995" w:rsidRPr="00E94995" w14:paraId="4BB1B750" w14:textId="77777777" w:rsidTr="00955969">
        <w:tc>
          <w:tcPr>
            <w:tcW w:w="0" w:type="auto"/>
            <w:hideMark/>
          </w:tcPr>
          <w:p w14:paraId="19CE2F13"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Detector</w:t>
            </w:r>
          </w:p>
        </w:tc>
        <w:tc>
          <w:tcPr>
            <w:tcW w:w="0" w:type="auto"/>
            <w:hideMark/>
          </w:tcPr>
          <w:p w14:paraId="15F0A334"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Fixed specification</w:t>
            </w:r>
          </w:p>
        </w:tc>
      </w:tr>
      <w:tr w:rsidR="00E94995" w:rsidRPr="00E94995" w14:paraId="60915BC8" w14:textId="77777777" w:rsidTr="00955969">
        <w:tc>
          <w:tcPr>
            <w:tcW w:w="0" w:type="auto"/>
            <w:hideMark/>
          </w:tcPr>
          <w:p w14:paraId="7BD26574"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Range/IQR</w:t>
            </w:r>
          </w:p>
        </w:tc>
        <w:tc>
          <w:tcPr>
            <w:tcW w:w="0" w:type="auto"/>
            <w:hideMark/>
          </w:tcPr>
          <w:p w14:paraId="518B1AD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Outside the calibration interval defined by the first and third quartiles ± three interquartile ranges</w:t>
            </w:r>
          </w:p>
        </w:tc>
      </w:tr>
      <w:tr w:rsidR="00E94995" w:rsidRPr="00E94995" w14:paraId="18C7F2A6" w14:textId="77777777" w:rsidTr="00955969">
        <w:tc>
          <w:tcPr>
            <w:tcW w:w="0" w:type="auto"/>
            <w:hideMark/>
          </w:tcPr>
          <w:p w14:paraId="437AF1E8"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Robust z-score</w:t>
            </w:r>
          </w:p>
        </w:tc>
        <w:tc>
          <w:tcPr>
            <w:tcW w:w="0" w:type="auto"/>
            <w:hideMark/>
          </w:tcPr>
          <w:p w14:paraId="5E9F1A7C"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 xml:space="preserve">Absolute median-centred deviation divided by </w:t>
            </w:r>
            <m:oMath>
              <m:r>
                <w:rPr>
                  <w:rFonts w:ascii="Cambria Math" w:hAnsi="Cambria Math" w:cstheme="majorBidi"/>
                  <w:sz w:val="22"/>
                  <w:szCs w:val="22"/>
                </w:rPr>
                <m:t>1.4826×MAD</m:t>
              </m:r>
            </m:oMath>
            <w:r>
              <w:rPr>
                <w:rFonts w:asciiTheme="majorBidi" w:hAnsiTheme="majorBidi" w:cstheme="majorBidi"/>
                <w:sz w:val="22"/>
                <w:szCs w:val="22"/>
              </w:rPr>
              <w:t xml:space="preserve"> greater than 3.5</w:t>
            </w:r>
          </w:p>
        </w:tc>
      </w:tr>
      <w:tr w:rsidR="00E94995" w:rsidRPr="00E94995" w14:paraId="06853818" w14:textId="77777777" w:rsidTr="00955969">
        <w:tc>
          <w:tcPr>
            <w:tcW w:w="0" w:type="auto"/>
            <w:hideMark/>
          </w:tcPr>
          <w:p w14:paraId="49B4777C"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Isolation Forest</w:t>
            </w:r>
          </w:p>
        </w:tc>
        <w:tc>
          <w:tcPr>
            <w:tcW w:w="0" w:type="auto"/>
            <w:hideMark/>
          </w:tcPr>
          <w:p w14:paraId="2B58BE31"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200 trees; random seed 0; standardised, median-imputed channels; 99th percentile of calibration anomaly scores</w:t>
            </w:r>
          </w:p>
        </w:tc>
      </w:tr>
      <w:tr w:rsidR="00E94995" w:rsidRPr="00E94995" w14:paraId="2A355306" w14:textId="77777777" w:rsidTr="00955969">
        <w:tc>
          <w:tcPr>
            <w:tcW w:w="0" w:type="auto"/>
            <w:hideMark/>
          </w:tcPr>
          <w:p w14:paraId="3FC59F79"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Robust Mahalanobis</w:t>
            </w:r>
          </w:p>
        </w:tc>
        <w:tc>
          <w:tcPr>
            <w:tcW w:w="0" w:type="auto"/>
            <w:hideMark/>
          </w:tcPr>
          <w:p w14:paraId="1B83CBFC"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 xml:space="preserve">Minimum Covariance Determinant (MCD), random seed 0, on standardised channels; chi-square threshold at probability </w:t>
            </w:r>
            <m:oMath>
              <m:r>
                <w:rPr>
                  <w:rFonts w:ascii="Cambria Math" w:hAnsi="Cambria Math" w:cstheme="majorBidi"/>
                  <w:sz w:val="22"/>
                  <w:szCs w:val="22"/>
                </w:rPr>
                <m:t>0.999</m:t>
              </m:r>
            </m:oMath>
            <w:r>
              <w:rPr>
                <w:rFonts w:asciiTheme="majorBidi" w:hAnsiTheme="majorBidi" w:cstheme="majorBidi"/>
                <w:sz w:val="22"/>
                <w:szCs w:val="22"/>
              </w:rPr>
              <w:t xml:space="preserve"> with </w:t>
            </w:r>
            <m:oMath>
              <m:r>
                <w:rPr>
                  <w:rFonts w:ascii="Cambria Math" w:hAnsi="Cambria Math" w:cstheme="majorBidi"/>
                  <w:sz w:val="22"/>
                  <w:szCs w:val="22"/>
                </w:rPr>
                <m:t>d</m:t>
              </m:r>
            </m:oMath>
            <w:r>
              <w:rPr>
                <w:rFonts w:asciiTheme="majorBidi" w:hAnsiTheme="majorBidi" w:cstheme="majorBidi"/>
                <w:sz w:val="22"/>
                <w:szCs w:val="22"/>
              </w:rPr>
              <w:t xml:space="preserve"> dimensions</w:t>
            </w:r>
          </w:p>
        </w:tc>
      </w:tr>
    </w:tbl>
    <w:p w14:paraId="5ABEC3CD"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A row was flagged whenever any evaluated channel triggered an alarm.</w:t>
      </w:r>
    </w:p>
    <w:p w14:paraId="636A7945"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P4. Corruption scenarios</w:t>
      </w:r>
    </w:p>
    <w:p w14:paraId="06BB3831"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Five channel-swap pairs were defined:</w:t>
      </w:r>
    </w:p>
    <w:tbl>
      <w:tblPr>
        <w:tblStyle w:val="TableGrid"/>
        <w:tblW w:w="0" w:type="auto"/>
        <w:tblLook w:val="04A0" w:firstRow="1" w:lastRow="0" w:firstColumn="1" w:lastColumn="0" w:noHBand="0" w:noVBand="1"/>
      </w:tblPr>
      <w:tblGrid>
        <w:gridCol w:w="620"/>
        <w:gridCol w:w="4132"/>
        <w:gridCol w:w="2992"/>
      </w:tblGrid>
      <w:tr w:rsidR="00E94995" w:rsidRPr="00E94995" w14:paraId="2DABDF24" w14:textId="77777777" w:rsidTr="00955969">
        <w:tc>
          <w:tcPr>
            <w:tcW w:w="0" w:type="auto"/>
            <w:hideMark/>
          </w:tcPr>
          <w:p w14:paraId="57676765"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lastRenderedPageBreak/>
              <w:t>Pair</w:t>
            </w:r>
          </w:p>
        </w:tc>
        <w:tc>
          <w:tcPr>
            <w:tcW w:w="0" w:type="auto"/>
            <w:hideMark/>
          </w:tcPr>
          <w:p w14:paraId="34F6855A"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Exchanged channels</w:t>
            </w:r>
          </w:p>
        </w:tc>
        <w:tc>
          <w:tcPr>
            <w:tcW w:w="0" w:type="auto"/>
            <w:hideMark/>
          </w:tcPr>
          <w:p w14:paraId="7066AA9B"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Intended difficulty</w:t>
            </w:r>
          </w:p>
        </w:tc>
      </w:tr>
      <w:tr w:rsidR="00E94995" w:rsidRPr="00E94995" w14:paraId="1338B235" w14:textId="77777777" w:rsidTr="00955969">
        <w:tc>
          <w:tcPr>
            <w:tcW w:w="0" w:type="auto"/>
            <w:hideMark/>
          </w:tcPr>
          <w:p w14:paraId="359C3209"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P1</w:t>
            </w:r>
          </w:p>
        </w:tc>
        <w:tc>
          <w:tcPr>
            <w:tcW w:w="0" w:type="auto"/>
            <w:hideMark/>
          </w:tcPr>
          <w:p w14:paraId="4438417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T₁ ↔ start count</w:t>
            </w:r>
          </w:p>
        </w:tc>
        <w:tc>
          <w:tcPr>
            <w:tcW w:w="0" w:type="auto"/>
            <w:hideMark/>
          </w:tcPr>
          <w:p w14:paraId="3D341C91"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Easy; observed error</w:t>
            </w:r>
          </w:p>
        </w:tc>
      </w:tr>
      <w:tr w:rsidR="00E94995" w:rsidRPr="00E94995" w14:paraId="679DF272" w14:textId="77777777" w:rsidTr="00955969">
        <w:tc>
          <w:tcPr>
            <w:tcW w:w="0" w:type="auto"/>
            <w:hideMark/>
          </w:tcPr>
          <w:p w14:paraId="01195255"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P2</w:t>
            </w:r>
          </w:p>
        </w:tc>
        <w:tc>
          <w:tcPr>
            <w:tcW w:w="0" w:type="auto"/>
            <w:hideMark/>
          </w:tcPr>
          <w:p w14:paraId="4378276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T₁ ↔ ceiling temperature</w:t>
            </w:r>
          </w:p>
        </w:tc>
        <w:tc>
          <w:tcPr>
            <w:tcW w:w="0" w:type="auto"/>
            <w:hideMark/>
          </w:tcPr>
          <w:p w14:paraId="738C4773"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Medium; values within bounds</w:t>
            </w:r>
          </w:p>
        </w:tc>
      </w:tr>
      <w:tr w:rsidR="00E94995" w:rsidRPr="00E94995" w14:paraId="1D2CCBCB" w14:textId="77777777" w:rsidTr="00955969">
        <w:tc>
          <w:tcPr>
            <w:tcW w:w="0" w:type="auto"/>
            <w:hideMark/>
          </w:tcPr>
          <w:p w14:paraId="316B005E"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P3</w:t>
            </w:r>
          </w:p>
        </w:tc>
        <w:tc>
          <w:tcPr>
            <w:tcW w:w="0" w:type="auto"/>
            <w:hideMark/>
          </w:tcPr>
          <w:p w14:paraId="70F9E0C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Gas-fuel flow ↔ average T₅</w:t>
            </w:r>
          </w:p>
        </w:tc>
        <w:tc>
          <w:tcPr>
            <w:tcW w:w="0" w:type="auto"/>
            <w:hideMark/>
          </w:tcPr>
          <w:p w14:paraId="3D3108D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Medium; values within bounds</w:t>
            </w:r>
          </w:p>
        </w:tc>
      </w:tr>
      <w:tr w:rsidR="00E94995" w:rsidRPr="00E94995" w14:paraId="7ED67FF7" w14:textId="77777777" w:rsidTr="00955969">
        <w:tc>
          <w:tcPr>
            <w:tcW w:w="0" w:type="auto"/>
            <w:hideMark/>
          </w:tcPr>
          <w:p w14:paraId="5A92DA40"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P4</w:t>
            </w:r>
          </w:p>
        </w:tc>
        <w:tc>
          <w:tcPr>
            <w:tcW w:w="0" w:type="auto"/>
            <w:hideMark/>
          </w:tcPr>
          <w:p w14:paraId="4ECBA93C"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T₅ thermocouple #2 ↔ #5</w:t>
            </w:r>
          </w:p>
        </w:tc>
        <w:tc>
          <w:tcPr>
            <w:tcW w:w="0" w:type="auto"/>
            <w:hideMark/>
          </w:tcPr>
          <w:p w14:paraId="7628306B"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Hard; same numerical range</w:t>
            </w:r>
          </w:p>
        </w:tc>
      </w:tr>
      <w:tr w:rsidR="00E94995" w:rsidRPr="00E94995" w14:paraId="3F63EC40" w14:textId="77777777" w:rsidTr="00955969">
        <w:tc>
          <w:tcPr>
            <w:tcW w:w="0" w:type="auto"/>
            <w:hideMark/>
          </w:tcPr>
          <w:p w14:paraId="05F813C1"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P5</w:t>
            </w:r>
          </w:p>
        </w:tc>
        <w:tc>
          <w:tcPr>
            <w:tcW w:w="0" w:type="auto"/>
            <w:hideMark/>
          </w:tcPr>
          <w:p w14:paraId="191A91AE"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Generator DE ↔ NDE bearing temperatures</w:t>
            </w:r>
          </w:p>
        </w:tc>
        <w:tc>
          <w:tcPr>
            <w:tcW w:w="0" w:type="auto"/>
            <w:hideMark/>
          </w:tcPr>
          <w:p w14:paraId="2B538D63"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Hard; approximately 3 °C apart</w:t>
            </w:r>
          </w:p>
        </w:tc>
      </w:tr>
    </w:tbl>
    <w:p w14:paraId="776B328E"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Four temporal patterns were used: (i) a contiguous block covering 25% of evaluation observations; (ii) intermittent runs of 1–12 rows with approximately 30% coverage; (iii) whole 12-hour shift worksheets, covering approximately 40% of worksheets; and (iv) replay of the observed R01 corruption mask, mapped by relative position onto the evaluation half.</w:t>
      </w:r>
    </w:p>
    <w:p w14:paraId="667F739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 xml:space="preserve">The design comprised 5 channel pairs × 4 patterns × 2 reference populations = </w:t>
      </w:r>
      <w:r>
        <w:rPr>
          <w:rFonts w:asciiTheme="majorBidi" w:hAnsiTheme="majorBidi" w:cstheme="majorBidi"/>
          <w:b/>
          <w:bCs/>
          <w:sz w:val="22"/>
          <w:szCs w:val="22"/>
        </w:rPr>
        <w:t>40 swap scenarios</w:t>
      </w:r>
      <w:r>
        <w:rPr>
          <w:rFonts w:asciiTheme="majorBidi" w:hAnsiTheme="majorBidi" w:cstheme="majorBidi"/>
          <w:sz w:val="22"/>
          <w:szCs w:val="22"/>
        </w:rPr>
        <w:t>, each evaluated with five random seeds.</w:t>
      </w:r>
    </w:p>
    <w:p w14:paraId="42822107"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Two secondary point-corruption scenarios were also specified, both affecting 1% of evaluation rows in one randomly selected channel: multiplicative spikes with a factor drawn uniformly from 3 to 10, and decimal shifts by multiplication or division by 10. These scenarios were expected to favour statistical baseline detectors.</w:t>
      </w:r>
    </w:p>
    <w:p w14:paraId="1539D3BA"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P5. Metrics and success criteria</w:t>
      </w:r>
    </w:p>
    <w:p w14:paraId="667C334D"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Row-level metrics included recall, false-positive rate (FPR), precision, F1-score, detection delay from the onset of a corrupted block to the first alarm, and the fraction of the corrupted block detected. For the physics–chronology framework, localisation measured the proportion of detected corrupted rows with at least one swapped channel identified.</w:t>
      </w:r>
    </w:p>
    <w:p w14:paraId="45C8FBAC"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 xml:space="preserve">The </w:t>
      </w:r>
      <w:r>
        <w:rPr>
          <w:rFonts w:asciiTheme="majorBidi" w:hAnsiTheme="majorBidi" w:cstheme="majorBidi"/>
          <w:b/>
          <w:bCs/>
          <w:sz w:val="22"/>
          <w:szCs w:val="22"/>
        </w:rPr>
        <w:t>primary criterion (H2)</w:t>
      </w:r>
      <w:r>
        <w:rPr>
          <w:rFonts w:asciiTheme="majorBidi" w:hAnsiTheme="majorBidi" w:cstheme="majorBidi"/>
          <w:sz w:val="22"/>
          <w:szCs w:val="22"/>
        </w:rPr>
        <w:t xml:space="preserve"> required the physics–chronology framework to achieve both recall ≥ 0.90 and FPR ≤ 0.05 in at least 21 of the 40 swap scenarios, using scenario-level medians across five seeds.</w:t>
      </w:r>
    </w:p>
    <w:p w14:paraId="4A6BC223"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 xml:space="preserve">The </w:t>
      </w:r>
      <w:r>
        <w:rPr>
          <w:rFonts w:asciiTheme="majorBidi" w:hAnsiTheme="majorBidi" w:cstheme="majorBidi"/>
          <w:b/>
          <w:bCs/>
          <w:sz w:val="22"/>
          <w:szCs w:val="22"/>
        </w:rPr>
        <w:t>secondary criterion</w:t>
      </w:r>
      <w:r>
        <w:rPr>
          <w:rFonts w:asciiTheme="majorBidi" w:hAnsiTheme="majorBidi" w:cstheme="majorBidi"/>
          <w:sz w:val="22"/>
          <w:szCs w:val="22"/>
        </w:rPr>
        <w:t xml:space="preserve"> required at least one baseline to have recall below 0.60 or substantially greater detection delay in those scenarios. Superiority of the framework on point spikes or decimal shifts was not required.</w:t>
      </w:r>
    </w:p>
    <w:p w14:paraId="23038B96"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If the primary criterion failed, we would report the failure and withdraw the claim of a generally effective screening framework.</w:t>
      </w:r>
    </w:p>
    <w:p w14:paraId="5A0ECF49"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P6. Experiment II: Consequences of missed corruption</w:t>
      </w:r>
    </w:p>
    <w:p w14:paraId="0532FC8A"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The evaluation half of Reference B was used to compare clean and corrupted regressions. T₁ was replaced by either start count or ceiling temperature in one contiguous block covering 10%, 25%, 50%, 75%, or 100% of the observations, with five random seeds per configuration.</w:t>
      </w:r>
    </w:p>
    <w:p w14:paraId="100EE585" w14:textId="77777777" w:rsidR="00E94995" w:rsidRPr="00E94995" w:rsidRDefault="00E94995" w:rsidP="00CC20CC">
      <w:pPr>
        <w:spacing w:line="360" w:lineRule="auto"/>
        <w:jc w:val="lowKashida"/>
        <w:rPr>
          <w:rFonts w:asciiTheme="majorBidi" w:hAnsiTheme="majorBidi" w:cstheme="majorBidi"/>
          <w:sz w:val="22"/>
          <w:szCs w:val="22"/>
        </w:rPr>
      </w:pPr>
      <w:r>
        <w:rPr>
          <w:rFonts w:asciiTheme="majorBidi" w:hAnsiTheme="majorBidi" w:cstheme="majorBidi"/>
          <w:sz w:val="22"/>
          <w:szCs w:val="22"/>
        </w:rPr>
        <w:lastRenderedPageBreak/>
        <w:t xml:space="preserve">The model used real power, squared real power, and T₁ to predict average T₅ and T₇. Changes in model fit and the relative error in the T₁ coefficient were reported using </w:t>
      </w:r>
      <m:oMath>
        <m:r>
          <m:rPr>
            <m:sty m:val="p"/>
          </m:rPr>
          <w:rPr>
            <w:rFonts w:ascii="Cambria Math" w:hAnsi="Cambria Math" w:cstheme="majorBidi"/>
            <w:sz w:val="22"/>
            <w:szCs w:val="22"/>
          </w:rPr>
          <m:t>Δ</m:t>
        </m:r>
        <m:sSup>
          <m:sSupPr>
            <m:ctrlPr>
              <w:rPr>
                <w:rFonts w:ascii="Cambria Math" w:hAnsi="Cambria Math" w:cstheme="majorBidi"/>
                <w:sz w:val="22"/>
                <w:szCs w:val="22"/>
              </w:rPr>
            </m:ctrlPr>
          </m:sSupPr>
          <m:e>
            <m:r>
              <w:rPr>
                <w:rFonts w:ascii="Cambria Math" w:hAnsi="Cambria Math" w:cstheme="majorBidi"/>
                <w:sz w:val="22"/>
                <w:szCs w:val="22"/>
              </w:rPr>
              <m:t>R</m:t>
            </m:r>
          </m:e>
          <m:sup>
            <m:r>
              <w:rPr>
                <w:rFonts w:ascii="Cambria Math" w:hAnsi="Cambria Math" w:cstheme="majorBidi"/>
                <w:sz w:val="22"/>
                <w:szCs w:val="22"/>
              </w:rPr>
              <m:t>2</m:t>
            </m:r>
          </m:sup>
        </m:sSup>
      </m:oMath>
      <w:r>
        <w:rPr>
          <w:rFonts w:asciiTheme="majorBidi" w:hAnsiTheme="majorBidi" w:cstheme="majorBidi"/>
          <w:sz w:val="22"/>
          <w:szCs w:val="22"/>
        </w:rPr>
        <w:t xml:space="preserve"> and </w:t>
      </w:r>
      <m:oMath>
        <m:sSub>
          <m:sSubPr>
            <m:ctrlPr>
              <w:rPr>
                <w:rFonts w:ascii="Cambria Math" w:hAnsi="Cambria Math" w:cstheme="majorBidi"/>
                <w:sz w:val="22"/>
                <w:szCs w:val="22"/>
              </w:rPr>
            </m:ctrlPr>
          </m:sSubPr>
          <m:e>
            <m:r>
              <w:rPr>
                <w:rFonts w:ascii="Cambria Math" w:hAnsi="Cambria Math" w:cstheme="majorBidi"/>
                <w:sz w:val="22"/>
                <w:szCs w:val="22"/>
              </w:rPr>
              <m:t>E</m:t>
            </m:r>
          </m:e>
          <m:sub>
            <m:r>
              <w:rPr>
                <w:rFonts w:ascii="Cambria Math" w:hAnsi="Cambria Math" w:cstheme="majorBidi"/>
                <w:sz w:val="22"/>
                <w:szCs w:val="22"/>
              </w:rPr>
              <m:t>β</m:t>
            </m:r>
          </m:sub>
        </m:sSub>
      </m:oMath>
      <w:r>
        <w:rPr>
          <w:rFonts w:asciiTheme="majorBidi" w:hAnsiTheme="majorBidi" w:cstheme="majorBidi"/>
          <w:sz w:val="22"/>
          <w:szCs w:val="22"/>
        </w:rPr>
        <w:t>, respectively.</w:t>
      </w:r>
    </w:p>
    <w:p w14:paraId="2687D950" w14:textId="77777777" w:rsidR="00E94995" w:rsidRPr="00E94995" w:rsidRDefault="00E94995" w:rsidP="00E94995">
      <w:pPr>
        <w:spacing w:line="360" w:lineRule="auto"/>
        <w:jc w:val="lowKashida"/>
        <w:rPr>
          <w:rFonts w:asciiTheme="majorBidi" w:hAnsiTheme="majorBidi" w:cstheme="majorBidi"/>
          <w:b/>
          <w:bCs/>
          <w:sz w:val="22"/>
          <w:szCs w:val="22"/>
        </w:rPr>
      </w:pPr>
      <w:r>
        <w:rPr>
          <w:rFonts w:asciiTheme="majorBidi" w:hAnsiTheme="majorBidi" w:cstheme="majorBidi"/>
          <w:b/>
          <w:bCs/>
          <w:sz w:val="22"/>
          <w:szCs w:val="22"/>
        </w:rPr>
        <w:t>Section S2. Reproducibility package</w:t>
      </w:r>
    </w:p>
    <w:p w14:paraId="44A89C2B" w14:textId="77777777"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sz w:val="22"/>
          <w:szCs w:val="22"/>
        </w:rPr>
        <w:t>The reproducibility package contains the analysis scripts, reconstructed dataset, cell-level correction log, pre-specified protocol, and a ledger linking reported numerical results to their generating output files. The three source workbooks remain available through Mendeley Data (DOI: 10.17632/6w3vy3ybhg.3) and are not redistributed. The run_all.sh script reproduces the analyses, with random generators seeded.</w:t>
      </w:r>
    </w:p>
    <w:tbl>
      <w:tblPr>
        <w:tblStyle w:val="TableGrid"/>
        <w:tblW w:w="0" w:type="auto"/>
        <w:tblLook w:val="04A0" w:firstRow="1" w:lastRow="0" w:firstColumn="1" w:lastColumn="0" w:noHBand="0" w:noVBand="1"/>
      </w:tblPr>
      <w:tblGrid>
        <w:gridCol w:w="632"/>
        <w:gridCol w:w="2229"/>
        <w:gridCol w:w="6541"/>
      </w:tblGrid>
      <w:tr w:rsidR="00E94995" w:rsidRPr="00E94995" w14:paraId="33A1EBCD" w14:textId="77777777" w:rsidTr="00CC20CC">
        <w:tc>
          <w:tcPr>
            <w:tcW w:w="0" w:type="auto"/>
            <w:hideMark/>
          </w:tcPr>
          <w:p w14:paraId="137BE9C0" w14:textId="77777777" w:rsidR="00E94995" w:rsidRPr="00E94995" w:rsidRDefault="00E94995" w:rsidP="00E94995">
            <w:pPr>
              <w:spacing w:after="160" w:line="360" w:lineRule="auto"/>
              <w:jc w:val="lowKashida"/>
              <w:rPr>
                <w:rFonts w:asciiTheme="majorBidi" w:hAnsiTheme="majorBidi" w:cstheme="majorBidi"/>
                <w:b/>
                <w:bCs/>
                <w:sz w:val="22"/>
                <w:szCs w:val="22"/>
              </w:rPr>
            </w:pPr>
            <w:r>
              <w:rPr>
                <w:rFonts w:asciiTheme="majorBidi" w:hAnsiTheme="majorBidi" w:cstheme="majorBidi"/>
                <w:b/>
                <w:bCs/>
                <w:sz w:val="22"/>
                <w:szCs w:val="22"/>
              </w:rPr>
              <w:t>Step</w:t>
            </w:r>
          </w:p>
        </w:tc>
        <w:tc>
          <w:tcPr>
            <w:tcW w:w="0" w:type="auto"/>
            <w:hideMark/>
          </w:tcPr>
          <w:p w14:paraId="13C33335" w14:textId="77777777" w:rsidR="00E94995" w:rsidRPr="00E94995" w:rsidRDefault="00E94995" w:rsidP="00E94995">
            <w:pPr>
              <w:spacing w:after="160" w:line="360" w:lineRule="auto"/>
              <w:jc w:val="lowKashida"/>
              <w:rPr>
                <w:rFonts w:asciiTheme="majorBidi" w:hAnsiTheme="majorBidi" w:cstheme="majorBidi"/>
                <w:b/>
                <w:bCs/>
                <w:sz w:val="22"/>
                <w:szCs w:val="22"/>
              </w:rPr>
            </w:pPr>
            <w:r>
              <w:rPr>
                <w:rFonts w:asciiTheme="majorBidi" w:hAnsiTheme="majorBidi" w:cstheme="majorBidi"/>
                <w:b/>
                <w:bCs/>
                <w:sz w:val="22"/>
                <w:szCs w:val="22"/>
              </w:rPr>
              <w:t>Script</w:t>
            </w:r>
          </w:p>
        </w:tc>
        <w:tc>
          <w:tcPr>
            <w:tcW w:w="0" w:type="auto"/>
            <w:hideMark/>
          </w:tcPr>
          <w:p w14:paraId="42904488" w14:textId="77777777" w:rsidR="00E94995" w:rsidRPr="00E94995" w:rsidRDefault="00E94995" w:rsidP="00E94995">
            <w:pPr>
              <w:spacing w:after="160" w:line="360" w:lineRule="auto"/>
              <w:jc w:val="lowKashida"/>
              <w:rPr>
                <w:rFonts w:asciiTheme="majorBidi" w:hAnsiTheme="majorBidi" w:cstheme="majorBidi"/>
                <w:b/>
                <w:bCs/>
                <w:sz w:val="22"/>
                <w:szCs w:val="22"/>
              </w:rPr>
            </w:pPr>
            <w:r>
              <w:rPr>
                <w:rFonts w:asciiTheme="majorBidi" w:hAnsiTheme="majorBidi" w:cstheme="majorBidi"/>
                <w:b/>
                <w:bCs/>
                <w:sz w:val="22"/>
                <w:szCs w:val="22"/>
              </w:rPr>
              <w:t>Purpose</w:t>
            </w:r>
          </w:p>
        </w:tc>
      </w:tr>
      <w:tr w:rsidR="00E94995" w:rsidRPr="00E94995" w14:paraId="2D444729" w14:textId="77777777" w:rsidTr="00CC20CC">
        <w:tc>
          <w:tcPr>
            <w:tcW w:w="0" w:type="auto"/>
            <w:hideMark/>
          </w:tcPr>
          <w:p w14:paraId="65DFDB81"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01</w:t>
            </w:r>
          </w:p>
        </w:tc>
        <w:tc>
          <w:tcPr>
            <w:tcW w:w="0" w:type="auto"/>
            <w:hideMark/>
          </w:tcPr>
          <w:p w14:paraId="57F4E15E" w14:textId="534A708D"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01</w:t>
            </w:r>
            <w:r w:rsidR="00955969">
              <w:rPr>
                <w:rFonts w:asciiTheme="majorBidi" w:hAnsiTheme="majorBidi" w:cstheme="majorBidi"/>
                <w:sz w:val="22"/>
                <w:szCs w:val="22"/>
              </w:rPr>
              <w:t xml:space="preserve"> </w:t>
            </w:r>
            <w:r>
              <w:rPr>
                <w:rFonts w:asciiTheme="majorBidi" w:hAnsiTheme="majorBidi" w:cstheme="majorBidi"/>
                <w:sz w:val="22"/>
                <w:szCs w:val="22"/>
              </w:rPr>
              <w:t>build</w:t>
            </w:r>
            <w:r w:rsidR="00955969">
              <w:rPr>
                <w:rFonts w:asciiTheme="majorBidi" w:hAnsiTheme="majorBidi" w:cstheme="majorBidi"/>
                <w:sz w:val="22"/>
                <w:szCs w:val="22"/>
              </w:rPr>
              <w:t xml:space="preserve"> </w:t>
            </w:r>
            <w:r>
              <w:rPr>
                <w:rFonts w:asciiTheme="majorBidi" w:hAnsiTheme="majorBidi" w:cstheme="majorBidi"/>
                <w:sz w:val="22"/>
                <w:szCs w:val="22"/>
              </w:rPr>
              <w:t>master.py</w:t>
            </w:r>
          </w:p>
        </w:tc>
        <w:tc>
          <w:tcPr>
            <w:tcW w:w="0" w:type="auto"/>
            <w:hideMark/>
          </w:tcPr>
          <w:p w14:paraId="6876B680"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Parse 317 worksheets, reconstruct timestamps, apply R01–R08, and generate the dataset and correction log</w:t>
            </w:r>
          </w:p>
        </w:tc>
      </w:tr>
      <w:tr w:rsidR="00E94995" w:rsidRPr="00E94995" w14:paraId="75F51858" w14:textId="77777777" w:rsidTr="00CC20CC">
        <w:tc>
          <w:tcPr>
            <w:tcW w:w="0" w:type="auto"/>
            <w:hideMark/>
          </w:tcPr>
          <w:p w14:paraId="2F6AB0A2"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01b</w:t>
            </w:r>
          </w:p>
        </w:tc>
        <w:tc>
          <w:tcPr>
            <w:tcW w:w="0" w:type="auto"/>
            <w:hideMark/>
          </w:tcPr>
          <w:p w14:paraId="2B070E4B" w14:textId="1B536B44"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01b</w:t>
            </w:r>
            <w:r w:rsidR="00955969">
              <w:rPr>
                <w:rFonts w:asciiTheme="majorBidi" w:hAnsiTheme="majorBidi" w:cstheme="majorBidi"/>
                <w:sz w:val="22"/>
                <w:szCs w:val="22"/>
              </w:rPr>
              <w:t xml:space="preserve"> </w:t>
            </w:r>
            <w:r>
              <w:rPr>
                <w:rFonts w:asciiTheme="majorBidi" w:hAnsiTheme="majorBidi" w:cstheme="majorBidi"/>
                <w:sz w:val="22"/>
                <w:szCs w:val="22"/>
              </w:rPr>
              <w:t>write</w:t>
            </w:r>
            <w:r w:rsidR="00955969">
              <w:rPr>
                <w:rFonts w:asciiTheme="majorBidi" w:hAnsiTheme="majorBidi" w:cstheme="majorBidi"/>
                <w:sz w:val="22"/>
                <w:szCs w:val="22"/>
              </w:rPr>
              <w:t xml:space="preserve"> </w:t>
            </w:r>
            <w:r>
              <w:rPr>
                <w:rFonts w:asciiTheme="majorBidi" w:hAnsiTheme="majorBidi" w:cstheme="majorBidi"/>
                <w:sz w:val="22"/>
                <w:szCs w:val="22"/>
              </w:rPr>
              <w:t>workbook.py</w:t>
            </w:r>
          </w:p>
        </w:tc>
        <w:tc>
          <w:tcPr>
            <w:tcW w:w="0" w:type="auto"/>
            <w:hideMark/>
          </w:tcPr>
          <w:p w14:paraId="48BC2C1C"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Export the audited Excel workbook, including data, logs, events, rules, bounds, and raw values</w:t>
            </w:r>
          </w:p>
        </w:tc>
      </w:tr>
      <w:tr w:rsidR="00E94995" w:rsidRPr="00E94995" w14:paraId="72707496" w14:textId="77777777" w:rsidTr="00CC20CC">
        <w:tc>
          <w:tcPr>
            <w:tcW w:w="0" w:type="auto"/>
            <w:hideMark/>
          </w:tcPr>
          <w:p w14:paraId="56B3D091"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02</w:t>
            </w:r>
          </w:p>
        </w:tc>
        <w:tc>
          <w:tcPr>
            <w:tcW w:w="0" w:type="auto"/>
            <w:hideMark/>
          </w:tcPr>
          <w:p w14:paraId="4B553A65" w14:textId="21B3916B"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02</w:t>
            </w:r>
            <w:r w:rsidR="00955969">
              <w:rPr>
                <w:rFonts w:asciiTheme="majorBidi" w:hAnsiTheme="majorBidi" w:cstheme="majorBidi"/>
                <w:sz w:val="22"/>
                <w:szCs w:val="22"/>
              </w:rPr>
              <w:t xml:space="preserve"> </w:t>
            </w:r>
            <w:r>
              <w:rPr>
                <w:rFonts w:asciiTheme="majorBidi" w:hAnsiTheme="majorBidi" w:cstheme="majorBidi"/>
                <w:sz w:val="22"/>
                <w:szCs w:val="22"/>
              </w:rPr>
              <w:t>published</w:t>
            </w:r>
            <w:r w:rsidR="00955969">
              <w:rPr>
                <w:rFonts w:asciiTheme="majorBidi" w:hAnsiTheme="majorBidi" w:cstheme="majorBidi"/>
                <w:sz w:val="22"/>
                <w:szCs w:val="22"/>
              </w:rPr>
              <w:t xml:space="preserve"> </w:t>
            </w:r>
            <w:r>
              <w:rPr>
                <w:rFonts w:asciiTheme="majorBidi" w:hAnsiTheme="majorBidi" w:cstheme="majorBidi"/>
                <w:sz w:val="22"/>
                <w:szCs w:val="22"/>
              </w:rPr>
              <w:t>verification.py</w:t>
            </w:r>
          </w:p>
        </w:tc>
        <w:tc>
          <w:tcPr>
            <w:tcW w:w="0" w:type="auto"/>
            <w:hideMark/>
          </w:tcPr>
          <w:p w14:paraId="1FAE07DD" w14:textId="63D3C2F4"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Verify published correlations and compare source worksheets with Compiled</w:t>
            </w:r>
            <w:r w:rsidR="00955969">
              <w:rPr>
                <w:rFonts w:asciiTheme="majorBidi" w:hAnsiTheme="majorBidi" w:cstheme="majorBidi"/>
                <w:sz w:val="22"/>
                <w:szCs w:val="22"/>
              </w:rPr>
              <w:t xml:space="preserve"> </w:t>
            </w:r>
            <w:r>
              <w:rPr>
                <w:rFonts w:asciiTheme="majorBidi" w:hAnsiTheme="majorBidi" w:cstheme="majorBidi"/>
                <w:sz w:val="22"/>
                <w:szCs w:val="22"/>
              </w:rPr>
              <w:t>Raw</w:t>
            </w:r>
          </w:p>
        </w:tc>
      </w:tr>
      <w:tr w:rsidR="00E94995" w:rsidRPr="00E94995" w14:paraId="410E063D" w14:textId="77777777" w:rsidTr="00CC20CC">
        <w:tc>
          <w:tcPr>
            <w:tcW w:w="0" w:type="auto"/>
            <w:hideMark/>
          </w:tcPr>
          <w:p w14:paraId="5F358D62"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03</w:t>
            </w:r>
          </w:p>
        </w:tc>
        <w:tc>
          <w:tcPr>
            <w:tcW w:w="0" w:type="auto"/>
            <w:hideMark/>
          </w:tcPr>
          <w:p w14:paraId="247DE236" w14:textId="316CBE5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03</w:t>
            </w:r>
            <w:r w:rsidR="00955969">
              <w:rPr>
                <w:rFonts w:asciiTheme="majorBidi" w:hAnsiTheme="majorBidi" w:cstheme="majorBidi"/>
                <w:sz w:val="22"/>
                <w:szCs w:val="22"/>
              </w:rPr>
              <w:t xml:space="preserve"> </w:t>
            </w:r>
            <w:r>
              <w:rPr>
                <w:rFonts w:asciiTheme="majorBidi" w:hAnsiTheme="majorBidi" w:cstheme="majorBidi"/>
                <w:sz w:val="22"/>
                <w:szCs w:val="22"/>
              </w:rPr>
              <w:t>three</w:t>
            </w:r>
            <w:r w:rsidR="00955969">
              <w:rPr>
                <w:rFonts w:asciiTheme="majorBidi" w:hAnsiTheme="majorBidi" w:cstheme="majorBidi"/>
                <w:sz w:val="22"/>
                <w:szCs w:val="22"/>
              </w:rPr>
              <w:t xml:space="preserve"> </w:t>
            </w:r>
            <w:r>
              <w:rPr>
                <w:rFonts w:asciiTheme="majorBidi" w:hAnsiTheme="majorBidi" w:cstheme="majorBidi"/>
                <w:sz w:val="22"/>
                <w:szCs w:val="22"/>
              </w:rPr>
              <w:t>analysts.py</w:t>
            </w:r>
          </w:p>
        </w:tc>
        <w:tc>
          <w:tcPr>
            <w:tcW w:w="0" w:type="auto"/>
            <w:hideMark/>
          </w:tcPr>
          <w:p w14:paraId="0C5C03E4"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Compare Strategies A/B/C using OLS, day-block bootstrap, post hoc Huber regression, and incremental R²</w:t>
            </w:r>
          </w:p>
        </w:tc>
      </w:tr>
      <w:tr w:rsidR="00E94995" w:rsidRPr="00E94995" w14:paraId="552A16C5" w14:textId="77777777" w:rsidTr="00CC20CC">
        <w:tc>
          <w:tcPr>
            <w:tcW w:w="0" w:type="auto"/>
            <w:hideMark/>
          </w:tcPr>
          <w:p w14:paraId="521225C8"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w:t>
            </w:r>
          </w:p>
        </w:tc>
        <w:tc>
          <w:tcPr>
            <w:tcW w:w="0" w:type="auto"/>
            <w:hideMark/>
          </w:tcPr>
          <w:p w14:paraId="1D403869" w14:textId="21F31935"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04</w:t>
            </w:r>
            <w:r w:rsidR="00955969">
              <w:rPr>
                <w:rFonts w:asciiTheme="majorBidi" w:hAnsiTheme="majorBidi" w:cstheme="majorBidi"/>
                <w:sz w:val="22"/>
                <w:szCs w:val="22"/>
              </w:rPr>
              <w:t xml:space="preserve"> </w:t>
            </w:r>
            <w:r>
              <w:rPr>
                <w:rFonts w:asciiTheme="majorBidi" w:hAnsiTheme="majorBidi" w:cstheme="majorBidi"/>
                <w:sz w:val="22"/>
                <w:szCs w:val="22"/>
              </w:rPr>
              <w:t>robustness.py</w:t>
            </w:r>
          </w:p>
        </w:tc>
        <w:tc>
          <w:tcPr>
            <w:tcW w:w="0" w:type="auto"/>
            <w:hideMark/>
          </w:tcPr>
          <w:p w14:paraId="43C0C3F3"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Evaluate nine stability definitions, models M1–M3, and leave-one-month-out analyses</w:t>
            </w:r>
          </w:p>
        </w:tc>
      </w:tr>
      <w:tr w:rsidR="00E94995" w:rsidRPr="00E94995" w14:paraId="5AECB8C9" w14:textId="77777777" w:rsidTr="00CC20CC">
        <w:tc>
          <w:tcPr>
            <w:tcW w:w="0" w:type="auto"/>
            <w:hideMark/>
          </w:tcPr>
          <w:p w14:paraId="4AB86712"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05</w:t>
            </w:r>
          </w:p>
        </w:tc>
        <w:tc>
          <w:tcPr>
            <w:tcW w:w="0" w:type="auto"/>
            <w:hideMark/>
          </w:tcPr>
          <w:p w14:paraId="1F56FFC6" w14:textId="4B064496"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05</w:t>
            </w:r>
            <w:r w:rsidR="00955969">
              <w:rPr>
                <w:rFonts w:asciiTheme="majorBidi" w:hAnsiTheme="majorBidi" w:cstheme="majorBidi"/>
                <w:sz w:val="22"/>
                <w:szCs w:val="22"/>
              </w:rPr>
              <w:t xml:space="preserve"> </w:t>
            </w:r>
            <w:r>
              <w:rPr>
                <w:rFonts w:asciiTheme="majorBidi" w:hAnsiTheme="majorBidi" w:cstheme="majorBidi"/>
                <w:sz w:val="22"/>
                <w:szCs w:val="22"/>
              </w:rPr>
              <w:t>benchmark.py</w:t>
            </w:r>
          </w:p>
        </w:tc>
        <w:tc>
          <w:tcPr>
            <w:tcW w:w="0" w:type="auto"/>
            <w:hideMark/>
          </w:tcPr>
          <w:p w14:paraId="679F076C"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Execute the pre-specified screening benchmark and smaller substitution experiment</w:t>
            </w:r>
          </w:p>
        </w:tc>
      </w:tr>
      <w:tr w:rsidR="00E94995" w:rsidRPr="00E94995" w14:paraId="0EC91205" w14:textId="77777777" w:rsidTr="00CC20CC">
        <w:tc>
          <w:tcPr>
            <w:tcW w:w="0" w:type="auto"/>
            <w:hideMark/>
          </w:tcPr>
          <w:p w14:paraId="4679EF34"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06</w:t>
            </w:r>
          </w:p>
        </w:tc>
        <w:tc>
          <w:tcPr>
            <w:tcW w:w="0" w:type="auto"/>
            <w:hideMark/>
          </w:tcPr>
          <w:p w14:paraId="4EDA8537" w14:textId="655D6F66"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06</w:t>
            </w:r>
            <w:r w:rsidR="00955969">
              <w:rPr>
                <w:rFonts w:asciiTheme="majorBidi" w:hAnsiTheme="majorBidi" w:cstheme="majorBidi"/>
                <w:sz w:val="22"/>
                <w:szCs w:val="22"/>
              </w:rPr>
              <w:t xml:space="preserve"> </w:t>
            </w:r>
            <w:r>
              <w:rPr>
                <w:rFonts w:asciiTheme="majorBidi" w:hAnsiTheme="majorBidi" w:cstheme="majorBidi"/>
                <w:sz w:val="22"/>
                <w:szCs w:val="22"/>
              </w:rPr>
              <w:t>substitution</w:t>
            </w:r>
            <w:r w:rsidR="00955969">
              <w:rPr>
                <w:rFonts w:asciiTheme="majorBidi" w:hAnsiTheme="majorBidi" w:cstheme="majorBidi"/>
                <w:sz w:val="22"/>
                <w:szCs w:val="22"/>
              </w:rPr>
              <w:t xml:space="preserve"> </w:t>
            </w:r>
            <w:r>
              <w:rPr>
                <w:rFonts w:asciiTheme="majorBidi" w:hAnsiTheme="majorBidi" w:cstheme="majorBidi"/>
                <w:sz w:val="22"/>
                <w:szCs w:val="22"/>
              </w:rPr>
              <w:t>experiment.py</w:t>
            </w:r>
          </w:p>
        </w:tc>
        <w:tc>
          <w:tcPr>
            <w:tcW w:w="0" w:type="auto"/>
            <w:hideMark/>
          </w:tcPr>
          <w:p w14:paraId="30357B54"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Run 37,800 exploratory controlled substitutions</w:t>
            </w:r>
          </w:p>
        </w:tc>
      </w:tr>
      <w:tr w:rsidR="00E94995" w:rsidRPr="00E94995" w14:paraId="232EC576" w14:textId="77777777" w:rsidTr="00CC20CC">
        <w:tc>
          <w:tcPr>
            <w:tcW w:w="0" w:type="auto"/>
            <w:hideMark/>
          </w:tcPr>
          <w:p w14:paraId="52C50EC0"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07</w:t>
            </w:r>
          </w:p>
        </w:tc>
        <w:tc>
          <w:tcPr>
            <w:tcW w:w="0" w:type="auto"/>
            <w:hideMark/>
          </w:tcPr>
          <w:p w14:paraId="6CD3B9C8" w14:textId="060469DF"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07_eiv</w:t>
            </w:r>
            <w:r w:rsidR="00955969">
              <w:rPr>
                <w:rFonts w:asciiTheme="majorBidi" w:hAnsiTheme="majorBidi" w:cstheme="majorBidi"/>
                <w:sz w:val="22"/>
                <w:szCs w:val="22"/>
              </w:rPr>
              <w:t xml:space="preserve"> </w:t>
            </w:r>
            <w:r>
              <w:rPr>
                <w:rFonts w:asciiTheme="majorBidi" w:hAnsiTheme="majorBidi" w:cstheme="majorBidi"/>
                <w:sz w:val="22"/>
                <w:szCs w:val="22"/>
              </w:rPr>
              <w:t>derivation.py</w:t>
            </w:r>
          </w:p>
        </w:tc>
        <w:tc>
          <w:tcPr>
            <w:tcW w:w="0" w:type="auto"/>
            <w:hideMark/>
          </w:tcPr>
          <w:p w14:paraId="118B2C4A"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Compare the parameter-free errors-in-variables derivation with simulation</w:t>
            </w:r>
          </w:p>
        </w:tc>
      </w:tr>
      <w:tr w:rsidR="00E94995" w:rsidRPr="00E94995" w14:paraId="75492B60" w14:textId="77777777" w:rsidTr="00CC20CC">
        <w:tc>
          <w:tcPr>
            <w:tcW w:w="0" w:type="auto"/>
            <w:hideMark/>
          </w:tcPr>
          <w:p w14:paraId="545A0AA5"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08</w:t>
            </w:r>
          </w:p>
        </w:tc>
        <w:tc>
          <w:tcPr>
            <w:tcW w:w="0" w:type="auto"/>
            <w:hideMark/>
          </w:tcPr>
          <w:p w14:paraId="1D57406C" w14:textId="504BAE13"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08</w:t>
            </w:r>
            <w:r w:rsidR="00955969">
              <w:rPr>
                <w:rFonts w:asciiTheme="majorBidi" w:hAnsiTheme="majorBidi" w:cstheme="majorBidi"/>
                <w:sz w:val="22"/>
                <w:szCs w:val="22"/>
              </w:rPr>
              <w:t xml:space="preserve"> </w:t>
            </w:r>
            <w:r>
              <w:rPr>
                <w:rFonts w:asciiTheme="majorBidi" w:hAnsiTheme="majorBidi" w:cstheme="majorBidi"/>
                <w:sz w:val="22"/>
                <w:szCs w:val="22"/>
              </w:rPr>
              <w:t>independent</w:t>
            </w:r>
            <w:r w:rsidR="00955969">
              <w:rPr>
                <w:rFonts w:asciiTheme="majorBidi" w:hAnsiTheme="majorBidi" w:cstheme="majorBidi"/>
                <w:sz w:val="22"/>
                <w:szCs w:val="22"/>
              </w:rPr>
              <w:t xml:space="preserve"> </w:t>
            </w:r>
            <w:r>
              <w:rPr>
                <w:rFonts w:asciiTheme="majorBidi" w:hAnsiTheme="majorBidi" w:cstheme="majorBidi"/>
                <w:sz w:val="22"/>
                <w:szCs w:val="22"/>
              </w:rPr>
              <w:t>rerun.py</w:t>
            </w:r>
          </w:p>
        </w:tc>
        <w:tc>
          <w:tcPr>
            <w:tcW w:w="0" w:type="auto"/>
            <w:hideMark/>
          </w:tcPr>
          <w:p w14:paraId="374F38F7" w14:textId="008999F1"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Independently reimplement Step 06 using Frisch</w:t>
            </w:r>
            <w:r w:rsidR="00955969">
              <w:rPr>
                <w:rFonts w:asciiTheme="majorBidi" w:hAnsiTheme="majorBidi" w:cstheme="majorBidi"/>
                <w:sz w:val="22"/>
                <w:szCs w:val="22"/>
              </w:rPr>
              <w:t>-</w:t>
            </w:r>
            <w:r>
              <w:rPr>
                <w:rFonts w:asciiTheme="majorBidi" w:hAnsiTheme="majorBidi" w:cstheme="majorBidi"/>
                <w:sz w:val="22"/>
                <w:szCs w:val="22"/>
              </w:rPr>
              <w:t xml:space="preserve">Waugh </w:t>
            </w:r>
            <w:proofErr w:type="spellStart"/>
            <w:r>
              <w:rPr>
                <w:rFonts w:asciiTheme="majorBidi" w:hAnsiTheme="majorBidi" w:cstheme="majorBidi"/>
                <w:sz w:val="22"/>
                <w:szCs w:val="22"/>
              </w:rPr>
              <w:t>partialling</w:t>
            </w:r>
            <w:proofErr w:type="spellEnd"/>
            <w:r>
              <w:rPr>
                <w:rFonts w:asciiTheme="majorBidi" w:hAnsiTheme="majorBidi" w:cstheme="majorBidi"/>
                <w:sz w:val="22"/>
                <w:szCs w:val="22"/>
              </w:rPr>
              <w:t xml:space="preserve"> and a different random seed</w:t>
            </w:r>
          </w:p>
        </w:tc>
      </w:tr>
      <w:tr w:rsidR="00E94995" w:rsidRPr="00E94995" w14:paraId="5801327D" w14:textId="77777777" w:rsidTr="00CC20CC">
        <w:tc>
          <w:tcPr>
            <w:tcW w:w="0" w:type="auto"/>
            <w:hideMark/>
          </w:tcPr>
          <w:p w14:paraId="1312054D"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w:t>
            </w:r>
          </w:p>
        </w:tc>
        <w:tc>
          <w:tcPr>
            <w:tcW w:w="0" w:type="auto"/>
            <w:hideMark/>
          </w:tcPr>
          <w:p w14:paraId="35622587" w14:textId="5BCF4AAB"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09</w:t>
            </w:r>
            <w:r w:rsidR="00955969">
              <w:rPr>
                <w:rFonts w:asciiTheme="majorBidi" w:hAnsiTheme="majorBidi" w:cstheme="majorBidi"/>
                <w:sz w:val="22"/>
                <w:szCs w:val="22"/>
              </w:rPr>
              <w:t xml:space="preserve"> </w:t>
            </w:r>
            <w:r>
              <w:rPr>
                <w:rFonts w:asciiTheme="majorBidi" w:hAnsiTheme="majorBidi" w:cstheme="majorBidi"/>
                <w:sz w:val="22"/>
                <w:szCs w:val="22"/>
              </w:rPr>
              <w:t>provenance</w:t>
            </w:r>
            <w:r w:rsidR="00955969">
              <w:rPr>
                <w:rFonts w:asciiTheme="majorBidi" w:hAnsiTheme="majorBidi" w:cstheme="majorBidi"/>
                <w:sz w:val="22"/>
                <w:szCs w:val="22"/>
              </w:rPr>
              <w:t xml:space="preserve"> </w:t>
            </w:r>
            <w:r>
              <w:rPr>
                <w:rFonts w:asciiTheme="majorBidi" w:hAnsiTheme="majorBidi" w:cstheme="majorBidi"/>
                <w:sz w:val="22"/>
                <w:szCs w:val="22"/>
              </w:rPr>
              <w:t>audit.py</w:t>
            </w:r>
          </w:p>
        </w:tc>
        <w:tc>
          <w:tcPr>
            <w:tcW w:w="0" w:type="auto"/>
            <w:hideMark/>
          </w:tcPr>
          <w:p w14:paraId="11467B9F"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Trace reconstructed values to source cells, independently reparse with pandas, and verify worksheet dates</w:t>
            </w:r>
          </w:p>
        </w:tc>
      </w:tr>
      <w:tr w:rsidR="00E94995" w:rsidRPr="00E94995" w14:paraId="48DA1133" w14:textId="77777777" w:rsidTr="00CC20CC">
        <w:tc>
          <w:tcPr>
            <w:tcW w:w="0" w:type="auto"/>
            <w:hideMark/>
          </w:tcPr>
          <w:p w14:paraId="40FADA4C"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w:t>
            </w:r>
          </w:p>
        </w:tc>
        <w:tc>
          <w:tcPr>
            <w:tcW w:w="0" w:type="auto"/>
            <w:hideMark/>
          </w:tcPr>
          <w:p w14:paraId="72957D3C" w14:textId="1434F3F2"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10</w:t>
            </w:r>
            <w:r w:rsidR="00955969">
              <w:rPr>
                <w:rFonts w:asciiTheme="majorBidi" w:hAnsiTheme="majorBidi" w:cstheme="majorBidi"/>
                <w:sz w:val="22"/>
                <w:szCs w:val="22"/>
              </w:rPr>
              <w:t xml:space="preserve"> </w:t>
            </w:r>
            <w:r>
              <w:rPr>
                <w:rFonts w:asciiTheme="majorBidi" w:hAnsiTheme="majorBidi" w:cstheme="majorBidi"/>
                <w:sz w:val="22"/>
                <w:szCs w:val="22"/>
              </w:rPr>
              <w:t>make</w:t>
            </w:r>
            <w:r w:rsidR="00955969">
              <w:rPr>
                <w:rFonts w:asciiTheme="majorBidi" w:hAnsiTheme="majorBidi" w:cstheme="majorBidi"/>
                <w:sz w:val="22"/>
                <w:szCs w:val="22"/>
              </w:rPr>
              <w:t xml:space="preserve"> </w:t>
            </w:r>
            <w:r>
              <w:rPr>
                <w:rFonts w:asciiTheme="majorBidi" w:hAnsiTheme="majorBidi" w:cstheme="majorBidi"/>
                <w:sz w:val="22"/>
                <w:szCs w:val="22"/>
              </w:rPr>
              <w:t>figures.py</w:t>
            </w:r>
          </w:p>
        </w:tc>
        <w:tc>
          <w:tcPr>
            <w:tcW w:w="0" w:type="auto"/>
            <w:hideMark/>
          </w:tcPr>
          <w:p w14:paraId="6BF248A7"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Generate Figures 1–8 and S1–S8</w:t>
            </w:r>
          </w:p>
        </w:tc>
      </w:tr>
      <w:tr w:rsidR="00E94995" w:rsidRPr="00E94995" w14:paraId="59353594" w14:textId="77777777" w:rsidTr="00CC20CC">
        <w:tc>
          <w:tcPr>
            <w:tcW w:w="0" w:type="auto"/>
            <w:hideMark/>
          </w:tcPr>
          <w:p w14:paraId="70D2A5F8"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lastRenderedPageBreak/>
              <w:t>11</w:t>
            </w:r>
          </w:p>
        </w:tc>
        <w:tc>
          <w:tcPr>
            <w:tcW w:w="0" w:type="auto"/>
            <w:hideMark/>
          </w:tcPr>
          <w:p w14:paraId="5C361021" w14:textId="2222F19F"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11</w:t>
            </w:r>
            <w:r w:rsidR="00955969">
              <w:rPr>
                <w:rFonts w:asciiTheme="majorBidi" w:hAnsiTheme="majorBidi" w:cstheme="majorBidi"/>
                <w:sz w:val="22"/>
                <w:szCs w:val="22"/>
              </w:rPr>
              <w:t xml:space="preserve"> manuscripts </w:t>
            </w:r>
            <w:r>
              <w:rPr>
                <w:rFonts w:asciiTheme="majorBidi" w:hAnsiTheme="majorBidi" w:cstheme="majorBidi"/>
                <w:sz w:val="22"/>
                <w:szCs w:val="22"/>
              </w:rPr>
              <w:t>numbers.py</w:t>
            </w:r>
          </w:p>
        </w:tc>
        <w:tc>
          <w:tcPr>
            <w:tcW w:w="0" w:type="auto"/>
            <w:hideMark/>
          </w:tcPr>
          <w:p w14:paraId="2115B7B4"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Generate the ledger of manuscript numerical results</w:t>
            </w:r>
          </w:p>
        </w:tc>
      </w:tr>
      <w:tr w:rsidR="00E94995" w:rsidRPr="00E94995" w14:paraId="4F7E2177" w14:textId="77777777" w:rsidTr="00CC20CC">
        <w:tc>
          <w:tcPr>
            <w:tcW w:w="0" w:type="auto"/>
            <w:hideMark/>
          </w:tcPr>
          <w:p w14:paraId="695549A7" w14:textId="77777777"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12</w:t>
            </w:r>
          </w:p>
        </w:tc>
        <w:tc>
          <w:tcPr>
            <w:tcW w:w="0" w:type="auto"/>
            <w:hideMark/>
          </w:tcPr>
          <w:p w14:paraId="07F7722C" w14:textId="2E330902"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12</w:t>
            </w:r>
            <w:r w:rsidR="00955969">
              <w:rPr>
                <w:rFonts w:asciiTheme="majorBidi" w:hAnsiTheme="majorBidi" w:cstheme="majorBidi"/>
                <w:sz w:val="22"/>
                <w:szCs w:val="22"/>
              </w:rPr>
              <w:t xml:space="preserve"> </w:t>
            </w:r>
            <w:proofErr w:type="spellStart"/>
            <w:r>
              <w:rPr>
                <w:rFonts w:asciiTheme="majorBidi" w:hAnsiTheme="majorBidi" w:cstheme="majorBidi"/>
                <w:sz w:val="22"/>
                <w:szCs w:val="22"/>
              </w:rPr>
              <w:t>posthoc</w:t>
            </w:r>
            <w:proofErr w:type="spellEnd"/>
            <w:r w:rsidR="00955969">
              <w:rPr>
                <w:rFonts w:asciiTheme="majorBidi" w:hAnsiTheme="majorBidi" w:cstheme="majorBidi"/>
                <w:sz w:val="22"/>
                <w:szCs w:val="22"/>
              </w:rPr>
              <w:t xml:space="preserve"> </w:t>
            </w:r>
            <w:r>
              <w:rPr>
                <w:rFonts w:asciiTheme="majorBidi" w:hAnsiTheme="majorBidi" w:cstheme="majorBidi"/>
                <w:sz w:val="22"/>
                <w:szCs w:val="22"/>
              </w:rPr>
              <w:t>reviewer</w:t>
            </w:r>
            <w:r w:rsidR="00955969">
              <w:rPr>
                <w:rFonts w:asciiTheme="majorBidi" w:hAnsiTheme="majorBidi" w:cstheme="majorBidi"/>
                <w:sz w:val="22"/>
                <w:szCs w:val="22"/>
              </w:rPr>
              <w:t xml:space="preserve"> </w:t>
            </w:r>
            <w:r>
              <w:rPr>
                <w:rFonts w:asciiTheme="majorBidi" w:hAnsiTheme="majorBidi" w:cstheme="majorBidi"/>
                <w:sz w:val="22"/>
                <w:szCs w:val="22"/>
              </w:rPr>
              <w:t>checks.py</w:t>
            </w:r>
          </w:p>
        </w:tc>
        <w:tc>
          <w:tcPr>
            <w:tcW w:w="0" w:type="auto"/>
            <w:hideMark/>
          </w:tcPr>
          <w:p w14:paraId="3AE3C80B" w14:textId="44F654A3" w:rsidR="00E94995" w:rsidRPr="00E94995" w:rsidRDefault="00E94995" w:rsidP="00E94995">
            <w:pPr>
              <w:spacing w:after="160" w:line="360" w:lineRule="auto"/>
              <w:jc w:val="lowKashida"/>
              <w:rPr>
                <w:rFonts w:asciiTheme="majorBidi" w:hAnsiTheme="majorBidi" w:cstheme="majorBidi"/>
                <w:sz w:val="22"/>
                <w:szCs w:val="22"/>
              </w:rPr>
            </w:pPr>
            <w:r>
              <w:rPr>
                <w:rFonts w:asciiTheme="majorBidi" w:hAnsiTheme="majorBidi" w:cstheme="majorBidi"/>
                <w:sz w:val="22"/>
                <w:szCs w:val="22"/>
              </w:rPr>
              <w:t>Run post hoc cross-validation, time-trend checks, stratified error analyses, and benchmark variants V1/V2 (with bench</w:t>
            </w:r>
            <w:r w:rsidR="00955969">
              <w:rPr>
                <w:rFonts w:asciiTheme="majorBidi" w:hAnsiTheme="majorBidi" w:cstheme="majorBidi"/>
                <w:sz w:val="22"/>
                <w:szCs w:val="22"/>
              </w:rPr>
              <w:t xml:space="preserve"> </w:t>
            </w:r>
            <w:r>
              <w:rPr>
                <w:rFonts w:asciiTheme="majorBidi" w:hAnsiTheme="majorBidi" w:cstheme="majorBidi"/>
                <w:sz w:val="22"/>
                <w:szCs w:val="22"/>
              </w:rPr>
              <w:t>sens.py)</w:t>
            </w:r>
          </w:p>
        </w:tc>
      </w:tr>
    </w:tbl>
    <w:p w14:paraId="34D6B968" w14:textId="3D888FFA" w:rsidR="00E94995" w:rsidRPr="00E94995" w:rsidRDefault="00E94995" w:rsidP="00E94995">
      <w:pPr>
        <w:spacing w:line="360" w:lineRule="auto"/>
        <w:jc w:val="lowKashida"/>
        <w:rPr>
          <w:rFonts w:asciiTheme="majorBidi" w:hAnsiTheme="majorBidi" w:cstheme="majorBidi"/>
          <w:sz w:val="22"/>
          <w:szCs w:val="22"/>
        </w:rPr>
      </w:pPr>
      <w:r>
        <w:rPr>
          <w:rFonts w:asciiTheme="majorBidi" w:hAnsiTheme="majorBidi" w:cstheme="majorBidi"/>
          <w:b/>
          <w:bCs/>
          <w:sz w:val="22"/>
          <w:szCs w:val="22"/>
        </w:rPr>
        <w:t>SHA-256 checksum</w:t>
      </w:r>
      <w:r>
        <w:rPr>
          <w:rFonts w:asciiTheme="majorBidi" w:hAnsiTheme="majorBidi" w:cstheme="majorBidi"/>
          <w:sz w:val="22"/>
          <w:szCs w:val="22"/>
        </w:rPr>
        <w:t xml:space="preserve"> of GT568</w:t>
      </w:r>
      <w:r w:rsidR="00955969">
        <w:rPr>
          <w:rFonts w:asciiTheme="majorBidi" w:hAnsiTheme="majorBidi" w:cstheme="majorBidi"/>
          <w:sz w:val="22"/>
          <w:szCs w:val="22"/>
        </w:rPr>
        <w:t xml:space="preserve"> </w:t>
      </w:r>
      <w:r>
        <w:rPr>
          <w:rFonts w:asciiTheme="majorBidi" w:hAnsiTheme="majorBidi" w:cstheme="majorBidi"/>
          <w:sz w:val="22"/>
          <w:szCs w:val="22"/>
        </w:rPr>
        <w:t>Master</w:t>
      </w:r>
      <w:r w:rsidR="00955969">
        <w:rPr>
          <w:rFonts w:asciiTheme="majorBidi" w:hAnsiTheme="majorBidi" w:cstheme="majorBidi"/>
          <w:sz w:val="22"/>
          <w:szCs w:val="22"/>
        </w:rPr>
        <w:t xml:space="preserve"> </w:t>
      </w:r>
      <w:r>
        <w:rPr>
          <w:rFonts w:asciiTheme="majorBidi" w:hAnsiTheme="majorBidi" w:cstheme="majorBidi"/>
          <w:sz w:val="22"/>
          <w:szCs w:val="22"/>
        </w:rPr>
        <w:t>Reconstructed.csv:</w:t>
      </w:r>
    </w:p>
    <w:p w14:paraId="37CE918C" w14:textId="77777777" w:rsidR="00E2060A" w:rsidRDefault="00E2060A" w:rsidP="00802C34">
      <w:pPr>
        <w:spacing w:line="360" w:lineRule="auto"/>
        <w:jc w:val="lowKashida"/>
        <w:rPr>
          <w:rFonts w:asciiTheme="majorBidi" w:hAnsiTheme="majorBidi" w:cstheme="majorBidi"/>
          <w:sz w:val="22"/>
          <w:szCs w:val="22"/>
          <w:rtl/>
        </w:rPr>
      </w:pPr>
    </w:p>
    <w:p w14:paraId="0AB26C0C" w14:textId="77777777" w:rsidR="00E2060A" w:rsidRDefault="00E2060A" w:rsidP="00802C34">
      <w:pPr>
        <w:spacing w:line="360" w:lineRule="auto"/>
        <w:jc w:val="lowKashida"/>
        <w:rPr>
          <w:rFonts w:asciiTheme="majorBidi" w:hAnsiTheme="majorBidi" w:cstheme="majorBidi"/>
          <w:sz w:val="22"/>
          <w:szCs w:val="22"/>
          <w:rtl/>
        </w:rPr>
      </w:pPr>
    </w:p>
    <w:p w14:paraId="79E7C712" w14:textId="77777777" w:rsidR="00E2060A" w:rsidRDefault="00E2060A" w:rsidP="00802C34">
      <w:pPr>
        <w:spacing w:line="360" w:lineRule="auto"/>
        <w:jc w:val="lowKashida"/>
        <w:rPr>
          <w:rFonts w:asciiTheme="majorBidi" w:hAnsiTheme="majorBidi" w:cstheme="majorBidi"/>
          <w:sz w:val="22"/>
          <w:szCs w:val="22"/>
          <w:rtl/>
        </w:rPr>
      </w:pPr>
    </w:p>
    <w:sectPr w:rsidR="00E2060A" w:rsidSect="00F73B9F">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5344A"/>
    <w:multiLevelType w:val="hybridMultilevel"/>
    <w:tmpl w:val="7EE0C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4144CA"/>
    <w:multiLevelType w:val="multilevel"/>
    <w:tmpl w:val="92AC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1222B4"/>
    <w:multiLevelType w:val="multilevel"/>
    <w:tmpl w:val="F3804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5672294">
    <w:abstractNumId w:val="0"/>
  </w:num>
  <w:num w:numId="2" w16cid:durableId="778109017">
    <w:abstractNumId w:val="2"/>
  </w:num>
  <w:num w:numId="3" w16cid:durableId="827284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0F"/>
    <w:rsid w:val="0018320F"/>
    <w:rsid w:val="001B7B0B"/>
    <w:rsid w:val="00246FF1"/>
    <w:rsid w:val="00393009"/>
    <w:rsid w:val="003A5824"/>
    <w:rsid w:val="004A2AD8"/>
    <w:rsid w:val="00802C34"/>
    <w:rsid w:val="00955969"/>
    <w:rsid w:val="00CC20CC"/>
    <w:rsid w:val="00CE073F"/>
    <w:rsid w:val="00E2060A"/>
    <w:rsid w:val="00E94995"/>
    <w:rsid w:val="00F73B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D751"/>
  <w15:chartTrackingRefBased/>
  <w15:docId w15:val="{BB111D93-D633-48CB-9E1B-A00476AB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2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2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2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2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2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2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2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2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2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2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2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2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2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2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2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20F"/>
    <w:rPr>
      <w:rFonts w:eastAsiaTheme="majorEastAsia" w:cstheme="majorBidi"/>
      <w:color w:val="272727" w:themeColor="text1" w:themeTint="D8"/>
    </w:rPr>
  </w:style>
  <w:style w:type="paragraph" w:styleId="Title">
    <w:name w:val="Title"/>
    <w:basedOn w:val="Normal"/>
    <w:next w:val="Normal"/>
    <w:link w:val="TitleChar"/>
    <w:uiPriority w:val="10"/>
    <w:qFormat/>
    <w:rsid w:val="00183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2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2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20F"/>
    <w:pPr>
      <w:spacing w:before="160"/>
      <w:jc w:val="center"/>
    </w:pPr>
    <w:rPr>
      <w:i/>
      <w:iCs/>
      <w:color w:val="404040" w:themeColor="text1" w:themeTint="BF"/>
    </w:rPr>
  </w:style>
  <w:style w:type="character" w:customStyle="1" w:styleId="QuoteChar">
    <w:name w:val="Quote Char"/>
    <w:basedOn w:val="DefaultParagraphFont"/>
    <w:link w:val="Quote"/>
    <w:uiPriority w:val="29"/>
    <w:rsid w:val="0018320F"/>
    <w:rPr>
      <w:i/>
      <w:iCs/>
      <w:color w:val="404040" w:themeColor="text1" w:themeTint="BF"/>
    </w:rPr>
  </w:style>
  <w:style w:type="paragraph" w:styleId="ListParagraph">
    <w:name w:val="List Paragraph"/>
    <w:basedOn w:val="Normal"/>
    <w:uiPriority w:val="34"/>
    <w:qFormat/>
    <w:rsid w:val="0018320F"/>
    <w:pPr>
      <w:ind w:left="720"/>
      <w:contextualSpacing/>
    </w:pPr>
  </w:style>
  <w:style w:type="character" w:styleId="IntenseEmphasis">
    <w:name w:val="Intense Emphasis"/>
    <w:basedOn w:val="DefaultParagraphFont"/>
    <w:uiPriority w:val="21"/>
    <w:qFormat/>
    <w:rsid w:val="0018320F"/>
    <w:rPr>
      <w:i/>
      <w:iCs/>
      <w:color w:val="0F4761" w:themeColor="accent1" w:themeShade="BF"/>
    </w:rPr>
  </w:style>
  <w:style w:type="paragraph" w:styleId="IntenseQuote">
    <w:name w:val="Intense Quote"/>
    <w:basedOn w:val="Normal"/>
    <w:next w:val="Normal"/>
    <w:link w:val="IntenseQuoteChar"/>
    <w:uiPriority w:val="30"/>
    <w:qFormat/>
    <w:rsid w:val="00183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20F"/>
    <w:rPr>
      <w:i/>
      <w:iCs/>
      <w:color w:val="0F4761" w:themeColor="accent1" w:themeShade="BF"/>
    </w:rPr>
  </w:style>
  <w:style w:type="character" w:styleId="IntenseReference">
    <w:name w:val="Intense Reference"/>
    <w:basedOn w:val="DefaultParagraphFont"/>
    <w:uiPriority w:val="32"/>
    <w:qFormat/>
    <w:rsid w:val="0018320F"/>
    <w:rPr>
      <w:b/>
      <w:bCs/>
      <w:smallCaps/>
      <w:color w:val="0F4761" w:themeColor="accent1" w:themeShade="BF"/>
      <w:spacing w:val="5"/>
    </w:rPr>
  </w:style>
  <w:style w:type="table" w:styleId="TableGrid">
    <w:name w:val="Table Grid"/>
    <w:basedOn w:val="TableNormal"/>
    <w:uiPriority w:val="39"/>
    <w:rsid w:val="00246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9499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94995"/>
    <w:rPr>
      <w:b/>
      <w:bCs/>
    </w:rPr>
  </w:style>
  <w:style w:type="character" w:styleId="HTMLCode">
    <w:name w:val="HTML Code"/>
    <w:basedOn w:val="DefaultParagraphFont"/>
    <w:uiPriority w:val="99"/>
    <w:semiHidden/>
    <w:unhideWhenUsed/>
    <w:rsid w:val="00E9499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17</Pages>
  <Words>3443</Words>
  <Characters>19631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Montaser Saeed</dc:creator>
  <cp:keywords/>
  <dc:description/>
  <cp:lastModifiedBy>Montaser Saeed</cp:lastModifiedBy>
  <cp:revision>9</cp:revision>
  <dcterms:created xsi:type="dcterms:W3CDTF">2026-10-09T09:32:00Z</dcterms:created>
  <dcterms:modified xsi:type="dcterms:W3CDTF">2026-10-09T17:38:00Z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3d61d5117178acf7675b863d80dcc737fd104647786ca77659471d61d0e29c64</vt:lpwstr>
  </property>
</Properties>
</file>