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Supplementary Materials</w:t>
      </w:r>
    </w:p>
    <w:p w:rsidR="00000000" w:rsidDel="00000000" w:rsidP="00000000" w:rsidRDefault="00000000" w:rsidRPr="00000000" w14:paraId="00000002">
      <w:pPr>
        <w:spacing w:line="276"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w:t>
      </w:r>
    </w:p>
    <w:p w:rsidR="00000000" w:rsidDel="00000000" w:rsidP="00000000" w:rsidRDefault="00000000" w:rsidRPr="00000000" w14:paraId="00000004">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06">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 – Sociodemographic characteristics associated with retention at 14-23 years</w:t>
      </w:r>
      <w:r w:rsidDel="00000000" w:rsidR="00000000" w:rsidRPr="00000000">
        <w:rPr>
          <w:rtl w:val="0"/>
        </w:rPr>
      </w:r>
    </w:p>
    <w:p w:rsidR="00000000" w:rsidDel="00000000" w:rsidP="00000000" w:rsidRDefault="00000000" w:rsidRPr="00000000" w14:paraId="00000008">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S2 – Sociodemographic characteristics associated with retention at 18-28 years</w:t>
      </w:r>
      <w:r w:rsidDel="00000000" w:rsidR="00000000" w:rsidRPr="00000000">
        <w:rPr>
          <w:rtl w:val="0"/>
        </w:rPr>
      </w:r>
    </w:p>
    <w:p w:rsidR="00000000" w:rsidDel="00000000" w:rsidP="00000000" w:rsidRDefault="00000000" w:rsidRPr="00000000" w14:paraId="0000000A">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S3 – Regression analysis of predictors associated with response at 14-23 years</w:t>
      </w:r>
      <w:r w:rsidDel="00000000" w:rsidR="00000000" w:rsidRPr="00000000">
        <w:rPr>
          <w:rtl w:val="0"/>
        </w:rPr>
      </w:r>
    </w:p>
    <w:p w:rsidR="00000000" w:rsidDel="00000000" w:rsidP="00000000" w:rsidRDefault="00000000" w:rsidRPr="00000000" w14:paraId="0000000C">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S4 – Regression analysis of predictors associated with response at 18-28 years</w:t>
      </w:r>
      <w:r w:rsidDel="00000000" w:rsidR="00000000" w:rsidRPr="00000000">
        <w:rPr>
          <w:rtl w:val="0"/>
        </w:rPr>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S5 - Operationalization of clinical validators by age of assessment</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S6 – Confirmatory Factor Analysis Models for depressive symptoms using sMFQ</w:t>
      </w:r>
    </w:p>
    <w:p w:rsidR="00000000" w:rsidDel="00000000" w:rsidP="00000000" w:rsidRDefault="00000000" w:rsidRPr="00000000" w14:paraId="00000012">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S7 - Standardized centrality indices for sMFQ network analysis</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S8 - Full regression analysis: clinical groups associated with clinical validators at 14-23 years (cross-sectional) and 18-28 years (longitudinal)</w:t>
      </w:r>
    </w:p>
    <w:p w:rsidR="00000000" w:rsidDel="00000000" w:rsidP="00000000" w:rsidRDefault="00000000" w:rsidRPr="00000000" w14:paraId="00000016">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S9 - Regression analysis: clinical groups associated with Any Suicide Attempt or Self-harm at 14-23 years</w:t>
      </w:r>
    </w:p>
    <w:p w:rsidR="00000000" w:rsidDel="00000000" w:rsidP="00000000" w:rsidRDefault="00000000" w:rsidRPr="00000000" w14:paraId="00000018">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S10 - Regression analysis: clinical groups associated with Any Suicide Attempt at 18-28 years</w:t>
      </w:r>
      <w:r w:rsidDel="00000000" w:rsidR="00000000" w:rsidRPr="00000000">
        <w:rPr>
          <w:rtl w:val="0"/>
        </w:rPr>
      </w:r>
    </w:p>
    <w:p w:rsidR="00000000" w:rsidDel="00000000" w:rsidP="00000000" w:rsidRDefault="00000000" w:rsidRPr="00000000" w14:paraId="0000001A">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S11 - Regression analysis: clinical groups associated with Any Psychiatric Inpatient Admission at 14-23 years</w:t>
      </w:r>
    </w:p>
    <w:p w:rsidR="00000000" w:rsidDel="00000000" w:rsidP="00000000" w:rsidRDefault="00000000" w:rsidRPr="00000000" w14:paraId="0000001C">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S12 - Regression analysis: clinical groups associated with Any Psychiatric Inpatient Admission at 18-28 years</w:t>
      </w:r>
      <w:r w:rsidDel="00000000" w:rsidR="00000000" w:rsidRPr="00000000">
        <w:rPr>
          <w:rtl w:val="0"/>
        </w:rPr>
      </w:r>
    </w:p>
    <w:p w:rsidR="00000000" w:rsidDel="00000000" w:rsidP="00000000" w:rsidRDefault="00000000" w:rsidRPr="00000000" w14:paraId="0000001E">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S13 - Regression analysis: clinical groups associated with Lifetime Substance Use at 14-23 years</w:t>
      </w:r>
    </w:p>
    <w:p w:rsidR="00000000" w:rsidDel="00000000" w:rsidP="00000000" w:rsidRDefault="00000000" w:rsidRPr="00000000" w14:paraId="00000020">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S14 - Regression analysis: clinical groups associated with ASSIST Any Moderate/High Risk for Substance Use at 18-28 years</w:t>
      </w:r>
      <w:r w:rsidDel="00000000" w:rsidR="00000000" w:rsidRPr="00000000">
        <w:rPr>
          <w:rtl w:val="0"/>
        </w:rPr>
      </w:r>
    </w:p>
    <w:p w:rsidR="00000000" w:rsidDel="00000000" w:rsidP="00000000" w:rsidRDefault="00000000" w:rsidRPr="00000000" w14:paraId="00000022">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S15 - Regression analysis: clinical groups associated with NEET at 14-23 years</w:t>
      </w:r>
    </w:p>
    <w:p w:rsidR="00000000" w:rsidDel="00000000" w:rsidP="00000000" w:rsidRDefault="00000000" w:rsidRPr="00000000" w14:paraId="00000024">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S16 - Regression analysis: clinical groups associated with NEET at 18-28 years</w:t>
      </w:r>
      <w:r w:rsidDel="00000000" w:rsidR="00000000" w:rsidRPr="00000000">
        <w:rPr>
          <w:rtl w:val="0"/>
        </w:rPr>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S17 - Regression analysis: clinical groups associated with Conviction at 14-23 years</w:t>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S1 – Bootstrapped confidence intervals for edge-weights for sMFQ network analysis</w:t>
      </w:r>
      <w:r w:rsidDel="00000000" w:rsidR="00000000" w:rsidRPr="00000000">
        <w:rPr>
          <w:rtl w:val="0"/>
        </w:rPr>
      </w:r>
    </w:p>
    <w:p w:rsidR="00000000" w:rsidDel="00000000" w:rsidP="00000000" w:rsidRDefault="00000000" w:rsidRPr="00000000" w14:paraId="0000002A">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S2 – Bootstrapped difference test between edge-weights for sMFQ network analysis</w:t>
      </w:r>
      <w:r w:rsidDel="00000000" w:rsidR="00000000" w:rsidRPr="00000000">
        <w:rPr>
          <w:rtl w:val="0"/>
        </w:rPr>
      </w:r>
    </w:p>
    <w:p w:rsidR="00000000" w:rsidDel="00000000" w:rsidP="00000000" w:rsidRDefault="00000000" w:rsidRPr="00000000" w14:paraId="0000002C">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S3 – Bootstrapped difference test between node strength for sMFQ network analysis</w:t>
      </w:r>
      <w:r w:rsidDel="00000000" w:rsidR="00000000" w:rsidRPr="00000000">
        <w:rPr>
          <w:rtl w:val="0"/>
        </w:rPr>
      </w:r>
    </w:p>
    <w:p w:rsidR="00000000" w:rsidDel="00000000" w:rsidP="00000000" w:rsidRDefault="00000000" w:rsidRPr="00000000" w14:paraId="0000002E">
      <w:pPr>
        <w:spacing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S4 - Average correlations between centrality indices of networks with reduced sample sizes and the original sample</w:t>
      </w:r>
      <w:r w:rsidDel="00000000" w:rsidR="00000000" w:rsidRPr="00000000">
        <w:rPr>
          <w:rtl w:val="0"/>
        </w:rPr>
      </w:r>
    </w:p>
    <w:p w:rsidR="00000000" w:rsidDel="00000000" w:rsidP="00000000" w:rsidRDefault="00000000" w:rsidRPr="00000000" w14:paraId="00000030">
      <w:pPr>
        <w:spacing w:line="480" w:lineRule="auto"/>
        <w:jc w:val="both"/>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Methods</w:t>
      </w:r>
    </w:p>
    <w:p w:rsidR="00000000" w:rsidDel="00000000" w:rsidP="00000000" w:rsidRDefault="00000000" w:rsidRPr="00000000" w14:paraId="00000032">
      <w:pPr>
        <w:spacing w:line="276"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3">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Loneliness</w:t>
      </w:r>
      <w:r w:rsidDel="00000000" w:rsidR="00000000" w:rsidRPr="00000000">
        <w:rPr>
          <w:rtl w:val="0"/>
        </w:rPr>
      </w:r>
    </w:p>
    <w:p w:rsidR="00000000" w:rsidDel="00000000" w:rsidP="00000000" w:rsidRDefault="00000000" w:rsidRPr="00000000" w14:paraId="00000034">
      <w:pPr>
        <w:spacing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first estimated a confirmatory factor model for the sMFQ (see Confirmatory Factor Analysis section below), which yielded a threshold of 0.5 standard deviation (SD) above the mean for item 10 ("I felt lonely"). Response options for this item were scored 0 ("Never"), 1 ("Sometimes"), and 2 ("True"); the 0.5 SD threshold fell between scores 1 and 2. Accordingly, participants scoring 2 ("True") on this item were classified as positive for loneliness in the regression analyses reported below.</w:t>
      </w:r>
    </w:p>
    <w:p w:rsidR="00000000" w:rsidDel="00000000" w:rsidP="00000000" w:rsidRDefault="00000000" w:rsidRPr="00000000" w14:paraId="00000035">
      <w:pPr>
        <w:spacing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6">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Covariates</w:t>
      </w:r>
    </w:p>
    <w:p w:rsidR="00000000" w:rsidDel="00000000" w:rsidP="00000000" w:rsidRDefault="00000000" w:rsidRPr="00000000" w14:paraId="00000037">
      <w:pPr>
        <w:spacing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adjusted the analysis for the following possible confounding variables: age, sex (male as reference), race/ethnicity categorized as white or non-white (black, mixed and indigenous), study site (Porto Alegre as reference), social isolation and social class as classified by the Brazilian Association of Research Companies (ABEP). Social isolation was measured according to the item “I have at least one good friend” of the Strengths and Difficulties Questionnaire (SDQ). It was considered negative if the answer was “Not True” in a 3-item likert scale (0 = “Not True; 1 = Somewhat True; 2 = Certainly True) and otherwise true. The ABEP is a parent-reported asset-based assessment that also includes parental education and sanitation to classify subjects belonging to the A (highest) to E (lowest and reference category) socioeconomic class.</w:t>
      </w:r>
    </w:p>
    <w:p w:rsidR="00000000" w:rsidDel="00000000" w:rsidP="00000000" w:rsidRDefault="00000000" w:rsidRPr="00000000" w14:paraId="00000038">
      <w:pPr>
        <w:spacing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Oversampling and inverse probability weights</w:t>
      </w:r>
    </w:p>
    <w:p w:rsidR="00000000" w:rsidDel="00000000" w:rsidP="00000000" w:rsidRDefault="00000000" w:rsidRPr="00000000" w14:paraId="0000003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ab/>
        <w:t xml:space="preserve">The BHRCS used an oversampling procedure, as described in Salum et al., 2025. A sampling weight was generated to account for this high-risk stratification, which fully accounted for the oversampling procedure (Martel et al., 2017). In a previous analysis of the BHRCS, baseline maternal education and study site predicted response at follow-up (Ziebold et al., 2023). Furthermore, participants who had a mental health diagnosis at baseline and those with maternal mental health problems presented a higher proportion of missing data at follow-up. Therefore, we used these four variables to compute inverse probability weight (IPW) to address sample attrition in all regression analysis (Seaman and White, 2013). For the present study, this procedure was applied separately for retention at 14-23 and 18-28 years. Sampling weight and IPW were multiplied, and weights for the few cases (n = 36) were trimmed for the 1st and 99th percentile. The resulting weights were used throughout the analyses to minimize bias associated with oversampling high-risk procedures and missing data at follow-up, so the sample is closer to the general population at baseline.</w:t>
      </w: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Clinical Validators</w:t>
      </w:r>
    </w:p>
    <w:p w:rsidR="00000000" w:rsidDel="00000000" w:rsidP="00000000" w:rsidRDefault="00000000" w:rsidRPr="00000000" w14:paraId="0000003E">
      <w:pPr>
        <w:spacing w:line="480"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Life-threatening outcomes</w:t>
      </w:r>
    </w:p>
    <w:p w:rsidR="00000000" w:rsidDel="00000000" w:rsidP="00000000" w:rsidRDefault="00000000" w:rsidRPr="00000000" w14:paraId="0000003F">
      <w:pPr>
        <w:spacing w:after="240" w:before="24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Lifetime suicide attempts were assessed at 18-28 years using the Brazilian Portuguese version of the Columbia-Suicide Severity Rating Scale (C-SSRS) (Posner et al., 2011). Participants were initially asked “Have you ever made a suicide attempt?” and, if endorsed, completed additional questions regarding the characteristics of the behavior and the presence of suicidal intent. Responses were classified according to C-SSRS criteria, with suicide attempts defined as self-injurious acts accompanied by at least some degree of suicidal intent. At 14-23 years, suicidality was assessed using a self-report item from the Brazilian Portuguese version of the Development and Well-Being Assessment (DAWBA) (Goodman et al., 2000), which asked whether participants “Have you ever tried to hurt yourself or kill yourself?”. This item was administered only to participants who endorsed previous screening questions indicating depressive symptoms. Responses at both waves were coded dichotomously (yes/no). </w:t>
      </w:r>
    </w:p>
    <w:p w:rsidR="00000000" w:rsidDel="00000000" w:rsidP="00000000" w:rsidRDefault="00000000" w:rsidRPr="00000000" w14:paraId="00000040">
      <w:pPr>
        <w:spacing w:after="240" w:before="24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Psychiatric inpatient admission was assessed at 14-23 and 18-28 years using cohort-specific questions from the BHRCS protocol. Participants were asked whether they had been admitted to a hospital or clinic for emotional or behavioral problems during the previous three years. At 14-23 years, information was obtained from parents for participants younger than 18 years and from self-report for those aged 18 years or older; at 18-28 years, information was obtained through self-report. Responses were coded dichotomously (yes/no). </w:t>
      </w:r>
    </w:p>
    <w:p w:rsidR="00000000" w:rsidDel="00000000" w:rsidP="00000000" w:rsidRDefault="00000000" w:rsidRPr="00000000" w14:paraId="00000041">
      <w:pPr>
        <w:spacing w:after="240" w:before="24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Death from any cause was assessed at 14-23 and 18-28 years through parent reports collected as part of the BHRCS protocol and coded dichotomously (yes/no).</w:t>
      </w:r>
    </w:p>
    <w:p w:rsidR="00000000" w:rsidDel="00000000" w:rsidP="00000000" w:rsidRDefault="00000000" w:rsidRPr="00000000" w14:paraId="00000042">
      <w:pPr>
        <w:spacing w:line="276"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Poor life-chances outcomes</w:t>
      </w:r>
    </w:p>
    <w:p w:rsidR="00000000" w:rsidDel="00000000" w:rsidP="00000000" w:rsidRDefault="00000000" w:rsidRPr="00000000" w14:paraId="00000043">
      <w:pPr>
        <w:spacing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4">
      <w:pPr>
        <w:spacing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Criminal conviction was considered positive when participants or their parents/caregivers endorsed any of the following at 14-23 or 18-28 years: receiving assistance from an assisted freedom program, staying overnight in a socio-educational center for adolescents, or having been convicted of a crime.</w:t>
      </w:r>
    </w:p>
    <w:p w:rsidR="00000000" w:rsidDel="00000000" w:rsidP="00000000" w:rsidRDefault="00000000" w:rsidRPr="00000000" w14:paraId="00000045">
      <w:pPr>
        <w:spacing w:line="480" w:lineRule="auto"/>
        <w:ind w:firstLine="720"/>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Substance use risk at 18-28 years was assessed using the Alcohol, Smoking and Substance Involvement Screening Test (ASSIST) (WHO ASSIST Working Group, 2002; Humeniuk et al., 2008). The ASSIST evaluates substance use involvement across multiple classes of psychoactive substances. A dichotomous indicator of substance-related risk was created, coding participants as positive if they presented moderate or high risk for at least one substance category, including tobacco, alcohol, cannabis, cocaine, amphetamine-type stimulants, inhalants, sedatives, hallucinogens, opioids, or other substances (Henrique et al., 2004). Moderate/high risk was defined according to established ASSIST cut-offs (scores ≥11 for alcohol and ≥4 for all other substances) (Henrique et al., 2004). At 14-23 years, substance use risk was defined as the presence of at least one of the following: high-risk alcohol use, assessed with the Alcohol Use Disorders Identification Test Consumption (AUDIT-C, score ≥5) (Bush et al., 1998) or any self-reported use of tobacco or illicit substances during the previous 12 months, assessed through a confidential substance use assessment included in the BHRCS protocol.</w:t>
      </w:r>
    </w:p>
    <w:p w:rsidR="00000000" w:rsidDel="00000000" w:rsidP="00000000" w:rsidRDefault="00000000" w:rsidRPr="00000000" w14:paraId="00000046">
      <w:pPr>
        <w:spacing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being in education, employment, or training (NEET) status at 14-23 and 18-28 years (Yes/No) was inquired to participants as a part of the BHRCS protocol.</w:t>
      </w:r>
    </w:p>
    <w:p w:rsidR="00000000" w:rsidDel="00000000" w:rsidP="00000000" w:rsidRDefault="00000000" w:rsidRPr="00000000" w14:paraId="00000047">
      <w:pPr>
        <w:spacing w:line="48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480"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Well-being</w:t>
      </w:r>
    </w:p>
    <w:p w:rsidR="00000000" w:rsidDel="00000000" w:rsidP="00000000" w:rsidRDefault="00000000" w:rsidRPr="00000000" w14:paraId="00000049">
      <w:pPr>
        <w:spacing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 well-being was assessed using the Short Warwick–Edinburgh Mental Well-being Scale (SWEMWBS), a 7-item instrument derived from the original 14-item Warwick–Edinburgh Mental Well-being Scale (WEMWBS) (Stewart-Brown et al., 2009; Tennant et al., 2007). The SWEMWBS includes items that primarily reflect psychological functioning rather than affective states (Stewart-Brown et al., 2009). Participants were asked to rate their experiences over the previous two weeks using a five-point Likert scale (1 = none of the time, 2 = rarely, 3 = some of the time, 4 = often, 5 = all of the time), with higher scores indicating greater mental well-being. The Brazilian Portuguese version, based on the validated translation and cultural adaptation of the WEMWBS, was used (Santos et al., 2015). SWEMWBS raw scores were transformed into metric scores using the conversion table recommended by the scale developers (Stewart-Brown et al., 2009).</w:t>
      </w:r>
    </w:p>
    <w:p w:rsidR="00000000" w:rsidDel="00000000" w:rsidP="00000000" w:rsidRDefault="00000000" w:rsidRPr="00000000" w14:paraId="0000004A">
      <w:pPr>
        <w:spacing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Statistical analysis</w:t>
      </w:r>
    </w:p>
    <w:p w:rsidR="00000000" w:rsidDel="00000000" w:rsidP="00000000" w:rsidRDefault="00000000" w:rsidRPr="00000000" w14:paraId="0000004C">
      <w:pPr>
        <w:spacing w:line="480"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Confirmatory Factor Analysis</w:t>
      </w:r>
    </w:p>
    <w:p w:rsidR="00000000" w:rsidDel="00000000" w:rsidP="00000000" w:rsidRDefault="00000000" w:rsidRPr="00000000" w14:paraId="0000004D">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ab/>
      </w:r>
      <w:r w:rsidDel="00000000" w:rsidR="00000000" w:rsidRPr="00000000">
        <w:rPr>
          <w:rFonts w:ascii="Times New Roman" w:cs="Times New Roman" w:eastAsia="Times New Roman" w:hAnsi="Times New Roman"/>
          <w:rtl w:val="0"/>
        </w:rPr>
        <w:t xml:space="preserve">The “I felt lonely” sMFQ item was dichotomized using a CFA threshold value of 0.5. The analysis was implemented with Weighted Least Square Mean and Variance (WLSMV) as the estimation method. Model goodness of fit was evaluated using chi-square fit statistics, root-mean-square error of approximation (RMSEA), comparative fit index (CFI), and Tucker-Lewis index (TLI). A nonsignificant chi-square, RMSEA equal or below .06 and CFI and TLI above .95 indicate a good fit (Brown, 2015). In order to assess the reliability of the factors, we considered Lucke’s omega (ω; Lucke, 2005), a model-based reliability estimate, being analogous to alpha coefficient but appropriate for congeneric tests (varying factor loadings); Values of ω may vary between 0 and 1, where higher scores indicate greater reliability; a value of 1 indicates that the instrument’s sum score measures the target construct with perfect accuracy.</w:t>
      </w:r>
    </w:p>
    <w:p w:rsidR="00000000" w:rsidDel="00000000" w:rsidP="00000000" w:rsidRDefault="00000000" w:rsidRPr="00000000" w14:paraId="0000004E">
      <w:pPr>
        <w:spacing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p>
    <w:p w:rsidR="00000000" w:rsidDel="00000000" w:rsidP="00000000" w:rsidRDefault="00000000" w:rsidRPr="00000000" w14:paraId="00000050">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Loneliness as part of the depression construct and clinical operationalization</w:t>
      </w:r>
    </w:p>
    <w:p w:rsidR="00000000" w:rsidDel="00000000" w:rsidP="00000000" w:rsidRDefault="00000000" w:rsidRPr="00000000" w14:paraId="00000051">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The unidimensional structure of sMFQ showed an ω reliability of 0.935, indicating strong unidimensionality. The item “I felt lonely” had a factor loading of 0.916, the second higher among tested depression symptoms. Given the established threshold of 0.5, loneliness was identified as a clinical indicator only when the corresponding item received a score of 2 (i.e., “True”). Therefore, those participants with scores 0 or 1 were considered not lonely and those who scored 2 were considered positive for loneliness, as a clinical indicator for the regression analysis reported below. Accordingly, participants scoring 2 ("True") on this item were classified as positive for loneliness in the regression analyses reported below. </w:t>
      </w:r>
    </w:p>
    <w:p w:rsidR="00000000" w:rsidDel="00000000" w:rsidP="00000000" w:rsidRDefault="00000000" w:rsidRPr="00000000" w14:paraId="0000005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54">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5">
      <w:pPr>
        <w:spacing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Brown, T.A., 2015. Confirmatory factor analysis for applied research, 2nd ed., Confirmatory factor analysis for applied research, 2nd ed. The Guilford Press, New York,  NY,  US.</w:t>
      </w:r>
    </w:p>
    <w:p w:rsidR="00000000" w:rsidDel="00000000" w:rsidP="00000000" w:rsidRDefault="00000000" w:rsidRPr="00000000" w14:paraId="00000056">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Bush, K., Kivlahan, D.R., McDonell, M.B., Fihn, S.D., Bradley, K.A., 1998. The AUDIT alcohol consumption questions (AUDIT-C): an effective brief screening test for problem drinking. Ambulatory Care Quality Improvement Project (ACQUIP). Alcohol Use Disorders Identification Test. Arch Intern Med 158, 1789–1795.</w:t>
      </w:r>
    </w:p>
    <w:p w:rsidR="00000000" w:rsidDel="00000000" w:rsidP="00000000" w:rsidRDefault="00000000" w:rsidRPr="00000000" w14:paraId="00000057">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Goodman, R., Ford, T., Richards, H., Gatward, R., &amp; Meltzer, H. (2000). The Development and Well-Being Assessment: description and initial validation of an integrated assessment of child and adolescent psychopathology. Journal of Child Psychology and Psychiatry, and Allied Disciplines, 41(5), 645–655. https://doi.org/10.1017/s0021963099005909  </w:t>
      </w:r>
    </w:p>
    <w:p w:rsidR="00000000" w:rsidDel="00000000" w:rsidP="00000000" w:rsidRDefault="00000000" w:rsidRPr="00000000" w14:paraId="00000058">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Gratz, K.L., 2001. Measurement of Deliberate Self-Harm: Preliminary Data on the Deliberate Self-Harm Inventory. J. Psychopathol. Behav. Assess. 23, 253–263. https://doi.org/10.1023/A:1012779403943</w:t>
      </w:r>
    </w:p>
    <w:p w:rsidR="00000000" w:rsidDel="00000000" w:rsidP="00000000" w:rsidRDefault="00000000" w:rsidRPr="00000000" w14:paraId="00000059">
      <w:pPr>
        <w:spacing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Lucke, J.F., 2005. The α and the ω of Congeneric Test Theory: An Extension of Reliability and Internal Consistency to Heterogeneous Tests. Applied Psychological Measurement 29, 65–81. https://doi.org/10.1177/0146621604270882</w:t>
      </w:r>
    </w:p>
    <w:p w:rsidR="00000000" w:rsidDel="00000000" w:rsidP="00000000" w:rsidRDefault="00000000" w:rsidRPr="00000000" w14:paraId="0000005A">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Martel, M.M., Pan, P.M., Hoffmann, M.S., Gadelha, A., do Rosário, M.C., Mari, J.J., Manfro, G.G., Miguel, E.C., Paus, T., Bressan, R.A., Rohde, L.A., Salum, G.A., 2017. A general psychopathology factor (P factor) in children: Structural model analysis and external validation through familial risk and child global executive function. J Abnorm Psychol 126, 137–148.</w:t>
      </w:r>
    </w:p>
    <w:p w:rsidR="00000000" w:rsidDel="00000000" w:rsidP="00000000" w:rsidRDefault="00000000" w:rsidRPr="00000000" w14:paraId="0000005B">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Posner, K., Brown, G. K., Stanley, B., et al. (2011). The Columbia-Suicide Severity Rating Scale: Initial validity and internal consistency findings from three multisite studies with adolescents and adults. American Journal of Psychiatry, 168(12), 1266–1277. https://doi.org/10.1176/appi.ajp.2011.10111704 </w:t>
      </w:r>
    </w:p>
    <w:p w:rsidR="00000000" w:rsidDel="00000000" w:rsidP="00000000" w:rsidRDefault="00000000" w:rsidRPr="00000000" w14:paraId="0000005C">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Salum, G.A., Gadelha, A., Pan, P.M., Moriyama, T.S., Graeff-Martins, A.S., Tamanaha, A.C., Alvarenga, P., Valle Krieger, F., Fleitlich-Bilyk, B., Jackowski, A., Sato, J.R., Brietzke, E., Polanczyk, G.V., Brentani, H., de Jesus Mari, J., Do Rosário, M.C., Manfro, G.G., Bressan, R.A., Mercadante, M.T., Miguel, E.C., Rohde, L.A., 2015. High risk cohort study for psychiatric disorders in childhood: rationale, design, methods and preliminary results. Int J Methods Psychiatr Res 24, 58–73.</w:t>
      </w:r>
    </w:p>
    <w:p w:rsidR="00000000" w:rsidDel="00000000" w:rsidP="00000000" w:rsidRDefault="00000000" w:rsidRPr="00000000" w14:paraId="0000005D">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Santos, J.J.A.D., Costa, T.A.D., Guilherme, J.H., Silva, W.C.D., Abentroth, L.R.L., Krebs, J.A., Sotoriva, P., 2015. Adaptation and cross-cultural validation of the Brazilian version of the Warwick-Edinburgh mental well-being scale. Rev. Assoc. Médica Bras. 61, 209–214. https://doi.org/10.1590/1806-9282.61.03.209</w:t>
      </w:r>
    </w:p>
    <w:p w:rsidR="00000000" w:rsidDel="00000000" w:rsidP="00000000" w:rsidRDefault="00000000" w:rsidRPr="00000000" w14:paraId="0000005E">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Seaman, S.R., White, I.R., 2013. Review of inverse probability weighting for dealing with missing data. Stat Methods Med Res 22, 278–295.</w:t>
      </w:r>
    </w:p>
    <w:p w:rsidR="00000000" w:rsidDel="00000000" w:rsidP="00000000" w:rsidRDefault="00000000" w:rsidRPr="00000000" w14:paraId="0000005F">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Stewart-Brown, S., Tennant, A., Tennant, R., Platt, S., Parkinson, J., Weich, S., 2009. Internal construct validity of the Warwick-Edinburgh Mental Well-being Scale (WEMWBS): a Rasch analysis using data from the Scottish Health Education Population Survey. Health Qual. Life Outcomes 7, 15. https://doi.org/10.1186/1477-7525-7-15</w:t>
      </w:r>
    </w:p>
    <w:p w:rsidR="00000000" w:rsidDel="00000000" w:rsidP="00000000" w:rsidRDefault="00000000" w:rsidRPr="00000000" w14:paraId="00000060">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Tennant, R., Hiller, L., Fishwick, R., Platt, S., Joseph, S., Weich, S., Parkinson, J., Secker, J., Stewart-Brown, S., 2007. The Warwick-Edinburgh Mental Well-being Scale (WEMWBS): development and UK validation. Health Qual Life Outcomes 5, 63.</w:t>
      </w:r>
    </w:p>
    <w:p w:rsidR="00000000" w:rsidDel="00000000" w:rsidP="00000000" w:rsidRDefault="00000000" w:rsidRPr="00000000" w14:paraId="00000061">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Health Organization ASSIST Working Group. (2002). The Alcohol, Smoking and Substance Involvement Screening Test (ASSIST): Development, reliability and feasibility. Addiction, 97(9), 1183–1194. https://doi.org/10.1046/j.1360-0443.2002.00185.x </w:t>
      </w:r>
    </w:p>
    <w:p w:rsidR="00000000" w:rsidDel="00000000" w:rsidP="00000000" w:rsidRDefault="00000000" w:rsidRPr="00000000" w14:paraId="00000062">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Health Organization. (2024). International Classification of Diseases for Mortality and Morbidity Statistics (11th Revision). https://icd.who.int/browse/2024-01/mms/en</w:t>
      </w:r>
    </w:p>
    <w:p w:rsidR="00000000" w:rsidDel="00000000" w:rsidP="00000000" w:rsidRDefault="00000000" w:rsidRPr="00000000" w14:paraId="00000063">
      <w:pPr>
        <w:spacing w:line="240" w:lineRule="auto"/>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Humeniuk, R., Ali, R., Babor, T. F., Farrell, M., Formigoni, M. L., Jittiwutikarn, J., … Simon, S. (2008). Validation of the Alcohol, Smoking and Substance Involvement Screening Test (ASSIST). Addiction, 103(6), 1039–1047. https://doi.org/10.1111/j.1360-0443.2007.02114.x </w:t>
      </w:r>
    </w:p>
    <w:p w:rsidR="00000000" w:rsidDel="00000000" w:rsidP="00000000" w:rsidRDefault="00000000" w:rsidRPr="00000000" w14:paraId="00000064">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Ziebold, C., Evans-Lacko, S., Andrade, M.C.R., Hoffmann, M., Fonseca, L., Barbosa, M., Pan, P.M., Miguel, E., Bressan, R., Rohde, L.A., Salum, G., Schafer, J., de Jesus Mari, J., Gadelha, A., 2023. Childhood poverty and mental health disorders in early adulthood: evidence from a Brazilian cohort study. Eur Child Adolesc Psychiatry 32, 903–914.</w:t>
      </w:r>
      <w:r w:rsidDel="00000000" w:rsidR="00000000" w:rsidRPr="00000000">
        <w:rPr>
          <w:rtl w:val="0"/>
        </w:rPr>
      </w:r>
    </w:p>
    <w:p w:rsidR="00000000" w:rsidDel="00000000" w:rsidP="00000000" w:rsidRDefault="00000000" w:rsidRPr="00000000" w14:paraId="00000065">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6">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
        <w:tblpPr w:leftFromText="180" w:rightFromText="180" w:topFromText="0" w:bottomFromText="0" w:vertAnchor="text" w:horzAnchor="text" w:tblpX="0" w:tblpY="0"/>
        <w:tblW w:w="9000.0" w:type="dxa"/>
        <w:jc w:val="left"/>
        <w:tblLayout w:type="fixed"/>
        <w:tblLook w:val="0400"/>
      </w:tblPr>
      <w:tblGrid>
        <w:gridCol w:w="3645"/>
        <w:gridCol w:w="270"/>
        <w:gridCol w:w="1905"/>
        <w:gridCol w:w="1905"/>
        <w:gridCol w:w="270"/>
        <w:gridCol w:w="1005"/>
        <w:tblGridChange w:id="0">
          <w:tblGrid>
            <w:gridCol w:w="3645"/>
            <w:gridCol w:w="270"/>
            <w:gridCol w:w="1905"/>
            <w:gridCol w:w="1905"/>
            <w:gridCol w:w="270"/>
            <w:gridCol w:w="1005"/>
          </w:tblGrid>
        </w:tblGridChange>
      </w:tblGrid>
      <w:tr>
        <w:trPr>
          <w:cantSplit w:val="0"/>
          <w:trHeight w:val="300" w:hRule="atLeast"/>
          <w:tblHeader w:val="0"/>
        </w:trPr>
        <w:tc>
          <w:tcPr>
            <w:gridSpan w:val="6"/>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7">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Table S1 – Sociodemographic characteristics associated with retention at 14-23 years</w:t>
            </w:r>
            <w:r w:rsidDel="00000000" w:rsidR="00000000" w:rsidRPr="00000000">
              <w:rPr>
                <w:rtl w:val="0"/>
              </w:rPr>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6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6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06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Missing at follow-up</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07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07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N = 1,905</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N = 606</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p-value</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A">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10.22 (8.73, 11.69)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10.01 (8.58, 11.39)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0">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1">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2">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3">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Female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6">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872 (46%)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264 (44%)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A">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Male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C">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1,033 (54%)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342 (56%)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F">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0">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IQ</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2">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(89, 110)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(91, 109)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8">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C">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ABEP: Socioeconomic status score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E">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 (15.0, 21.0)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 (15.0, 21.0)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ABEP: Socioeconomic status stratified</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4">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5">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6">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7">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A/B</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A">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 (12%)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(12%)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E">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C</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0">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1,357 (71%)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431 (71%)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4">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6">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328 (17%)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(17%)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A">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Selection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C">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D">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E">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F">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Community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2">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734 (39%)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(37%)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6">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High risk</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8">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1,171 (61%)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382 (63%)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C">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Maternal education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E">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F">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0">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1">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2">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No/incomplete primary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4">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429 (23%)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178 (30%)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7">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8">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primary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A">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640 (34%)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217 (36%)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E">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secondary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0">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744 (39%)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 (32%)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4">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tertiary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6">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(3.9%)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A">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C">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F">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0">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2">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3">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4">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5">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Asian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8">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(0.2%)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(0.2%)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C">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Black</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E">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208 (11%)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(9.3%)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2">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Mixed</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4">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517 (27%)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189 (31%)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7">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8">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Native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A">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(0.5%)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(0.3%)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E">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White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0">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1,162 (61%)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357 (59%)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4">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6">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A">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C">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D">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E">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1F">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0">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2">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1,002 (53%)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253 (42%)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6">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8">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903 (47%)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353 (58%)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C">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Self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E">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2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523 (27%)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 (21%)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2">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0.003</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Broad fear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4">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5">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6">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7">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0.011</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Fear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A">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176 (9.2%)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 (5.9%)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E">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3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 Fear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0">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1,729 (91%)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570 (94%)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4">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Mother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584 (31%)</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157 (26%)</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0.026</w:t>
            </w:r>
          </w:p>
        </w:tc>
      </w:tr>
      <w:tr>
        <w:trPr>
          <w:cantSplit w:val="0"/>
          <w:trHeight w:val="600" w:hRule="atLeast"/>
          <w:tblHeader w:val="0"/>
        </w:trPr>
        <w:tc>
          <w:tcPr>
            <w:gridSpan w:val="6"/>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4B">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 Median (IQR); n (%); Wilcoxon rank sum test; Pearson's Chi-squared test; Fisher's exact test</w:t>
            </w:r>
          </w:p>
        </w:tc>
      </w:tr>
    </w:tbl>
    <w:p w:rsidR="00000000" w:rsidDel="00000000" w:rsidP="00000000" w:rsidRDefault="00000000" w:rsidRPr="00000000" w14:paraId="00000151">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2">
      <w:pPr>
        <w:widowControl w:val="0"/>
        <w:spacing w:line="276"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3">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2"/>
        <w:tblpPr w:leftFromText="180" w:rightFromText="180" w:topFromText="0" w:bottomFromText="0" w:vertAnchor="text" w:horzAnchor="text" w:tblpX="0" w:tblpY="0"/>
        <w:tblW w:w="9000.0" w:type="dxa"/>
        <w:jc w:val="left"/>
        <w:tblLayout w:type="fixed"/>
        <w:tblLook w:val="0400"/>
      </w:tblPr>
      <w:tblGrid>
        <w:gridCol w:w="3645"/>
        <w:gridCol w:w="270"/>
        <w:gridCol w:w="1905"/>
        <w:gridCol w:w="1905"/>
        <w:gridCol w:w="270"/>
        <w:gridCol w:w="1005"/>
        <w:tblGridChange w:id="0">
          <w:tblGrid>
            <w:gridCol w:w="3645"/>
            <w:gridCol w:w="270"/>
            <w:gridCol w:w="1905"/>
            <w:gridCol w:w="1905"/>
            <w:gridCol w:w="270"/>
            <w:gridCol w:w="1005"/>
          </w:tblGrid>
        </w:tblGridChange>
      </w:tblGrid>
      <w:tr>
        <w:trPr>
          <w:cantSplit w:val="0"/>
          <w:trHeight w:val="300" w:hRule="atLeast"/>
          <w:tblHeader w:val="0"/>
        </w:trPr>
        <w:tc>
          <w:tcPr>
            <w:gridSpan w:val="6"/>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54">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Table S2 – Sociodemographic characteristics associated with retention at 18-28 years</w:t>
            </w:r>
            <w:r w:rsidDel="00000000" w:rsidR="00000000" w:rsidRPr="00000000">
              <w:rPr>
                <w:rtl w:val="0"/>
              </w:rPr>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5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15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15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Missing at follow-up</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15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15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6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6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6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N = 2,052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6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N = 459</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6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6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p-value</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7">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10.19 (8.67, 11.69)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10.06 (8.72, 11.38)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A">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B">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E">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F">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0">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1">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Female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3">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982 (48%)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154 (34%)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6">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7">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Male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9">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1,070 (52%)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305 (66%)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C">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D">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IQ</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F">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(90, 110)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(87, 108)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2">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3">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5">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8">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9">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ABEP: Socioeconomic status score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B">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 (15.0, 21.0)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 (15.0, 21.0)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E">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ABEP: Socioeconomic status stratified</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1">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2">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3">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4">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A/B</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7">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357 (19%)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(16%)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A">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B">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C</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1,340 (70%)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(69%)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0">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1">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3">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 (12%)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 (15%)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6">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7">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9">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C">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D">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Selection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F">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0">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1">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2">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Community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5">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785 (38%)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173 (38%)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8">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9">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High risk</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B">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1,267 (62%)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286 (62%)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E">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F">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Maternal education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1">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2">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3">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4">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No/incomplete primary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7">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462 (23%)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145 (32%)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A">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B">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primary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694 (34%)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163 (36%)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0">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1">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secondary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3">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803 (39%)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(29%)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6">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7">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Complete tertiary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9">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(3.6%)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(2.4%)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C">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D">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F">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2">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3">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5">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6">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7">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8">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Asian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B">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(0.2%)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 (0%)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E">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F">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Black</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1">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 (11%)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(9.6%)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4">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5">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Mixed</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7">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570 (28%)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 (30%)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A">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B">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Native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(0.5%)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(0.4%)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0">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1">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White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3">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1,242 (61%)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277 (60%)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6">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7">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Missing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9">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C">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D">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F">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0">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1">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2">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3">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5">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1,065 (52%)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 (41%)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8">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9">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B">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987 (48%)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269 (59%)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E">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F">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Self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1">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558 (27%)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 (20%)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4">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0.003</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Broad fear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7">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8">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9">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A">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B">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Fear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191 (9.3%)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(4.6%)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0">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1">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 Fear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3">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1,861 (91%)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438 (95%)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6">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7">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3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Mother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3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3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620 (30%)</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3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(26%)</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3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3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w:t>
            </w:r>
          </w:p>
        </w:tc>
      </w:tr>
      <w:tr>
        <w:trPr>
          <w:cantSplit w:val="0"/>
          <w:trHeight w:val="600" w:hRule="atLeast"/>
          <w:tblHeader w:val="0"/>
        </w:trPr>
        <w:tc>
          <w:tcPr>
            <w:gridSpan w:val="6"/>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E">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 Median (IQR); n (%); Wilcoxon rank sum test; Pearson's Chi-squared test; Fisher's exact test</w:t>
            </w:r>
          </w:p>
        </w:tc>
      </w:tr>
    </w:tbl>
    <w:p w:rsidR="00000000" w:rsidDel="00000000" w:rsidP="00000000" w:rsidRDefault="00000000" w:rsidRPr="00000000" w14:paraId="00000244">
      <w:pPr>
        <w:widowControl w:val="0"/>
        <w:spacing w:line="276" w:lineRule="auto"/>
        <w:rPr>
          <w:rFonts w:ascii="Times New Roman" w:cs="Times New Roman" w:eastAsia="Times New Roman" w:hAnsi="Times New Roman"/>
          <w:b w:val="1"/>
          <w:bCs w:val="1"/>
          <w:sz w:val="24"/>
          <w:szCs w:val="24"/>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45">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3"/>
        <w:tblpPr w:leftFromText="180" w:rightFromText="180" w:topFromText="0" w:bottomFromText="0" w:vertAnchor="page" w:horzAnchor="margin" w:tblpX="0" w:tblpY="0"/>
        <w:tblW w:w="7740.0" w:type="dxa"/>
        <w:jc w:val="left"/>
        <w:tblLayout w:type="fixed"/>
        <w:tblLook w:val="0400"/>
      </w:tblPr>
      <w:tblGrid>
        <w:gridCol w:w="4425"/>
        <w:gridCol w:w="855"/>
        <w:gridCol w:w="1395"/>
        <w:gridCol w:w="1065"/>
        <w:tblGridChange w:id="0">
          <w:tblGrid>
            <w:gridCol w:w="4425"/>
            <w:gridCol w:w="855"/>
            <w:gridCol w:w="1395"/>
            <w:gridCol w:w="1065"/>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46">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47">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48">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49">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4A">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S3 – Regression analysis of predictors associated with response at 14-23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4E">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2">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5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Response at follow-up</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5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5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5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25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B">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C">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5D">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1.000, 1.104</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6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0.638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0.524, 0.776</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6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Maternal education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1.225, 1.553</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6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Self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0.982, 1.564</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6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Mother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7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0.875, 1.358</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7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0.450</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7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2,511</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275">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7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0.023</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7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279">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27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27E">
      <w:pPr>
        <w:widowControl w:val="0"/>
        <w:spacing w:line="276" w:lineRule="auto"/>
        <w:rPr>
          <w:rFonts w:ascii="Times New Roman" w:cs="Times New Roman" w:eastAsia="Times New Roman" w:hAnsi="Times New Roman"/>
        </w:rPr>
        <w:sectPr>
          <w:type w:val="nextPage"/>
          <w:pgSz w:h="16834" w:w="11909" w:orient="portrait"/>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27F">
      <w:pPr>
        <w:widowControl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0">
      <w:pPr>
        <w:widowControl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1">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4"/>
        <w:tblpPr w:leftFromText="180" w:rightFromText="180" w:topFromText="0" w:bottomFromText="0" w:vertAnchor="page" w:horzAnchor="margin" w:tblpX="0" w:tblpY="0"/>
        <w:tblW w:w="7740.0" w:type="dxa"/>
        <w:jc w:val="left"/>
        <w:tblLayout w:type="fixed"/>
        <w:tblLook w:val="0400"/>
      </w:tblPr>
      <w:tblGrid>
        <w:gridCol w:w="4425"/>
        <w:gridCol w:w="855"/>
        <w:gridCol w:w="1395"/>
        <w:gridCol w:w="1065"/>
        <w:tblGridChange w:id="0">
          <w:tblGrid>
            <w:gridCol w:w="4425"/>
            <w:gridCol w:w="855"/>
            <w:gridCol w:w="1395"/>
            <w:gridCol w:w="1065"/>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82">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83">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84">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85">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86">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S4 – Regression analysis of predictors associated with response at 18-28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8A">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8E">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8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Response at follow-up</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9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9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9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29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7">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8">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99">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0.974, 1.087</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9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0,312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9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0.506, 0.782</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A1">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Maternal education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1.434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1.266, 1.625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A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Self</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1.000, 1.688</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A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mental health diagnoses: Mother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A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0.808, 1.315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A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A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2,511</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B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2B1">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B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2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2B5">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2B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2BA">
      <w:pPr>
        <w:widowControl w:val="0"/>
        <w:spacing w:line="276" w:lineRule="auto"/>
        <w:rPr>
          <w:rFonts w:ascii="Times New Roman" w:cs="Times New Roman" w:eastAsia="Times New Roman" w:hAnsi="Times New Roman"/>
          <w:b w:val="1"/>
          <w:bCs w:val="1"/>
          <w:highlight w:val="yellow"/>
        </w:rPr>
        <w:sectPr>
          <w:type w:val="nextPage"/>
          <w:pgSz w:h="16834" w:w="11909" w:orient="portrait"/>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2BB">
      <w:pPr>
        <w:widowControl w:val="0"/>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Table S5 - Operationalization of clinical validators by age of assessment</w:t>
      </w:r>
    </w:p>
    <w:p w:rsidR="00000000" w:rsidDel="00000000" w:rsidP="00000000" w:rsidRDefault="00000000" w:rsidRPr="00000000" w14:paraId="000002BC">
      <w:pPr>
        <w:widowControl w:val="0"/>
        <w:spacing w:line="276" w:lineRule="auto"/>
        <w:rPr>
          <w:rFonts w:ascii="Times New Roman" w:cs="Times New Roman" w:eastAsia="Times New Roman" w:hAnsi="Times New Roman"/>
          <w:b w:val="1"/>
          <w:bCs w:val="1"/>
        </w:rPr>
      </w:pPr>
      <w:r w:rsidDel="00000000" w:rsidR="00000000" w:rsidRPr="00000000">
        <w:rPr>
          <w:rtl w:val="0"/>
        </w:rPr>
      </w:r>
    </w:p>
    <w:tbl>
      <w:tblPr>
        <w:tblStyle w:val="Table5"/>
        <w:tblW w:w="9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1230"/>
        <w:gridCol w:w="2760"/>
        <w:gridCol w:w="3735"/>
        <w:tblGridChange w:id="0">
          <w:tblGrid>
            <w:gridCol w:w="1845"/>
            <w:gridCol w:w="1230"/>
            <w:gridCol w:w="2760"/>
            <w:gridCol w:w="3735"/>
          </w:tblGrid>
        </w:tblGridChange>
      </w:tblGrid>
      <w:tr>
        <w:trPr>
          <w:cantSplit w:val="0"/>
          <w:trHeight w:val="500"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D">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Validator</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E">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F">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14-23 years</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0">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18-28 years</w:t>
            </w:r>
          </w:p>
        </w:tc>
      </w:tr>
      <w:tr>
        <w:trPr>
          <w:cantSplit w:val="0"/>
          <w:trHeight w:val="2990" w:hRule="atLeast"/>
          <w:tblHeader w:val="0"/>
        </w:trPr>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1">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Life-threatening events</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2">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Suicide attempt</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3">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DAWBA item: "Have you ever tried to hurt yourself or kill yourself?" Administered only to participants who endorsed prior depressive-symptom screening items. Yes/No.</w:t>
            </w:r>
          </w:p>
        </w:tc>
        <w:tc>
          <w:tcPr>
            <w:tcBorders>
              <w:top w:color="000000" w:space="0" w:sz="8"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4">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Columbia-Suicide Severity Rating Scale (C-SSRS; Posner et al., 2011). Initial screening item ("Have you ever made a suicide attempt?"), followed by additional questions on behavior characteristics and suicidal intent if endorsed. Classified per C-SSRS criteria (self-injurious act with at least some suicidal intent). Yes/No.</w:t>
            </w:r>
          </w:p>
        </w:tc>
      </w:tr>
      <w:tr>
        <w:trPr>
          <w:cantSplit w:val="0"/>
          <w:trHeight w:val="27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5">
            <w:pPr>
              <w:widowControl w:val="0"/>
              <w:spacing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6">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Psychiatric inpatient admission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7">
            <w:pPr>
              <w:widowControl w:val="0"/>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Cohort-specific BHRCS item: hospital/clinic admission for emotional or behavioral problems in the previous 3 years. Reported by parents (participants &lt;18 years) or self-report (participants ≥18 years). Yes/No.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8">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Same cohort-specific BHRCS item. Self-report only. Yes/No.</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9">
            <w:pPr>
              <w:widowControl w:val="0"/>
              <w:spacing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A">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Death (any cause)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B">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report, BHRCS protocol. Yes/No.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C">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report, BHRCS protocol. Yes/No.</w:t>
            </w:r>
          </w:p>
        </w:tc>
      </w:tr>
      <w:tr>
        <w:trPr>
          <w:cantSplit w:val="0"/>
          <w:trHeight w:val="24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D">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Poor life chances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E">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Criminal conviction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F">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Endorsement (self- or parent/caregiver-report) of any of: assistance from an assisted freedom program; overnight stay in a socio-educational center for adolescents; or criminal conviction.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0">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Same criteria as at 14-23 years.</w:t>
            </w:r>
          </w:p>
        </w:tc>
      </w:tr>
      <w:tr>
        <w:trPr>
          <w:cantSplit w:val="0"/>
          <w:trHeight w:val="3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1">
            <w:pPr>
              <w:widowControl w:val="0"/>
              <w:spacing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2">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Substance use risk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3">
            <w:pPr>
              <w:widowControl w:val="0"/>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Presence of at least one of: high-risk alcohol use (AUDIT-C ≥5; Bush et al., 1998) or self-reported use of tobacco or illicit substances in the previous 12 months, via a confidential BHRCS substance-use protocol.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4">
            <w:pPr>
              <w:widowControl w:val="0"/>
              <w:spacing w:line="276" w:lineRule="auto"/>
              <w:jc w:val="both"/>
              <w:rPr>
                <w:rFonts w:ascii="Times New Roman" w:cs="Times New Roman" w:eastAsia="Times New Roman" w:hAnsi="Times New Roman"/>
              </w:rPr>
            </w:pPr>
            <w:r w:rsidDel="00000000" w:rsidR="00000000" w:rsidRPr="00000000">
              <w:rPr>
                <w:rFonts w:ascii="Gungsuh" w:cs="Gungsuh" w:eastAsia="Gungsuh" w:hAnsi="Gungsuh"/>
                <w:rtl w:val="0"/>
              </w:rPr>
              <w:t xml:space="preserve">Alcohol, Smoking and Substance Involvement Screening Test (ASSIST; WHO ASSIST Working Group, 2002; Humeniuk et al., 2008). Positive if moderate/high risk for ≥1 of: tobacco, alcohol, cannabis, cocaine, amphetamine-type stimulants, inhalants, sedatives, hallucinogens, opioids, or other substances. Cut-offs: ≥11 (alcohol), ≥4 (other substances) (Henrique et al., 2004).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5">
            <w:pPr>
              <w:widowControl w:val="0"/>
              <w:spacing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6">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NEET status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7">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Self-reported, BHRCS protocol. Yes/No.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8">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Self-reported, BHRCS protocol. Yes/No.</w:t>
            </w:r>
          </w:p>
        </w:tc>
      </w:tr>
      <w:tr>
        <w:trPr>
          <w:cantSplit w:val="0"/>
          <w:trHeight w:val="1340"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9">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Well-being</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A">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Well-being</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B">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 Warwick-Edinburgh Mental Well-being Scale (SWEMWBS; Tennant et al., 2007).</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C">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 Warwick-Edinburgh Mental Well-being Scale (SWEMWBS; Tennant et al., 2007).</w:t>
            </w:r>
          </w:p>
        </w:tc>
      </w:tr>
    </w:tbl>
    <w:p w:rsidR="00000000" w:rsidDel="00000000" w:rsidP="00000000" w:rsidRDefault="00000000" w:rsidRPr="00000000" w14:paraId="000002DD">
      <w:pPr>
        <w:widowControl w:val="0"/>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BHRCS = Brazilian High-Risk Cohort Study; DAWBA = Development and Well-Being Assessment; C-SSRS = Columbia-Suicide Severity Rating Scale; AUDIT-C = Alcohol Use Disorders Identification Test – Consumption; ASSIST = Alcohol, Smoking and Substance Involvement Screening Test; NEET = not in education, employment, or training; SWEMWBS = Short Warwick-Edinburgh Mental Well-being Scale</w:t>
      </w:r>
    </w:p>
    <w:p w:rsidR="00000000" w:rsidDel="00000000" w:rsidP="00000000" w:rsidRDefault="00000000" w:rsidRPr="00000000" w14:paraId="000002DE">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DF">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6"/>
        <w:tblW w:w="9360.0" w:type="dxa"/>
        <w:jc w:val="left"/>
        <w:tblLayout w:type="fixed"/>
        <w:tblLook w:val="0400"/>
      </w:tblPr>
      <w:tblGrid>
        <w:gridCol w:w="5183"/>
        <w:gridCol w:w="2270"/>
        <w:gridCol w:w="133"/>
        <w:gridCol w:w="887"/>
        <w:gridCol w:w="887"/>
        <w:tblGridChange w:id="0">
          <w:tblGrid>
            <w:gridCol w:w="5183"/>
            <w:gridCol w:w="2270"/>
            <w:gridCol w:w="133"/>
            <w:gridCol w:w="887"/>
            <w:gridCol w:w="887"/>
          </w:tblGrid>
        </w:tblGridChange>
      </w:tblGrid>
      <w:tr>
        <w:trPr>
          <w:cantSplit w:val="0"/>
          <w:trHeight w:val="420" w:hRule="atLeast"/>
          <w:tblHeader w:val="0"/>
        </w:trPr>
        <w:tc>
          <w:tcPr>
            <w:gridSpan w:val="5"/>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2E0">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Table S6 - Confirmatory Factor Analysis Models for depressive symptoms using sMFQ</w:t>
            </w:r>
          </w:p>
        </w:tc>
      </w:tr>
      <w:tr>
        <w:trPr>
          <w:cantSplit w:val="0"/>
          <w:trHeight w:val="300" w:hRule="atLeast"/>
          <w:tblHeader w:val="0"/>
        </w:trPr>
        <w:tc>
          <w:tcPr>
            <w:tcBorders>
              <w:top w:color="000000" w:space="0" w:sz="6" w:val="single"/>
            </w:tcBorders>
            <w:tcMar>
              <w:top w:w="0.0" w:type="dxa"/>
              <w:left w:w="40.0" w:type="dxa"/>
              <w:bottom w:w="0.0" w:type="dxa"/>
              <w:right w:w="40.0" w:type="dxa"/>
            </w:tcMar>
            <w:vAlign w:val="center"/>
          </w:tcPr>
          <w:p w:rsidR="00000000" w:rsidDel="00000000" w:rsidP="00000000" w:rsidRDefault="00000000" w:rsidRPr="00000000" w14:paraId="000002E5">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6" w:val="single"/>
            </w:tcBorders>
            <w:tcMar>
              <w:top w:w="0.0" w:type="dxa"/>
              <w:left w:w="40.0" w:type="dxa"/>
              <w:bottom w:w="0.0" w:type="dxa"/>
              <w:right w:w="40.0" w:type="dxa"/>
            </w:tcMar>
            <w:vAlign w:val="center"/>
          </w:tcPr>
          <w:p w:rsidR="00000000" w:rsidDel="00000000" w:rsidP="00000000" w:rsidRDefault="00000000" w:rsidRPr="00000000" w14:paraId="000002E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 loadings (λ)</w:t>
            </w:r>
          </w:p>
        </w:tc>
        <w:tc>
          <w:tcPr>
            <w:tcMar>
              <w:top w:w="0.0" w:type="dxa"/>
              <w:left w:w="40.0" w:type="dxa"/>
              <w:bottom w:w="0.0" w:type="dxa"/>
              <w:right w:w="40.0" w:type="dxa"/>
            </w:tcMar>
            <w:vAlign w:val="center"/>
          </w:tcPr>
          <w:p w:rsidR="00000000" w:rsidDel="00000000" w:rsidP="00000000" w:rsidRDefault="00000000" w:rsidRPr="00000000" w14:paraId="000002E7">
            <w:pPr>
              <w:spacing w:line="276" w:lineRule="auto"/>
              <w:rPr>
                <w:rFonts w:ascii="Times New Roman" w:cs="Times New Roman" w:eastAsia="Times New Roman" w:hAnsi="Times New Roman"/>
              </w:rPr>
            </w:pPr>
            <w:r w:rsidDel="00000000" w:rsidR="00000000" w:rsidRPr="00000000">
              <w:rPr>
                <w:rtl w:val="0"/>
              </w:rPr>
            </w:r>
          </w:p>
        </w:tc>
        <w:tc>
          <w:tcPr>
            <w:gridSpan w:val="2"/>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2E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Thresholds</w:t>
            </w:r>
          </w:p>
        </w:tc>
      </w:tr>
      <w:tr>
        <w:trPr>
          <w:cantSplit w:val="0"/>
          <w:trHeight w:val="300" w:hRule="atLeast"/>
          <w:tblHeader w:val="0"/>
        </w:trPr>
        <w:tc>
          <w:tcPr>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2E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Items</w:t>
            </w:r>
          </w:p>
        </w:tc>
        <w:tc>
          <w:tcPr>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2EB">
            <w:pPr>
              <w:spacing w:line="276" w:lineRule="auto"/>
              <w:rPr>
                <w:rFonts w:ascii="Times New Roman" w:cs="Times New Roman" w:eastAsia="Times New Roman" w:hAnsi="Times New Roman"/>
              </w:rPr>
            </w:pPr>
            <w:r w:rsidDel="00000000" w:rsidR="00000000" w:rsidRPr="00000000">
              <w:rPr>
                <w:rtl w:val="0"/>
              </w:rPr>
            </w:r>
          </w:p>
        </w:tc>
        <w:tc>
          <w:tcPr>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2EC">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6" w:val="single"/>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2E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T1</w:t>
            </w:r>
          </w:p>
        </w:tc>
        <w:tc>
          <w:tcPr>
            <w:tcBorders>
              <w:top w:color="000000" w:space="0" w:sz="6" w:val="single"/>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2E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T2</w:t>
            </w:r>
          </w:p>
        </w:tc>
      </w:tr>
      <w:tr>
        <w:trPr>
          <w:cantSplit w:val="0"/>
          <w:trHeight w:val="300" w:hRule="atLeast"/>
          <w:tblHeader w:val="0"/>
        </w:trPr>
        <w:tc>
          <w:tcPr>
            <w:tcBorders>
              <w:top w:color="000000" w:space="0" w:sz="6" w:val="single"/>
            </w:tcBorders>
            <w:tcMar>
              <w:top w:w="0.0" w:type="dxa"/>
              <w:left w:w="40.0" w:type="dxa"/>
              <w:bottom w:w="0.0" w:type="dxa"/>
              <w:right w:w="40.0" w:type="dxa"/>
            </w:tcMar>
            <w:vAlign w:val="center"/>
          </w:tcPr>
          <w:p w:rsidR="00000000" w:rsidDel="00000000" w:rsidP="00000000" w:rsidRDefault="00000000" w:rsidRPr="00000000" w14:paraId="000002E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felt miserable or unhappy.</w:t>
            </w:r>
          </w:p>
        </w:tc>
        <w:tc>
          <w:tcPr>
            <w:tcBorders>
              <w:top w:color="000000" w:space="0" w:sz="6" w:val="single"/>
            </w:tcBorders>
            <w:tcMar>
              <w:top w:w="0.0" w:type="dxa"/>
              <w:left w:w="40.0" w:type="dxa"/>
              <w:bottom w:w="0.0" w:type="dxa"/>
              <w:right w:w="40.0" w:type="dxa"/>
            </w:tcMar>
            <w:vAlign w:val="center"/>
          </w:tcPr>
          <w:p w:rsidR="00000000" w:rsidDel="00000000" w:rsidP="00000000" w:rsidRDefault="00000000" w:rsidRPr="00000000" w14:paraId="000002F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0.842</w:t>
            </w:r>
          </w:p>
        </w:tc>
        <w:tc>
          <w:tcPr>
            <w:tcBorders>
              <w:top w:color="000000" w:space="0" w:sz="6" w:val="single"/>
            </w:tcBorders>
            <w:tcMar>
              <w:top w:w="0.0" w:type="dxa"/>
              <w:left w:w="40.0" w:type="dxa"/>
              <w:bottom w:w="0.0" w:type="dxa"/>
              <w:right w:w="40.0" w:type="dxa"/>
            </w:tcMar>
            <w:vAlign w:val="center"/>
          </w:tcPr>
          <w:p w:rsidR="00000000" w:rsidDel="00000000" w:rsidP="00000000" w:rsidRDefault="00000000" w:rsidRPr="00000000" w14:paraId="000002F1">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6" w:val="single"/>
            </w:tcBorders>
            <w:tcMar>
              <w:top w:w="0.0" w:type="dxa"/>
              <w:left w:w="40.0" w:type="dxa"/>
              <w:bottom w:w="0.0" w:type="dxa"/>
              <w:right w:w="40.0" w:type="dxa"/>
            </w:tcMar>
            <w:vAlign w:val="bottom"/>
          </w:tcPr>
          <w:p w:rsidR="00000000" w:rsidDel="00000000" w:rsidP="00000000" w:rsidRDefault="00000000" w:rsidRPr="00000000" w14:paraId="000002F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0.305</w:t>
            </w:r>
          </w:p>
        </w:tc>
        <w:tc>
          <w:tcPr>
            <w:tcBorders>
              <w:top w:color="000000" w:space="0" w:sz="6" w:val="single"/>
            </w:tcBorders>
            <w:tcMar>
              <w:top w:w="0.0" w:type="dxa"/>
              <w:left w:w="40.0" w:type="dxa"/>
              <w:bottom w:w="0.0" w:type="dxa"/>
              <w:right w:w="40.0" w:type="dxa"/>
            </w:tcMar>
            <w:vAlign w:val="bottom"/>
          </w:tcPr>
          <w:p w:rsidR="00000000" w:rsidDel="00000000" w:rsidP="00000000" w:rsidRDefault="00000000" w:rsidRPr="00000000" w14:paraId="000002F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1.294</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2F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didn’t enjoy anything at all.</w:t>
            </w:r>
          </w:p>
        </w:tc>
        <w:tc>
          <w:tcPr>
            <w:tcMar>
              <w:top w:w="0.0" w:type="dxa"/>
              <w:left w:w="40.0" w:type="dxa"/>
              <w:bottom w:w="0.0" w:type="dxa"/>
              <w:right w:w="40.0" w:type="dxa"/>
            </w:tcMar>
            <w:vAlign w:val="center"/>
          </w:tcPr>
          <w:p w:rsidR="00000000" w:rsidDel="00000000" w:rsidP="00000000" w:rsidRDefault="00000000" w:rsidRPr="00000000" w14:paraId="000002F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0.757</w:t>
            </w:r>
          </w:p>
        </w:tc>
        <w:tc>
          <w:tcPr>
            <w:tcMar>
              <w:top w:w="0.0" w:type="dxa"/>
              <w:left w:w="40.0" w:type="dxa"/>
              <w:bottom w:w="0.0" w:type="dxa"/>
              <w:right w:w="40.0" w:type="dxa"/>
            </w:tcMar>
            <w:vAlign w:val="center"/>
          </w:tcPr>
          <w:p w:rsidR="00000000" w:rsidDel="00000000" w:rsidP="00000000" w:rsidRDefault="00000000" w:rsidRPr="00000000" w14:paraId="000002F6">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F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0.802</w:t>
            </w:r>
          </w:p>
        </w:tc>
        <w:tc>
          <w:tcPr>
            <w:tcMar>
              <w:top w:w="0.0" w:type="dxa"/>
              <w:left w:w="40.0" w:type="dxa"/>
              <w:bottom w:w="0.0" w:type="dxa"/>
              <w:right w:w="40.0" w:type="dxa"/>
            </w:tcMar>
            <w:vAlign w:val="bottom"/>
          </w:tcPr>
          <w:p w:rsidR="00000000" w:rsidDel="00000000" w:rsidP="00000000" w:rsidRDefault="00000000" w:rsidRPr="00000000" w14:paraId="000002F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1.707</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2F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felt so tired I just sat around and did nothing.</w:t>
            </w:r>
          </w:p>
        </w:tc>
        <w:tc>
          <w:tcPr>
            <w:tcMar>
              <w:top w:w="0.0" w:type="dxa"/>
              <w:left w:w="40.0" w:type="dxa"/>
              <w:bottom w:w="0.0" w:type="dxa"/>
              <w:right w:w="40.0" w:type="dxa"/>
            </w:tcMar>
            <w:vAlign w:val="center"/>
          </w:tcPr>
          <w:p w:rsidR="00000000" w:rsidDel="00000000" w:rsidP="00000000" w:rsidRDefault="00000000" w:rsidRPr="00000000" w14:paraId="000002F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0.720</w:t>
            </w:r>
          </w:p>
        </w:tc>
        <w:tc>
          <w:tcPr>
            <w:tcMar>
              <w:top w:w="0.0" w:type="dxa"/>
              <w:left w:w="40.0" w:type="dxa"/>
              <w:bottom w:w="0.0" w:type="dxa"/>
              <w:right w:w="40.0" w:type="dxa"/>
            </w:tcMar>
            <w:vAlign w:val="center"/>
          </w:tcPr>
          <w:p w:rsidR="00000000" w:rsidDel="00000000" w:rsidP="00000000" w:rsidRDefault="00000000" w:rsidRPr="00000000" w14:paraId="000002FB">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F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0.236</w:t>
            </w:r>
          </w:p>
        </w:tc>
        <w:tc>
          <w:tcPr>
            <w:tcMar>
              <w:top w:w="0.0" w:type="dxa"/>
              <w:left w:w="40.0" w:type="dxa"/>
              <w:bottom w:w="0.0" w:type="dxa"/>
              <w:right w:w="40.0" w:type="dxa"/>
            </w:tcMar>
            <w:vAlign w:val="bottom"/>
          </w:tcPr>
          <w:p w:rsidR="00000000" w:rsidDel="00000000" w:rsidP="00000000" w:rsidRDefault="00000000" w:rsidRPr="00000000" w14:paraId="000002F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1.114</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2F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very restless.</w:t>
            </w:r>
          </w:p>
        </w:tc>
        <w:tc>
          <w:tcPr>
            <w:tcMar>
              <w:top w:w="0.0" w:type="dxa"/>
              <w:left w:w="40.0" w:type="dxa"/>
              <w:bottom w:w="0.0" w:type="dxa"/>
              <w:right w:w="40.0" w:type="dxa"/>
            </w:tcMar>
            <w:vAlign w:val="center"/>
          </w:tcPr>
          <w:p w:rsidR="00000000" w:rsidDel="00000000" w:rsidP="00000000" w:rsidRDefault="00000000" w:rsidRPr="00000000" w14:paraId="000002F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0.422</w:t>
            </w:r>
          </w:p>
        </w:tc>
        <w:tc>
          <w:tcPr>
            <w:tcMar>
              <w:top w:w="0.0" w:type="dxa"/>
              <w:left w:w="40.0" w:type="dxa"/>
              <w:bottom w:w="0.0" w:type="dxa"/>
              <w:right w:w="40.0" w:type="dxa"/>
            </w:tcMar>
            <w:vAlign w:val="center"/>
          </w:tcPr>
          <w:p w:rsidR="00000000" w:rsidDel="00000000" w:rsidP="00000000" w:rsidRDefault="00000000" w:rsidRPr="00000000" w14:paraId="00000300">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0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0.107</w:t>
            </w:r>
          </w:p>
        </w:tc>
        <w:tc>
          <w:tcPr>
            <w:tcMar>
              <w:top w:w="0.0" w:type="dxa"/>
              <w:left w:w="40.0" w:type="dxa"/>
              <w:bottom w:w="0.0" w:type="dxa"/>
              <w:right w:w="40.0" w:type="dxa"/>
            </w:tcMar>
            <w:vAlign w:val="bottom"/>
          </w:tcPr>
          <w:p w:rsidR="00000000" w:rsidDel="00000000" w:rsidP="00000000" w:rsidRDefault="00000000" w:rsidRPr="00000000" w14:paraId="0000030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1.143</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0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felt I was no good anymore.</w:t>
            </w:r>
          </w:p>
        </w:tc>
        <w:tc>
          <w:tcPr>
            <w:tcMar>
              <w:top w:w="0.0" w:type="dxa"/>
              <w:left w:w="40.0" w:type="dxa"/>
              <w:bottom w:w="0.0" w:type="dxa"/>
              <w:right w:w="40.0" w:type="dxa"/>
            </w:tcMar>
            <w:vAlign w:val="center"/>
          </w:tcPr>
          <w:p w:rsidR="00000000" w:rsidDel="00000000" w:rsidP="00000000" w:rsidRDefault="00000000" w:rsidRPr="00000000" w14:paraId="0000030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0.920</w:t>
            </w:r>
          </w:p>
        </w:tc>
        <w:tc>
          <w:tcPr>
            <w:tcMar>
              <w:top w:w="0.0" w:type="dxa"/>
              <w:left w:w="40.0" w:type="dxa"/>
              <w:bottom w:w="0.0" w:type="dxa"/>
              <w:right w:w="40.0" w:type="dxa"/>
            </w:tcMar>
            <w:vAlign w:val="center"/>
          </w:tcPr>
          <w:p w:rsidR="00000000" w:rsidDel="00000000" w:rsidP="00000000" w:rsidRDefault="00000000" w:rsidRPr="00000000" w14:paraId="00000305">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0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0.825</w:t>
            </w:r>
          </w:p>
        </w:tc>
        <w:tc>
          <w:tcPr>
            <w:tcMar>
              <w:top w:w="0.0" w:type="dxa"/>
              <w:left w:w="40.0" w:type="dxa"/>
              <w:bottom w:w="0.0" w:type="dxa"/>
              <w:right w:w="40.0" w:type="dxa"/>
            </w:tcMar>
            <w:vAlign w:val="bottom"/>
          </w:tcPr>
          <w:p w:rsidR="00000000" w:rsidDel="00000000" w:rsidP="00000000" w:rsidRDefault="00000000" w:rsidRPr="00000000" w14:paraId="0000030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1.484</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0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cried a lot.</w:t>
            </w:r>
          </w:p>
        </w:tc>
        <w:tc>
          <w:tcPr>
            <w:tcMar>
              <w:top w:w="0.0" w:type="dxa"/>
              <w:left w:w="40.0" w:type="dxa"/>
              <w:bottom w:w="0.0" w:type="dxa"/>
              <w:right w:w="40.0" w:type="dxa"/>
            </w:tcMar>
            <w:vAlign w:val="center"/>
          </w:tcPr>
          <w:p w:rsidR="00000000" w:rsidDel="00000000" w:rsidP="00000000" w:rsidRDefault="00000000" w:rsidRPr="00000000" w14:paraId="0000030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0.834</w:t>
            </w:r>
          </w:p>
        </w:tc>
        <w:tc>
          <w:tcPr>
            <w:tcMar>
              <w:top w:w="0.0" w:type="dxa"/>
              <w:left w:w="40.0" w:type="dxa"/>
              <w:bottom w:w="0.0" w:type="dxa"/>
              <w:right w:w="40.0" w:type="dxa"/>
            </w:tcMar>
            <w:vAlign w:val="center"/>
          </w:tcPr>
          <w:p w:rsidR="00000000" w:rsidDel="00000000" w:rsidP="00000000" w:rsidRDefault="00000000" w:rsidRPr="00000000" w14:paraId="0000030A">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0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0.563</w:t>
            </w:r>
          </w:p>
        </w:tc>
        <w:tc>
          <w:tcPr>
            <w:tcMar>
              <w:top w:w="0.0" w:type="dxa"/>
              <w:left w:w="40.0" w:type="dxa"/>
              <w:bottom w:w="0.0" w:type="dxa"/>
              <w:right w:w="40.0" w:type="dxa"/>
            </w:tcMar>
            <w:vAlign w:val="bottom"/>
          </w:tcPr>
          <w:p w:rsidR="00000000" w:rsidDel="00000000" w:rsidP="00000000" w:rsidRDefault="00000000" w:rsidRPr="00000000" w14:paraId="0000030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1.231</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0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found it hard to think properly or concentrate.</w:t>
            </w:r>
          </w:p>
        </w:tc>
        <w:tc>
          <w:tcPr>
            <w:tcMar>
              <w:top w:w="0.0" w:type="dxa"/>
              <w:left w:w="40.0" w:type="dxa"/>
              <w:bottom w:w="0.0" w:type="dxa"/>
              <w:right w:w="40.0" w:type="dxa"/>
            </w:tcMar>
            <w:vAlign w:val="center"/>
          </w:tcPr>
          <w:p w:rsidR="00000000" w:rsidDel="00000000" w:rsidP="00000000" w:rsidRDefault="00000000" w:rsidRPr="00000000" w14:paraId="0000030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0.712</w:t>
            </w:r>
          </w:p>
        </w:tc>
        <w:tc>
          <w:tcPr>
            <w:tcMar>
              <w:top w:w="0.0" w:type="dxa"/>
              <w:left w:w="40.0" w:type="dxa"/>
              <w:bottom w:w="0.0" w:type="dxa"/>
              <w:right w:w="40.0" w:type="dxa"/>
            </w:tcMar>
            <w:vAlign w:val="center"/>
          </w:tcPr>
          <w:p w:rsidR="00000000" w:rsidDel="00000000" w:rsidP="00000000" w:rsidRDefault="00000000" w:rsidRPr="00000000" w14:paraId="0000030F">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1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0.191</w:t>
            </w:r>
          </w:p>
        </w:tc>
        <w:tc>
          <w:tcPr>
            <w:tcMar>
              <w:top w:w="0.0" w:type="dxa"/>
              <w:left w:w="40.0" w:type="dxa"/>
              <w:bottom w:w="0.0" w:type="dxa"/>
              <w:right w:w="40.0" w:type="dxa"/>
            </w:tcMar>
            <w:vAlign w:val="bottom"/>
          </w:tcPr>
          <w:p w:rsidR="00000000" w:rsidDel="00000000" w:rsidP="00000000" w:rsidRDefault="00000000" w:rsidRPr="00000000" w14:paraId="0000031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1.243</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1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hated myself.</w:t>
            </w:r>
          </w:p>
        </w:tc>
        <w:tc>
          <w:tcPr>
            <w:tcMar>
              <w:top w:w="0.0" w:type="dxa"/>
              <w:left w:w="40.0" w:type="dxa"/>
              <w:bottom w:w="0.0" w:type="dxa"/>
              <w:right w:w="40.0" w:type="dxa"/>
            </w:tcMar>
            <w:vAlign w:val="center"/>
          </w:tcPr>
          <w:p w:rsidR="00000000" w:rsidDel="00000000" w:rsidP="00000000" w:rsidRDefault="00000000" w:rsidRPr="00000000" w14:paraId="0000031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0.915</w:t>
            </w:r>
          </w:p>
        </w:tc>
        <w:tc>
          <w:tcPr>
            <w:tcMar>
              <w:top w:w="0.0" w:type="dxa"/>
              <w:left w:w="40.0" w:type="dxa"/>
              <w:bottom w:w="0.0" w:type="dxa"/>
              <w:right w:w="40.0" w:type="dxa"/>
            </w:tcMar>
            <w:vAlign w:val="center"/>
          </w:tcPr>
          <w:p w:rsidR="00000000" w:rsidDel="00000000" w:rsidP="00000000" w:rsidRDefault="00000000" w:rsidRPr="00000000" w14:paraId="00000314">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1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0.881</w:t>
            </w:r>
          </w:p>
        </w:tc>
        <w:tc>
          <w:tcPr>
            <w:tcMar>
              <w:top w:w="0.0" w:type="dxa"/>
              <w:left w:w="40.0" w:type="dxa"/>
              <w:bottom w:w="0.0" w:type="dxa"/>
              <w:right w:w="40.0" w:type="dxa"/>
            </w:tcMar>
            <w:vAlign w:val="bottom"/>
          </w:tcPr>
          <w:p w:rsidR="00000000" w:rsidDel="00000000" w:rsidP="00000000" w:rsidRDefault="00000000" w:rsidRPr="00000000" w14:paraId="0000031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1.558</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1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a bad person.</w:t>
            </w:r>
          </w:p>
        </w:tc>
        <w:tc>
          <w:tcPr>
            <w:tcMar>
              <w:top w:w="0.0" w:type="dxa"/>
              <w:left w:w="40.0" w:type="dxa"/>
              <w:bottom w:w="0.0" w:type="dxa"/>
              <w:right w:w="40.0" w:type="dxa"/>
            </w:tcMar>
            <w:vAlign w:val="center"/>
          </w:tcPr>
          <w:p w:rsidR="00000000" w:rsidDel="00000000" w:rsidP="00000000" w:rsidRDefault="00000000" w:rsidRPr="00000000" w14:paraId="0000031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0.904</w:t>
            </w:r>
          </w:p>
        </w:tc>
        <w:tc>
          <w:tcPr>
            <w:tcMar>
              <w:top w:w="0.0" w:type="dxa"/>
              <w:left w:w="40.0" w:type="dxa"/>
              <w:bottom w:w="0.0" w:type="dxa"/>
              <w:right w:w="40.0" w:type="dxa"/>
            </w:tcMar>
            <w:vAlign w:val="center"/>
          </w:tcPr>
          <w:p w:rsidR="00000000" w:rsidDel="00000000" w:rsidP="00000000" w:rsidRDefault="00000000" w:rsidRPr="00000000" w14:paraId="00000319">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1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0.866</w:t>
            </w:r>
          </w:p>
        </w:tc>
        <w:tc>
          <w:tcPr>
            <w:tcMar>
              <w:top w:w="0.0" w:type="dxa"/>
              <w:left w:w="40.0" w:type="dxa"/>
              <w:bottom w:w="0.0" w:type="dxa"/>
              <w:right w:w="40.0" w:type="dxa"/>
            </w:tcMar>
            <w:vAlign w:val="bottom"/>
          </w:tcPr>
          <w:p w:rsidR="00000000" w:rsidDel="00000000" w:rsidP="00000000" w:rsidRDefault="00000000" w:rsidRPr="00000000" w14:paraId="0000031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1.607</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1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felt lonely.</w:t>
            </w:r>
          </w:p>
        </w:tc>
        <w:tc>
          <w:tcPr>
            <w:tcMar>
              <w:top w:w="0.0" w:type="dxa"/>
              <w:left w:w="40.0" w:type="dxa"/>
              <w:bottom w:w="0.0" w:type="dxa"/>
              <w:right w:w="40.0" w:type="dxa"/>
            </w:tcMar>
            <w:vAlign w:val="center"/>
          </w:tcPr>
          <w:p w:rsidR="00000000" w:rsidDel="00000000" w:rsidP="00000000" w:rsidRDefault="00000000" w:rsidRPr="00000000" w14:paraId="0000031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0.916</w:t>
            </w:r>
          </w:p>
        </w:tc>
        <w:tc>
          <w:tcPr>
            <w:tcMar>
              <w:top w:w="0.0" w:type="dxa"/>
              <w:left w:w="40.0" w:type="dxa"/>
              <w:bottom w:w="0.0" w:type="dxa"/>
              <w:right w:w="40.0" w:type="dxa"/>
            </w:tcMar>
            <w:vAlign w:val="center"/>
          </w:tcPr>
          <w:p w:rsidR="00000000" w:rsidDel="00000000" w:rsidP="00000000" w:rsidRDefault="00000000" w:rsidRPr="00000000" w14:paraId="0000031E">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1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0.424</w:t>
            </w:r>
          </w:p>
        </w:tc>
        <w:tc>
          <w:tcPr>
            <w:tcMar>
              <w:top w:w="0.0" w:type="dxa"/>
              <w:left w:w="40.0" w:type="dxa"/>
              <w:bottom w:w="0.0" w:type="dxa"/>
              <w:right w:w="40.0" w:type="dxa"/>
            </w:tcMar>
            <w:vAlign w:val="bottom"/>
          </w:tcPr>
          <w:p w:rsidR="00000000" w:rsidDel="00000000" w:rsidP="00000000" w:rsidRDefault="00000000" w:rsidRPr="00000000" w14:paraId="0000032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1.230</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2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thought nobody really loved me.</w:t>
            </w:r>
          </w:p>
        </w:tc>
        <w:tc>
          <w:tcPr>
            <w:tcMar>
              <w:top w:w="0.0" w:type="dxa"/>
              <w:left w:w="40.0" w:type="dxa"/>
              <w:bottom w:w="0.0" w:type="dxa"/>
              <w:right w:w="40.0" w:type="dxa"/>
            </w:tcMar>
            <w:vAlign w:val="center"/>
          </w:tcPr>
          <w:p w:rsidR="00000000" w:rsidDel="00000000" w:rsidP="00000000" w:rsidRDefault="00000000" w:rsidRPr="00000000" w14:paraId="0000032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0.894</w:t>
            </w:r>
          </w:p>
        </w:tc>
        <w:tc>
          <w:tcPr>
            <w:tcMar>
              <w:top w:w="0.0" w:type="dxa"/>
              <w:left w:w="40.0" w:type="dxa"/>
              <w:bottom w:w="0.0" w:type="dxa"/>
              <w:right w:w="40.0" w:type="dxa"/>
            </w:tcMar>
            <w:vAlign w:val="center"/>
          </w:tcPr>
          <w:p w:rsidR="00000000" w:rsidDel="00000000" w:rsidP="00000000" w:rsidRDefault="00000000" w:rsidRPr="00000000" w14:paraId="00000323">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2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0.824</w:t>
            </w:r>
          </w:p>
        </w:tc>
        <w:tc>
          <w:tcPr>
            <w:tcMar>
              <w:top w:w="0.0" w:type="dxa"/>
              <w:left w:w="40.0" w:type="dxa"/>
              <w:bottom w:w="0.0" w:type="dxa"/>
              <w:right w:w="40.0" w:type="dxa"/>
            </w:tcMar>
            <w:vAlign w:val="bottom"/>
          </w:tcPr>
          <w:p w:rsidR="00000000" w:rsidDel="00000000" w:rsidP="00000000" w:rsidRDefault="00000000" w:rsidRPr="00000000" w14:paraId="0000032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1.499</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2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thought I could never be as good as other kids.</w:t>
            </w:r>
          </w:p>
        </w:tc>
        <w:tc>
          <w:tcPr>
            <w:tcMar>
              <w:top w:w="0.0" w:type="dxa"/>
              <w:left w:w="40.0" w:type="dxa"/>
              <w:bottom w:w="0.0" w:type="dxa"/>
              <w:right w:w="40.0" w:type="dxa"/>
            </w:tcMar>
            <w:vAlign w:val="center"/>
          </w:tcPr>
          <w:p w:rsidR="00000000" w:rsidDel="00000000" w:rsidP="00000000" w:rsidRDefault="00000000" w:rsidRPr="00000000" w14:paraId="0000032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0.852</w:t>
            </w:r>
          </w:p>
        </w:tc>
        <w:tc>
          <w:tcPr>
            <w:tcMar>
              <w:top w:w="0.0" w:type="dxa"/>
              <w:left w:w="40.0" w:type="dxa"/>
              <w:bottom w:w="0.0" w:type="dxa"/>
              <w:right w:w="40.0" w:type="dxa"/>
            </w:tcMar>
            <w:vAlign w:val="center"/>
          </w:tcPr>
          <w:p w:rsidR="00000000" w:rsidDel="00000000" w:rsidP="00000000" w:rsidRDefault="00000000" w:rsidRPr="00000000" w14:paraId="00000328">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2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0.481</w:t>
            </w:r>
          </w:p>
        </w:tc>
        <w:tc>
          <w:tcPr>
            <w:tcMar>
              <w:top w:w="0.0" w:type="dxa"/>
              <w:left w:w="40.0" w:type="dxa"/>
              <w:bottom w:w="0.0" w:type="dxa"/>
              <w:right w:w="40.0" w:type="dxa"/>
            </w:tcMar>
            <w:vAlign w:val="bottom"/>
          </w:tcPr>
          <w:p w:rsidR="00000000" w:rsidDel="00000000" w:rsidP="00000000" w:rsidRDefault="00000000" w:rsidRPr="00000000" w14:paraId="0000032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1.371</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2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did everything wrong.</w:t>
            </w:r>
          </w:p>
        </w:tc>
        <w:tc>
          <w:tcPr>
            <w:tcMar>
              <w:top w:w="0.0" w:type="dxa"/>
              <w:left w:w="40.0" w:type="dxa"/>
              <w:bottom w:w="0.0" w:type="dxa"/>
              <w:right w:w="40.0" w:type="dxa"/>
            </w:tcMar>
            <w:vAlign w:val="center"/>
          </w:tcPr>
          <w:p w:rsidR="00000000" w:rsidDel="00000000" w:rsidP="00000000" w:rsidRDefault="00000000" w:rsidRPr="00000000" w14:paraId="0000032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0.879</w:t>
            </w:r>
          </w:p>
        </w:tc>
        <w:tc>
          <w:tcPr>
            <w:tcMar>
              <w:top w:w="0.0" w:type="dxa"/>
              <w:left w:w="40.0" w:type="dxa"/>
              <w:bottom w:w="0.0" w:type="dxa"/>
              <w:right w:w="40.0" w:type="dxa"/>
            </w:tcMar>
            <w:vAlign w:val="center"/>
          </w:tcPr>
          <w:p w:rsidR="00000000" w:rsidDel="00000000" w:rsidP="00000000" w:rsidRDefault="00000000" w:rsidRPr="00000000" w14:paraId="0000032D">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2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0.756</w:t>
            </w:r>
          </w:p>
        </w:tc>
        <w:tc>
          <w:tcPr>
            <w:tcMar>
              <w:top w:w="0.0" w:type="dxa"/>
              <w:left w:w="40.0" w:type="dxa"/>
              <w:bottom w:w="0.0" w:type="dxa"/>
              <w:right w:w="40.0" w:type="dxa"/>
            </w:tcMar>
            <w:vAlign w:val="bottom"/>
          </w:tcPr>
          <w:p w:rsidR="00000000" w:rsidDel="00000000" w:rsidP="00000000" w:rsidRDefault="00000000" w:rsidRPr="00000000" w14:paraId="0000032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1.526</w:t>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3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Model fit (scaled)</w:t>
            </w:r>
          </w:p>
        </w:tc>
        <w:tc>
          <w:tcPr>
            <w:tcMar>
              <w:top w:w="0.0" w:type="dxa"/>
              <w:left w:w="40.0" w:type="dxa"/>
              <w:bottom w:w="0.0" w:type="dxa"/>
              <w:right w:w="40.0" w:type="dxa"/>
            </w:tcMar>
            <w:vAlign w:val="center"/>
          </w:tcPr>
          <w:p w:rsidR="00000000" w:rsidDel="00000000" w:rsidP="00000000" w:rsidRDefault="00000000" w:rsidRPr="00000000" w14:paraId="00000331">
            <w:pPr>
              <w:spacing w:line="276" w:lineRule="auto"/>
              <w:jc w:val="center"/>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2">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33">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34">
            <w:pPr>
              <w:spacing w:line="276" w:lineRule="auto"/>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3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SRMR</w:t>
            </w:r>
          </w:p>
        </w:tc>
        <w:tc>
          <w:tcPr>
            <w:tcMar>
              <w:top w:w="0.0" w:type="dxa"/>
              <w:left w:w="40.0" w:type="dxa"/>
              <w:bottom w:w="0.0" w:type="dxa"/>
              <w:right w:w="40.0" w:type="dxa"/>
            </w:tcMar>
            <w:vAlign w:val="center"/>
          </w:tcPr>
          <w:p w:rsidR="00000000" w:rsidDel="00000000" w:rsidP="00000000" w:rsidRDefault="00000000" w:rsidRPr="00000000" w14:paraId="0000033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0.032</w:t>
            </w:r>
          </w:p>
        </w:tc>
        <w:tc>
          <w:tcPr>
            <w:tcMar>
              <w:top w:w="0.0" w:type="dxa"/>
              <w:left w:w="40.0" w:type="dxa"/>
              <w:bottom w:w="0.0" w:type="dxa"/>
              <w:right w:w="40.0" w:type="dxa"/>
            </w:tcMar>
            <w:vAlign w:val="center"/>
          </w:tcPr>
          <w:p w:rsidR="00000000" w:rsidDel="00000000" w:rsidP="00000000" w:rsidRDefault="00000000" w:rsidRPr="00000000" w14:paraId="00000337">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38">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39">
            <w:pPr>
              <w:spacing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tcMar>
              <w:top w:w="0.0" w:type="dxa"/>
              <w:left w:w="40.0" w:type="dxa"/>
              <w:bottom w:w="0.0" w:type="dxa"/>
              <w:right w:w="40.0" w:type="dxa"/>
            </w:tcMar>
            <w:vAlign w:val="center"/>
          </w:tcPr>
          <w:p w:rsidR="00000000" w:rsidDel="00000000" w:rsidP="00000000" w:rsidRDefault="00000000" w:rsidRPr="00000000" w14:paraId="0000033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RMSEA</w:t>
            </w:r>
          </w:p>
        </w:tc>
        <w:tc>
          <w:tcPr>
            <w:tcMar>
              <w:top w:w="0.0" w:type="dxa"/>
              <w:left w:w="40.0" w:type="dxa"/>
              <w:bottom w:w="0.0" w:type="dxa"/>
              <w:right w:w="40.0" w:type="dxa"/>
            </w:tcMar>
            <w:vAlign w:val="bottom"/>
          </w:tcPr>
          <w:p w:rsidR="00000000" w:rsidDel="00000000" w:rsidP="00000000" w:rsidRDefault="00000000" w:rsidRPr="00000000" w14:paraId="0000033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0.018</w:t>
            </w:r>
          </w:p>
        </w:tc>
        <w:tc>
          <w:tcPr>
            <w:tcMar>
              <w:top w:w="0.0" w:type="dxa"/>
              <w:left w:w="40.0" w:type="dxa"/>
              <w:bottom w:w="0.0" w:type="dxa"/>
              <w:right w:w="40.0" w:type="dxa"/>
            </w:tcMar>
            <w:vAlign w:val="bottom"/>
          </w:tcPr>
          <w:p w:rsidR="00000000" w:rsidDel="00000000" w:rsidP="00000000" w:rsidRDefault="00000000" w:rsidRPr="00000000" w14:paraId="0000033C">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3D">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3E">
            <w:pPr>
              <w:spacing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tcMar>
              <w:top w:w="0.0" w:type="dxa"/>
              <w:left w:w="40.0" w:type="dxa"/>
              <w:bottom w:w="0.0" w:type="dxa"/>
              <w:right w:w="40.0" w:type="dxa"/>
            </w:tcMar>
            <w:vAlign w:val="center"/>
          </w:tcPr>
          <w:p w:rsidR="00000000" w:rsidDel="00000000" w:rsidP="00000000" w:rsidRDefault="00000000" w:rsidRPr="00000000" w14:paraId="0000033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RMSEA 90% CI</w:t>
            </w:r>
          </w:p>
        </w:tc>
        <w:tc>
          <w:tcPr>
            <w:tcMar>
              <w:top w:w="0.0" w:type="dxa"/>
              <w:left w:w="40.0" w:type="dxa"/>
              <w:bottom w:w="0.0" w:type="dxa"/>
              <w:right w:w="40.0" w:type="dxa"/>
            </w:tcMar>
            <w:vAlign w:val="center"/>
          </w:tcPr>
          <w:p w:rsidR="00000000" w:rsidDel="00000000" w:rsidP="00000000" w:rsidRDefault="00000000" w:rsidRPr="00000000" w14:paraId="0000034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0.010, 0.025</w:t>
            </w:r>
          </w:p>
        </w:tc>
        <w:tc>
          <w:tcPr>
            <w:tcMar>
              <w:top w:w="0.0" w:type="dxa"/>
              <w:left w:w="40.0" w:type="dxa"/>
              <w:bottom w:w="0.0" w:type="dxa"/>
              <w:right w:w="40.0" w:type="dxa"/>
            </w:tcMar>
            <w:vAlign w:val="center"/>
          </w:tcPr>
          <w:p w:rsidR="00000000" w:rsidDel="00000000" w:rsidP="00000000" w:rsidRDefault="00000000" w:rsidRPr="00000000" w14:paraId="00000341">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42">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43">
            <w:pPr>
              <w:spacing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tcMar>
              <w:top w:w="0.0" w:type="dxa"/>
              <w:left w:w="40.0" w:type="dxa"/>
              <w:bottom w:w="0.0" w:type="dxa"/>
              <w:right w:w="40.0" w:type="dxa"/>
            </w:tcMar>
            <w:vAlign w:val="center"/>
          </w:tcPr>
          <w:p w:rsidR="00000000" w:rsidDel="00000000" w:rsidP="00000000" w:rsidRDefault="00000000" w:rsidRPr="00000000" w14:paraId="0000034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CFI</w:t>
            </w:r>
          </w:p>
        </w:tc>
        <w:tc>
          <w:tcPr>
            <w:tcMar>
              <w:top w:w="0.0" w:type="dxa"/>
              <w:left w:w="40.0" w:type="dxa"/>
              <w:bottom w:w="0.0" w:type="dxa"/>
              <w:right w:w="40.0" w:type="dxa"/>
            </w:tcMar>
            <w:vAlign w:val="center"/>
          </w:tcPr>
          <w:p w:rsidR="00000000" w:rsidDel="00000000" w:rsidP="00000000" w:rsidRDefault="00000000" w:rsidRPr="00000000" w14:paraId="0000034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0.999</w:t>
            </w:r>
          </w:p>
        </w:tc>
        <w:tc>
          <w:tcPr>
            <w:tcMar>
              <w:top w:w="0.0" w:type="dxa"/>
              <w:left w:w="40.0" w:type="dxa"/>
              <w:bottom w:w="0.0" w:type="dxa"/>
              <w:right w:w="40.0" w:type="dxa"/>
            </w:tcMar>
            <w:vAlign w:val="center"/>
          </w:tcPr>
          <w:p w:rsidR="00000000" w:rsidDel="00000000" w:rsidP="00000000" w:rsidRDefault="00000000" w:rsidRPr="00000000" w14:paraId="00000346">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47">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48">
            <w:pPr>
              <w:spacing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tcMar>
              <w:top w:w="0.0" w:type="dxa"/>
              <w:left w:w="40.0" w:type="dxa"/>
              <w:bottom w:w="0.0" w:type="dxa"/>
              <w:right w:w="40.0" w:type="dxa"/>
            </w:tcMar>
            <w:vAlign w:val="center"/>
          </w:tcPr>
          <w:p w:rsidR="00000000" w:rsidDel="00000000" w:rsidP="00000000" w:rsidRDefault="00000000" w:rsidRPr="00000000" w14:paraId="0000034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TLI</w:t>
            </w:r>
          </w:p>
        </w:tc>
        <w:tc>
          <w:tcPr>
            <w:tcMar>
              <w:top w:w="0.0" w:type="dxa"/>
              <w:left w:w="40.0" w:type="dxa"/>
              <w:bottom w:w="0.0" w:type="dxa"/>
              <w:right w:w="40.0" w:type="dxa"/>
            </w:tcMar>
            <w:vAlign w:val="center"/>
          </w:tcPr>
          <w:p w:rsidR="00000000" w:rsidDel="00000000" w:rsidP="00000000" w:rsidRDefault="00000000" w:rsidRPr="00000000" w14:paraId="0000034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0.999</w:t>
            </w:r>
          </w:p>
        </w:tc>
        <w:tc>
          <w:tcPr>
            <w:tcMar>
              <w:top w:w="0.0" w:type="dxa"/>
              <w:left w:w="40.0" w:type="dxa"/>
              <w:bottom w:w="0.0" w:type="dxa"/>
              <w:right w:w="40.0" w:type="dxa"/>
            </w:tcMar>
            <w:vAlign w:val="center"/>
          </w:tcPr>
          <w:p w:rsidR="00000000" w:rsidDel="00000000" w:rsidP="00000000" w:rsidRDefault="00000000" w:rsidRPr="00000000" w14:paraId="0000034B">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4C">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4D">
            <w:pPr>
              <w:spacing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tcMar>
              <w:top w:w="0.0" w:type="dxa"/>
              <w:left w:w="40.0" w:type="dxa"/>
              <w:bottom w:w="0.0" w:type="dxa"/>
              <w:right w:w="40.0" w:type="dxa"/>
            </w:tcMar>
            <w:vAlign w:val="center"/>
          </w:tcPr>
          <w:p w:rsidR="00000000" w:rsidDel="00000000" w:rsidP="00000000" w:rsidRDefault="00000000" w:rsidRPr="00000000" w14:paraId="0000034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Reliability</w:t>
            </w:r>
          </w:p>
        </w:tc>
        <w:tc>
          <w:tcPr>
            <w:tcMar>
              <w:top w:w="0.0" w:type="dxa"/>
              <w:left w:w="40.0" w:type="dxa"/>
              <w:bottom w:w="0.0" w:type="dxa"/>
              <w:right w:w="40.0" w:type="dxa"/>
            </w:tcMar>
            <w:vAlign w:val="bottom"/>
          </w:tcPr>
          <w:p w:rsidR="00000000" w:rsidDel="00000000" w:rsidP="00000000" w:rsidRDefault="00000000" w:rsidRPr="00000000" w14:paraId="0000034F">
            <w:pPr>
              <w:spacing w:line="276" w:lineRule="auto"/>
              <w:jc w:val="center"/>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50">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51">
            <w:pPr>
              <w:spacing w:line="276" w:lineRule="auto"/>
              <w:rPr>
                <w:rFonts w:ascii="Times New Roman" w:cs="Times New Roman" w:eastAsia="Times New Roman" w:hAnsi="Times New Roman"/>
              </w:rPr>
            </w:pP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52">
            <w:pPr>
              <w:spacing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35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ω (Lucke)</w:t>
            </w:r>
          </w:p>
        </w:tc>
        <w:tc>
          <w:tcPr>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35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0.935</w:t>
            </w:r>
          </w:p>
        </w:tc>
        <w:tc>
          <w:tcPr>
            <w:tcBorders>
              <w:bottom w:color="000000" w:space="0" w:sz="6" w:val="single"/>
            </w:tcBorders>
            <w:tcMar>
              <w:top w:w="0.0" w:type="dxa"/>
              <w:left w:w="40.0" w:type="dxa"/>
              <w:bottom w:w="0.0" w:type="dxa"/>
              <w:right w:w="40.0" w:type="dxa"/>
            </w:tcMar>
            <w:vAlign w:val="center"/>
          </w:tcPr>
          <w:p w:rsidR="00000000" w:rsidDel="00000000" w:rsidP="00000000" w:rsidRDefault="00000000" w:rsidRPr="00000000" w14:paraId="00000355">
            <w:pPr>
              <w:spacing w:line="276" w:lineRule="auto"/>
              <w:rPr>
                <w:rFonts w:ascii="Times New Roman" w:cs="Times New Roman" w:eastAsia="Times New Roman" w:hAnsi="Times New Roman"/>
              </w:rPr>
            </w:pP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356">
            <w:pPr>
              <w:spacing w:line="276" w:lineRule="auto"/>
              <w:rPr>
                <w:rFonts w:ascii="Times New Roman" w:cs="Times New Roman" w:eastAsia="Times New Roman" w:hAnsi="Times New Roman"/>
              </w:rPr>
            </w:pPr>
            <w:r w:rsidDel="00000000" w:rsidR="00000000" w:rsidRPr="00000000">
              <w:rPr>
                <w:rtl w:val="0"/>
              </w:rPr>
            </w:r>
          </w:p>
        </w:tc>
        <w:tc>
          <w:tcPr>
            <w:tcBorders>
              <w:bottom w:color="000000" w:space="0" w:sz="6" w:val="single"/>
            </w:tcBorders>
            <w:tcMar>
              <w:top w:w="0.0" w:type="dxa"/>
              <w:left w:w="40.0" w:type="dxa"/>
              <w:bottom w:w="0.0" w:type="dxa"/>
              <w:right w:w="40.0" w:type="dxa"/>
            </w:tcMar>
            <w:vAlign w:val="bottom"/>
          </w:tcPr>
          <w:p w:rsidR="00000000" w:rsidDel="00000000" w:rsidP="00000000" w:rsidRDefault="00000000" w:rsidRPr="00000000" w14:paraId="00000357">
            <w:pPr>
              <w:spacing w:line="276" w:lineRule="auto"/>
              <w:rPr>
                <w:rFonts w:ascii="Times New Roman" w:cs="Times New Roman" w:eastAsia="Times New Roman" w:hAnsi="Times New Roman"/>
              </w:rPr>
            </w:pPr>
            <w:r w:rsidDel="00000000" w:rsidR="00000000" w:rsidRPr="00000000">
              <w:rPr>
                <w:rtl w:val="0"/>
              </w:rPr>
            </w:r>
          </w:p>
        </w:tc>
      </w:tr>
      <w:tr>
        <w:trPr>
          <w:cantSplit w:val="0"/>
          <w:trHeight w:val="900" w:hRule="atLeast"/>
          <w:tblHeader w:val="0"/>
        </w:trPr>
        <w:tc>
          <w:tcPr>
            <w:gridSpan w:val="5"/>
            <w:tcBorders>
              <w:top w:color="000000" w:space="0" w:sz="6" w:val="single"/>
            </w:tcBorders>
            <w:tcMar>
              <w:top w:w="0.0" w:type="dxa"/>
              <w:left w:w="40.0" w:type="dxa"/>
              <w:bottom w:w="0.0" w:type="dxa"/>
              <w:right w:w="40.0" w:type="dxa"/>
            </w:tcMar>
            <w:vAlign w:val="center"/>
          </w:tcPr>
          <w:p w:rsidR="00000000" w:rsidDel="00000000" w:rsidP="00000000" w:rsidRDefault="00000000" w:rsidRPr="00000000" w14:paraId="0000035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SRMR: Standardized root mean square residuals; RMSEA, Root Mean Square Error of Approximation; CFI, Comparative Fit Index; TLI, Tucker-Lewis Index.</w:t>
            </w:r>
          </w:p>
        </w:tc>
      </w:tr>
    </w:tbl>
    <w:p w:rsidR="00000000" w:rsidDel="00000000" w:rsidP="00000000" w:rsidRDefault="00000000" w:rsidRPr="00000000" w14:paraId="0000035D">
      <w:pPr>
        <w:widowControl w:val="0"/>
        <w:spacing w:line="276" w:lineRule="auto"/>
        <w:rPr>
          <w:rFonts w:ascii="Times New Roman" w:cs="Times New Roman" w:eastAsia="Times New Roman" w:hAnsi="Times New Roman"/>
        </w:rPr>
        <w:sectPr>
          <w:type w:val="nextPage"/>
          <w:pgSz w:h="16834" w:w="11909" w:orient="portrait"/>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35E">
      <w:pPr>
        <w:widowControl w:val="0"/>
        <w:spacing w:line="276" w:lineRule="auto"/>
        <w:rPr>
          <w:rFonts w:ascii="Times New Roman" w:cs="Times New Roman" w:eastAsia="Times New Roman" w:hAnsi="Times New Roman"/>
        </w:rPr>
      </w:pPr>
      <w:r w:rsidDel="00000000" w:rsidR="00000000" w:rsidRPr="00000000">
        <w:rPr>
          <w:rtl w:val="0"/>
        </w:rPr>
      </w:r>
    </w:p>
    <w:tbl>
      <w:tblPr>
        <w:tblStyle w:val="Table7"/>
        <w:tblpPr w:leftFromText="180" w:rightFromText="180" w:topFromText="0" w:bottomFromText="0" w:vertAnchor="text" w:horzAnchor="text" w:tblpX="0" w:tblpY="0"/>
        <w:tblW w:w="12090.0" w:type="dxa"/>
        <w:jc w:val="left"/>
        <w:tblLayout w:type="fixed"/>
        <w:tblLook w:val="0400"/>
      </w:tblPr>
      <w:tblGrid>
        <w:gridCol w:w="5475"/>
        <w:gridCol w:w="2070"/>
        <w:gridCol w:w="270"/>
        <w:gridCol w:w="990"/>
        <w:gridCol w:w="270"/>
        <w:gridCol w:w="1275"/>
        <w:gridCol w:w="270"/>
        <w:gridCol w:w="1470"/>
        <w:tblGridChange w:id="0">
          <w:tblGrid>
            <w:gridCol w:w="5475"/>
            <w:gridCol w:w="2070"/>
            <w:gridCol w:w="270"/>
            <w:gridCol w:w="990"/>
            <w:gridCol w:w="270"/>
            <w:gridCol w:w="1275"/>
            <w:gridCol w:w="270"/>
            <w:gridCol w:w="1470"/>
          </w:tblGrid>
        </w:tblGridChange>
      </w:tblGrid>
      <w:tr>
        <w:trPr>
          <w:cantSplit w:val="0"/>
          <w:trHeight w:val="300" w:hRule="atLeast"/>
          <w:tblHeader w:val="0"/>
        </w:trPr>
        <w:tc>
          <w:tcPr>
            <w:gridSpan w:val="8"/>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5F">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Table S7 – Standardized centrality indices for sMFQ network analysis</w:t>
            </w:r>
          </w:p>
        </w:tc>
      </w:tr>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Node</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Expected Influence</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Strength</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Closeness</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4" w:val="single"/>
              <w:right w:color="000000" w:space="0" w:sz="0" w:val="nil"/>
            </w:tcBorders>
            <w:vAlign w:val="bottom"/>
          </w:tcPr>
          <w:p w:rsidR="00000000" w:rsidDel="00000000" w:rsidP="00000000" w:rsidRDefault="00000000" w:rsidRPr="00000000" w14:paraId="0000036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Betweenness</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6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felt miserable or unhappy</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0.215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1.334</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 didn’t enjoy anything at all</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-0.912</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-1.087</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-0.389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7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felt so tired I just sat around and did nothing</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-1.063</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-0.660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 was very restless</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-2.433</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-2.216</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8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 felt I was no good anymore</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1.143</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0.293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 cried a lot</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0.032</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-0.149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9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I found it hard to think properly or concentrate</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-0.369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-0.504</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-0.876</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I hated myself</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0.660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I was a bad person</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0.130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0.032</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-0.977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I felt lonely</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1.378</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1.372</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B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I thought nobody really loved me</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0.442</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1">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0.367</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3">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5">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0.611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I thought I could never be as good as other kids</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-0.157</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9">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-0.276</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B">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D">
            <w:pPr>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C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-0.977</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C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I did everything wrong</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0.579</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0.514</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0.803</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3D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0.293</w:t>
            </w:r>
          </w:p>
        </w:tc>
      </w:tr>
    </w:tbl>
    <w:p w:rsidR="00000000" w:rsidDel="00000000" w:rsidP="00000000" w:rsidRDefault="00000000" w:rsidRPr="00000000" w14:paraId="000003D7">
      <w:pPr>
        <w:spacing w:line="276" w:lineRule="auto"/>
        <w:rPr>
          <w:rFonts w:ascii="Times New Roman" w:cs="Times New Roman" w:eastAsia="Times New Roman" w:hAnsi="Times New Roman"/>
        </w:rPr>
        <w:sectPr>
          <w:type w:val="nextPage"/>
          <w:pgSz w:h="11909" w:w="16834" w:orient="landscape"/>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3D8">
      <w:pPr>
        <w:spacing w:line="480" w:lineRule="auto"/>
        <w:rPr>
          <w:rFonts w:ascii="Times New Roman" w:cs="Times New Roman" w:eastAsia="Times New Roman" w:hAnsi="Times New Roman"/>
        </w:rPr>
      </w:pPr>
      <w:r w:rsidDel="00000000" w:rsidR="00000000" w:rsidRPr="00000000">
        <w:rPr>
          <w:rtl w:val="0"/>
        </w:rPr>
      </w:r>
    </w:p>
    <w:tbl>
      <w:tblPr>
        <w:tblStyle w:val="Table8"/>
        <w:tblW w:w="13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30"/>
        <w:gridCol w:w="795"/>
        <w:gridCol w:w="1335"/>
        <w:gridCol w:w="765"/>
        <w:gridCol w:w="255"/>
        <w:gridCol w:w="885"/>
        <w:gridCol w:w="1245"/>
        <w:gridCol w:w="765"/>
        <w:gridCol w:w="375"/>
        <w:gridCol w:w="885"/>
        <w:gridCol w:w="1395"/>
        <w:gridCol w:w="765"/>
        <w:tblGridChange w:id="0">
          <w:tblGrid>
            <w:gridCol w:w="4230"/>
            <w:gridCol w:w="795"/>
            <w:gridCol w:w="1335"/>
            <w:gridCol w:w="765"/>
            <w:gridCol w:w="255"/>
            <w:gridCol w:w="885"/>
            <w:gridCol w:w="1245"/>
            <w:gridCol w:w="765"/>
            <w:gridCol w:w="375"/>
            <w:gridCol w:w="885"/>
            <w:gridCol w:w="1395"/>
            <w:gridCol w:w="765"/>
          </w:tblGrid>
        </w:tblGridChange>
      </w:tblGrid>
      <w:tr>
        <w:trPr>
          <w:cantSplit w:val="0"/>
          <w:trHeight w:val="300" w:hRule="atLeast"/>
          <w:tblHeader w:val="0"/>
        </w:trPr>
        <w:tc>
          <w:tcPr>
            <w:gridSpan w:val="12"/>
            <w:vMerge w:val="restart"/>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3D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Table S8 - Full regression analysis: clinical groups associated with clinical validators at 14-23 years (cross-sectional) and 18-28 years (longitudinal)</w:t>
            </w:r>
            <w:r w:rsidDel="00000000" w:rsidR="00000000" w:rsidRPr="00000000">
              <w:rPr>
                <w:rtl w:val="0"/>
              </w:rPr>
            </w:r>
          </w:p>
        </w:tc>
      </w:tr>
      <w:tr>
        <w:trPr>
          <w:cantSplit w:val="0"/>
          <w:trHeight w:val="300" w:hRule="atLeast"/>
          <w:tblHeader w:val="0"/>
        </w:trPr>
        <w:tc>
          <w:tcPr>
            <w:gridSpan w:val="12"/>
            <w:vMerge w:val="continue"/>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3E5">
            <w:pPr>
              <w:widowControl w:val="0"/>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1">
            <w:pPr>
              <w:widowControl w:val="0"/>
              <w:spacing w:line="276" w:lineRule="auto"/>
              <w:rPr>
                <w:rFonts w:ascii="Times New Roman" w:cs="Times New Roman" w:eastAsia="Times New Roman" w:hAnsi="Times New Roman"/>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Life-threatening Validator</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5">
            <w:pPr>
              <w:widowControl w:val="0"/>
              <w:spacing w:line="276" w:lineRule="auto"/>
              <w:rPr>
                <w:rFonts w:ascii="Times New Roman" w:cs="Times New Roman" w:eastAsia="Times New Roman" w:hAnsi="Times New Roman"/>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Poor Life Chances Validator</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9">
            <w:pPr>
              <w:widowControl w:val="0"/>
              <w:spacing w:line="276" w:lineRule="auto"/>
              <w:rPr>
                <w:rFonts w:ascii="Times New Roman" w:cs="Times New Roman" w:eastAsia="Times New Roman" w:hAnsi="Times New Roman"/>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Well-being Score*</w:t>
            </w:r>
          </w:p>
        </w:tc>
      </w:tr>
      <w:tr>
        <w:trPr>
          <w:cantSplit w:val="0"/>
          <w:trHeight w:val="300" w:hRule="atLeast"/>
          <w:tblHeader w:val="0"/>
        </w:trPr>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D">
            <w:pPr>
              <w:widowControl w:val="0"/>
              <w:spacing w:line="276" w:lineRule="auto"/>
              <w:jc w:val="center"/>
              <w:rPr/>
            </w:pPr>
            <w:r w:rsidDel="00000000" w:rsidR="00000000" w:rsidRPr="00000000">
              <w:rPr>
                <w:rFonts w:ascii="Times New Roman" w:cs="Times New Roman" w:eastAsia="Times New Roman" w:hAnsi="Times New Roman"/>
                <w:rtl w:val="0"/>
              </w:rPr>
              <w:t xml:space="preserve">Predictor</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3FF">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00">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01">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0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0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0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05">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0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0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0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195" w:hRule="atLeast"/>
          <w:tblHeader w:val="0"/>
        </w:trPr>
        <w:tc>
          <w:tcPr>
            <w:gridSpan w:val="12"/>
            <w:tcBorders>
              <w:top w:color="000000" w:space="0" w:sz="0" w:val="nil"/>
              <w:left w:color="000000" w:space="0" w:sz="0" w:val="nil"/>
              <w:bottom w:color="000000" w:space="0" w:sz="8"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09">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14-23 years</w:t>
            </w:r>
          </w:p>
        </w:tc>
      </w:tr>
      <w:tr>
        <w:trPr>
          <w:cantSplit w:val="0"/>
          <w:trHeight w:val="510" w:hRule="atLeast"/>
          <w:tblHeader w:val="0"/>
        </w:trPr>
        <w:tc>
          <w:tcPr>
            <w:tcBorders>
              <w:top w:color="000000" w:space="0" w:sz="8" w:val="single"/>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15">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MDD nor lonely (vs MDD without loneliness)</w:t>
            </w:r>
          </w:p>
        </w:tc>
        <w:tc>
          <w:tcPr>
            <w:tcBorders>
              <w:top w:color="000000" w:space="0" w:sz="8" w:val="single"/>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16">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0.331</w:t>
            </w:r>
          </w:p>
        </w:tc>
        <w:tc>
          <w:tcPr>
            <w:tcBorders>
              <w:top w:color="000000" w:space="0" w:sz="8" w:val="single"/>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17">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0.243, 0.452</w:t>
            </w:r>
          </w:p>
        </w:tc>
        <w:tc>
          <w:tcPr>
            <w:tcBorders>
              <w:top w:color="000000" w:space="0" w:sz="8" w:val="single"/>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18">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top w:color="000000" w:space="0" w:sz="8" w:val="single"/>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19">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1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0.246</w:t>
            </w:r>
          </w:p>
        </w:tc>
        <w:tc>
          <w:tcPr>
            <w:tcBorders>
              <w:top w:color="000000" w:space="0" w:sz="8"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1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0.125, 0.438</w:t>
            </w:r>
          </w:p>
        </w:tc>
        <w:tc>
          <w:tcPr>
            <w:tcBorders>
              <w:top w:color="000000" w:space="0" w:sz="8"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1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top w:color="000000" w:space="0" w:sz="8" w:val="single"/>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1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1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2.461</w:t>
            </w:r>
          </w:p>
        </w:tc>
        <w:tc>
          <w:tcPr>
            <w:tcBorders>
              <w:top w:color="000000" w:space="0" w:sz="8"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1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1.726, 3.196</w:t>
            </w:r>
          </w:p>
        </w:tc>
        <w:tc>
          <w:tcPr>
            <w:tcBorders>
              <w:top w:color="000000" w:space="0" w:sz="8"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Loneliness without MDD (vs MDD without loneliness)</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2.057</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1.333, 3.188</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0.001</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5">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0.386, 2.141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0.833</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-1.065, 1.059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2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0.995</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D">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MDD with lonely (vs MDD without loneliness)</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3.963</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2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2.571, 6.177</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1">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2.047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0.803, 5.481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0.138</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6">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-2.100</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7">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-3.096, -1.104</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8">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1.007</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0.961, 1.054</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0.782</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3D">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1.672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3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1.572, 1.781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-0.042, 0.143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0.284</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45">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46">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0.530</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47">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0.410, 0.686</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48">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49">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1.421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1.041, 1.923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4F">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-0.026, 1.078</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0">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0.062</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2">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0.639</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3">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0.474, 0.862</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4">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0.003</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5">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0.869, 1.723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0.241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0.965</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0.336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1.594</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5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0.003</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D">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Sex: Male</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0.543</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5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0.450, 0.654</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1">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0.739, 1.099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0.305</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6">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0.596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7">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0.225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0.966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8">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0.002</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0.841</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0.698, 1.014</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0.070</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6D">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0.690</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6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0.565, 0.842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-0.597, 0.140</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0.224</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75">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7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0.933</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7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0.771, 1.129</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7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0.474</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79">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1.442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1.184, 1.757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-0.373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7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-0.748</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0.002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0.051</w:t>
            </w:r>
          </w:p>
        </w:tc>
      </w:tr>
      <w:tr>
        <w:trPr>
          <w:cantSplit w:val="0"/>
          <w:trHeight w:val="525" w:hRule="atLeast"/>
          <w:tblHeader w:val="0"/>
        </w:trPr>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2">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1.382</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3">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1.046, 1.815</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4">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0.021</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5">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0.845</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0.614, 1.176</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0.309</w:t>
            </w:r>
          </w:p>
        </w:tc>
        <w:tc>
          <w:tcPr>
            <w:tcBorders>
              <w:left w:color="000000" w:space="0" w:sz="0" w:val="nil"/>
              <w:bottom w:color="000000" w:space="0" w:sz="6"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-1.304</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-1.887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-0.720</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8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D">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8F">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0">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1">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2">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3">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4">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5">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6">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7">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8">
            <w:pPr>
              <w:widowControl w:val="0"/>
              <w:spacing w:line="276" w:lineRule="auto"/>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 R²</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0.177</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B">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C">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9D">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E">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0.151</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9F">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A0">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A1">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A2">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0.197</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A3">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4A4">
            <w:pPr>
              <w:widowControl w:val="0"/>
              <w:spacing w:line="276" w:lineRule="auto"/>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gridSpan w:val="12"/>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A5">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18-28 years</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B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MDD nor lonely (vs MDD without loneliness)</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2">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0.283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3">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0.165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0.493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4">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top w:color="000000" w:space="0" w:sz="0" w:val="nil"/>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0.758</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0.469, 1.232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0.261</w:t>
            </w:r>
          </w:p>
        </w:tc>
        <w:tc>
          <w:tcPr>
            <w:tcBorders>
              <w:top w:color="000000" w:space="0" w:sz="0" w:val="nil"/>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0.791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0.138</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1.443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BD">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Loneliness without MDD (vs MDD without loneliness)</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BF">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0.411, 2.067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0">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0.943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0.453, 1.955</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0.875</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-1.800, 0.175</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C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MDD with loneliness (vs MDD without loneliness)</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0.678, 2.984</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0.353</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1.666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CF">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0.831, 3.372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0">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0.152</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2">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-1.477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3">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-2.420</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-0.534</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4">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D5">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6">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1.107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7">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1.006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1.219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8">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0.038</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0.955, 1.095</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0.522</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DF">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-0.108, 0.074</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0">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E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0.917, 2.960</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0.109</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0.711, 1.556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0.809</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0.335</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-0.188, 0.857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0.209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ED">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2.562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E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1.349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5.031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0.845</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0.536, 1.334</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0.469</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0.176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-0.430, 0.782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0.569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4F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Sex: Male</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A">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0.337</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B">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0.223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0.502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C">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1.778</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4F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1.359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2.333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2">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1.192</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3">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0.833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1.551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4">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05">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0.538, 1.153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0.216</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0.921</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0.703, 1.209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0.553</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D">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E">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0.380</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0F">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0.743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0">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1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0.806</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0.547, 1.189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0.275</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7">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0.850, 1.459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8">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0.438</w:t>
            </w:r>
          </w:p>
        </w:tc>
        <w:tc>
          <w:tcPr>
            <w:tcBorders>
              <w:left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9">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-0.063</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B">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-0.424, 0.299</w:t>
            </w:r>
          </w:p>
        </w:tc>
        <w:tc>
          <w:tcPr>
            <w:tcBorders>
              <w:top w:color="000000" w:space="0" w:sz="0" w:val="nil"/>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C">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0.734</w:t>
            </w:r>
          </w:p>
        </w:tc>
      </w:tr>
      <w:tr>
        <w:trPr>
          <w:cantSplit w:val="0"/>
          <w:trHeight w:val="300" w:hRule="atLeast"/>
          <w:tblHeader w:val="0"/>
        </w:trPr>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1D">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E">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1.180</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1F">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0.664, 2.022</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0">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0.558</w:t>
            </w:r>
          </w:p>
        </w:tc>
        <w:tc>
          <w:tcPr>
            <w:tcBorders>
              <w:left w:color="000000" w:space="0" w:sz="0" w:val="nil"/>
              <w:bottom w:color="000000" w:space="0" w:sz="6"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1">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2">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1.035</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3">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0.677, 1.571</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4">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0.873</w:t>
            </w:r>
          </w:p>
        </w:tc>
        <w:tc>
          <w:tcPr>
            <w:tcBorders>
              <w:left w:color="000000" w:space="0" w:sz="0" w:val="nil"/>
              <w:bottom w:color="000000" w:space="0" w:sz="6"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5">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6">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-0.933</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7">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-1.494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-0.371</w:t>
            </w:r>
          </w:p>
        </w:tc>
        <w:tc>
          <w:tcPr>
            <w:tcBorders>
              <w:top w:color="000000" w:space="0" w:sz="0" w:val="nil"/>
              <w:left w:color="000000" w:space="0" w:sz="0" w:val="nil"/>
              <w:bottom w:color="000000" w:space="0" w:sz="5"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528">
            <w:pPr>
              <w:widowControl w:val="0"/>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29">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2A">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1,010</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2B">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2C">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2D">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2E">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1,004</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2F">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0">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1">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2">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1,011</w:t>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3">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4">
            <w:pPr>
              <w:widowControl w:val="0"/>
              <w:spacing w:line="276" w:lineRule="auto"/>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5">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 R²</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6">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0.123</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7">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8">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9">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A">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0.024</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B">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C">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3D">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E">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0.125</w:t>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center"/>
          </w:tcPr>
          <w:p w:rsidR="00000000" w:rsidDel="00000000" w:rsidP="00000000" w:rsidRDefault="00000000" w:rsidRPr="00000000" w14:paraId="0000053F">
            <w:pPr>
              <w:widowControl w:val="0"/>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0.0" w:type="dxa"/>
              <w:left w:w="40.0" w:type="dxa"/>
              <w:bottom w:w="0.0" w:type="dxa"/>
              <w:right w:w="40.0" w:type="dxa"/>
            </w:tcMar>
            <w:vAlign w:val="bottom"/>
          </w:tcPr>
          <w:p w:rsidR="00000000" w:rsidDel="00000000" w:rsidP="00000000" w:rsidRDefault="00000000" w:rsidRPr="00000000" w14:paraId="00000540">
            <w:pPr>
              <w:widowControl w:val="0"/>
              <w:spacing w:line="276" w:lineRule="auto"/>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gridSpan w:val="12"/>
            <w:tcBorders>
              <w:top w:color="000000" w:space="0" w:sz="0" w:val="nil"/>
              <w:left w:color="000000" w:space="0" w:sz="0" w:val="nil"/>
            </w:tcBorders>
            <w:tcMar>
              <w:top w:w="0.0" w:type="dxa"/>
              <w:left w:w="40.0" w:type="dxa"/>
              <w:bottom w:w="0.0" w:type="dxa"/>
              <w:right w:w="40.0" w:type="dxa"/>
            </w:tcMar>
          </w:tcPr>
          <w:p w:rsidR="00000000" w:rsidDel="00000000" w:rsidP="00000000" w:rsidRDefault="00000000" w:rsidRPr="00000000" w14:paraId="00000541">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MDD, Major depressive disorder; OR, odds ratio; CI, confidence interval. *Well-being scores (SWEMWBS raw scores) were transformed into metric scores using the conversion table recommended by the scale developers (Stewart-Brown et al., 2009)</w:t>
            </w:r>
          </w:p>
        </w:tc>
      </w:tr>
    </w:tbl>
    <w:p w:rsidR="00000000" w:rsidDel="00000000" w:rsidP="00000000" w:rsidRDefault="00000000" w:rsidRPr="00000000" w14:paraId="0000054D">
      <w:pPr>
        <w:spacing w:line="480" w:lineRule="auto"/>
        <w:rPr>
          <w:rFonts w:ascii="Times New Roman" w:cs="Times New Roman" w:eastAsia="Times New Roman" w:hAnsi="Times New Roman"/>
          <w:sz w:val="24"/>
          <w:szCs w:val="24"/>
        </w:rPr>
        <w:sectPr>
          <w:type w:val="nextPage"/>
          <w:pgSz w:h="11909" w:w="16834" w:orient="landscape"/>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54E">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9"/>
        <w:tblW w:w="7380.0" w:type="dxa"/>
        <w:jc w:val="left"/>
        <w:tblLayout w:type="fixed"/>
        <w:tblLook w:val="0400"/>
      </w:tblPr>
      <w:tblGrid>
        <w:gridCol w:w="3300"/>
        <w:gridCol w:w="930"/>
        <w:gridCol w:w="1860"/>
        <w:gridCol w:w="1290"/>
        <w:tblGridChange w:id="0">
          <w:tblGrid>
            <w:gridCol w:w="3300"/>
            <w:gridCol w:w="930"/>
            <w:gridCol w:w="1860"/>
            <w:gridCol w:w="1290"/>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4F">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S9 - Regression analysis: clinical groups associated with Any Suicide Attempt or Self-harm at 14-23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53">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57">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5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Suicide Attempt or Self-harm (14-23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5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5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5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55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5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0">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1">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62">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0.323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0.237. 0.441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2.053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1.330. 3.184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3.901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2.530. 6.081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6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6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0.953. 1.047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0.523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0.404. 0.677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0.625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0.463. 0.844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7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0.524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0.434. 0.633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7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7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0.717. 1.043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8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0.754. 1.105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0.348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8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0.995. 1.738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8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0.051</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58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58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58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58E">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8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9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0.181</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9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592">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59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597">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0"/>
        <w:tblW w:w="7380.0" w:type="dxa"/>
        <w:jc w:val="left"/>
        <w:tblLayout w:type="fixed"/>
        <w:tblLook w:val="0400"/>
      </w:tblPr>
      <w:tblGrid>
        <w:gridCol w:w="3664"/>
        <w:gridCol w:w="844"/>
        <w:gridCol w:w="1702"/>
        <w:gridCol w:w="1170"/>
        <w:tblGridChange w:id="0">
          <w:tblGrid>
            <w:gridCol w:w="3664"/>
            <w:gridCol w:w="844"/>
            <w:gridCol w:w="1702"/>
            <w:gridCol w:w="1170"/>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98">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S10 - Regression analysis: clinical groups associated with Any Suicide Attempt at 18-28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9C">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A0">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A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Suicide Attempt (18-28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A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A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A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5A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A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A9">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AA">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AB">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A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A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0.272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A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0.155. 0.485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AF">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B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0.434. 2.230</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1.483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0.699. 3.165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B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0.966. 1.181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0.197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B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1.667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0.929. 3.148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B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0.099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C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1">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2.339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2">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1.190. 4.760</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3">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C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0.314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0.201. 0.480</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7">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C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0.528. 1.179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0.243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C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0.487. 1.097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C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D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D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D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0.673. 2.155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D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0.484</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5D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5D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1,009</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5D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5D7">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D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D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0.126</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D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5DB">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5D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5E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E1">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E2">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1"/>
        <w:tblW w:w="7920.0" w:type="dxa"/>
        <w:jc w:val="left"/>
        <w:tblLayout w:type="fixed"/>
        <w:tblLook w:val="0400"/>
      </w:tblPr>
      <w:tblGrid>
        <w:gridCol w:w="3690"/>
        <w:gridCol w:w="1890"/>
        <w:gridCol w:w="1350"/>
        <w:gridCol w:w="990"/>
        <w:tblGridChange w:id="0">
          <w:tblGrid>
            <w:gridCol w:w="3690"/>
            <w:gridCol w:w="1890"/>
            <w:gridCol w:w="1350"/>
            <w:gridCol w:w="990"/>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E3">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S11 - Regression analysis: clinical groups associated with Any Psychiatric Inpatient Admission at 14-23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E7">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EB">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E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Psychiatric Inpatient Admission (14-23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E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F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5F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5F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F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F4">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F5">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5F6">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F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F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0.285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F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0.130. 0.669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F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F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F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0.762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F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0.195. 2.476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5F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0.667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5F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0.563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0.140. 1.868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0.373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0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1.611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1.349. 1.957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0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0.371. 2.444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0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1.526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0.543. 4.578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0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0.431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0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0.516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0.241. 1.049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0.115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0.030. 0.316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0.403. 1.735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0.591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0.228. 2.084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1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0.67</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1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2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2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622">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2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2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0.039</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2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626">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62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62B">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2"/>
        <w:tblW w:w="7920.0" w:type="dxa"/>
        <w:jc w:val="left"/>
        <w:tblLayout w:type="fixed"/>
        <w:tblLook w:val="0400"/>
      </w:tblPr>
      <w:tblGrid>
        <w:gridCol w:w="3690"/>
        <w:gridCol w:w="1890"/>
        <w:gridCol w:w="1350"/>
        <w:gridCol w:w="990"/>
        <w:tblGridChange w:id="0">
          <w:tblGrid>
            <w:gridCol w:w="3690"/>
            <w:gridCol w:w="1890"/>
            <w:gridCol w:w="1350"/>
            <w:gridCol w:w="990"/>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62C">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S12 - Regression analysis: clinical groups associated with Any Psychiatric Inpatient Admission at 18-28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630">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34">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3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Psychiatric Inpatient Admission (18-28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3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3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3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63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3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3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3E">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63F">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4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0.372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0.124. 1.326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0.095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4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0.073. 4.069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4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4.135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1.209. 16.154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B">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4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0.983. 1.512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4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5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0.560. 7.857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0.369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5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2.543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0.647. 12.383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5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0.644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0.256. 1.531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5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0.165. 0.963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5F">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6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6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1.271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6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0.532. 3.303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6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6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6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6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0.372. 3.824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6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0.608</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6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6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1,007</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6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66B">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6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6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0.065</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6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66F">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67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67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5">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76">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3"/>
        <w:tblW w:w="7508.0" w:type="dxa"/>
        <w:jc w:val="left"/>
        <w:tblLayout w:type="fixed"/>
        <w:tblLook w:val="0400"/>
      </w:tblPr>
      <w:tblGrid>
        <w:gridCol w:w="4420"/>
        <w:gridCol w:w="860"/>
        <w:gridCol w:w="1400"/>
        <w:gridCol w:w="828"/>
        <w:tblGridChange w:id="0">
          <w:tblGrid>
            <w:gridCol w:w="4420"/>
            <w:gridCol w:w="860"/>
            <w:gridCol w:w="1400"/>
            <w:gridCol w:w="828"/>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tcBorders>
            <w:vAlign w:val="bottom"/>
          </w:tcPr>
          <w:p w:rsidR="00000000" w:rsidDel="00000000" w:rsidP="00000000" w:rsidRDefault="00000000" w:rsidRPr="00000000" w14:paraId="00000677">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S13 - Regression analysis: clinical groups associated with Lifetime Substance Use at 14-23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tcBorders>
            <w:vAlign w:val="bottom"/>
          </w:tcPr>
          <w:p w:rsidR="00000000" w:rsidDel="00000000" w:rsidP="00000000" w:rsidRDefault="00000000" w:rsidRPr="00000000" w14:paraId="0000067B">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7F">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8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Lifetime Substance Use (14-23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8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8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8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68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8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88">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89">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68A">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8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8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0.324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8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0.178. 0.549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8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8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0.545. 2.757</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0.631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9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2.746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1.135. 7.134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9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1.666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1.568. 1.775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9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1.482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1.091. 1.998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9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9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0.933. 1.834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0.116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A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0.731. 1.084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0.249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A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0.689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0.565. 0.840</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A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1.388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1.141. 1.689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A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B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B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0.629. 1.202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B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0.376</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B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B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6B6">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B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B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0.148</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B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6BA">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6B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6BF">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4"/>
        <w:tblW w:w="7508.0" w:type="dxa"/>
        <w:jc w:val="left"/>
        <w:tblLayout w:type="fixed"/>
        <w:tblLook w:val="0400"/>
      </w:tblPr>
      <w:tblGrid>
        <w:gridCol w:w="4420"/>
        <w:gridCol w:w="860"/>
        <w:gridCol w:w="1400"/>
        <w:gridCol w:w="828"/>
        <w:tblGridChange w:id="0">
          <w:tblGrid>
            <w:gridCol w:w="4420"/>
            <w:gridCol w:w="860"/>
            <w:gridCol w:w="1400"/>
            <w:gridCol w:w="828"/>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tcBorders>
            <w:vAlign w:val="bottom"/>
          </w:tcPr>
          <w:p w:rsidR="00000000" w:rsidDel="00000000" w:rsidP="00000000" w:rsidRDefault="00000000" w:rsidRPr="00000000" w14:paraId="000006C0">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S14 - Regression analysis: clinical groups associated with ASSIST Any Moderate/High Risk for Substance Use at 18-28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tcBorders>
            <w:vAlign w:val="bottom"/>
          </w:tcPr>
          <w:p w:rsidR="00000000" w:rsidDel="00000000" w:rsidP="00000000" w:rsidRDefault="00000000" w:rsidRPr="00000000" w14:paraId="000006C4">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C8">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C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Moderate/High Risk for Substance Use (18-28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C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C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C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6C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D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D1">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D2">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6D3">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D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0.542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0.325. 0.918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7">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D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0.484. 2.273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D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0.879. 3.769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D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E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0.912. 1.064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E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1.776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1.104. 2.951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7">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E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1.793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1.049. 3.136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B">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E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2.433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1.791. 3.325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EF">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F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0.728. 1.336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F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0.758. 1.386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F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0.576. 1.526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6F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0.836</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F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F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1,003</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F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6FF">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0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0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0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03">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70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708">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09">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5"/>
        <w:tblW w:w="7508.0" w:type="dxa"/>
        <w:jc w:val="left"/>
        <w:tblLayout w:type="fixed"/>
        <w:tblLook w:val="0400"/>
      </w:tblPr>
      <w:tblGrid>
        <w:gridCol w:w="4420"/>
        <w:gridCol w:w="860"/>
        <w:gridCol w:w="1400"/>
        <w:gridCol w:w="828"/>
        <w:tblGridChange w:id="0">
          <w:tblGrid>
            <w:gridCol w:w="4420"/>
            <w:gridCol w:w="860"/>
            <w:gridCol w:w="1400"/>
            <w:gridCol w:w="828"/>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tcBorders>
            <w:vAlign w:val="bottom"/>
          </w:tcPr>
          <w:p w:rsidR="00000000" w:rsidDel="00000000" w:rsidP="00000000" w:rsidRDefault="00000000" w:rsidRPr="00000000" w14:paraId="0000070A">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S15 - Regression analysis: clinical groups associated with NEET at 14-23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tcBorders>
            <w:vAlign w:val="bottom"/>
          </w:tcPr>
          <w:p w:rsidR="00000000" w:rsidDel="00000000" w:rsidP="00000000" w:rsidRDefault="00000000" w:rsidRPr="00000000" w14:paraId="0000070E">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12">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1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NEET (14-23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1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1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1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1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1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1B">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1C">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71D">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1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1F">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0.663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0">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0.460. 0.968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1">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2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0.392. 1.272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2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7">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0.329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0.175. 0.598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2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B">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1.492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1.411. 1.579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2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2F">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0">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0.461. 0.811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1">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3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3">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0.475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0.335. 0.672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5">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3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1.043. 1.604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3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0.920. 1.422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3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3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4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0.774. 1.196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4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4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4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4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0.806. 1.514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4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0.508</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4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4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4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749">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4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4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0.082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4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4D">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74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752">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6"/>
        <w:tblW w:w="7508.0" w:type="dxa"/>
        <w:jc w:val="left"/>
        <w:tblLayout w:type="fixed"/>
        <w:tblLook w:val="0400"/>
      </w:tblPr>
      <w:tblGrid>
        <w:gridCol w:w="4420"/>
        <w:gridCol w:w="860"/>
        <w:gridCol w:w="1400"/>
        <w:gridCol w:w="828"/>
        <w:tblGridChange w:id="0">
          <w:tblGrid>
            <w:gridCol w:w="4420"/>
            <w:gridCol w:w="860"/>
            <w:gridCol w:w="1400"/>
            <w:gridCol w:w="828"/>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tcBorders>
            <w:vAlign w:val="bottom"/>
          </w:tcPr>
          <w:p w:rsidR="00000000" w:rsidDel="00000000" w:rsidP="00000000" w:rsidRDefault="00000000" w:rsidRPr="00000000" w14:paraId="00000753">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S16 - Regression analysis: clinical groups associated with NEET at 18-28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tcBorders>
            <w:vAlign w:val="bottom"/>
          </w:tcPr>
          <w:p w:rsidR="00000000" w:rsidDel="00000000" w:rsidP="00000000" w:rsidRDefault="00000000" w:rsidRPr="00000000" w14:paraId="00000757">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5B">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5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NEET (18-28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5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6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6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6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6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64">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65">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766">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6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6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6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0.711. 2.840</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6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6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6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6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0.218. 2.175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6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0.583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6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0.367. 2.633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7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0.952. 1.138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0.546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9">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0.353. 0.855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7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0.265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D">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0.142. 0.484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7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7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0.843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1">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0.592. 1.199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0.343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8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0.696. 1.424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8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0.973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0.685. 1.388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8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D">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0.625. 1.814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8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0.759</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8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9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1,012</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9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792">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9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9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0.023</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9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96">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79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79B">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9C">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7"/>
        <w:tblW w:w="7508.0" w:type="dxa"/>
        <w:jc w:val="left"/>
        <w:tblLayout w:type="fixed"/>
        <w:tblLook w:val="0400"/>
      </w:tblPr>
      <w:tblGrid>
        <w:gridCol w:w="4420"/>
        <w:gridCol w:w="860"/>
        <w:gridCol w:w="1400"/>
        <w:gridCol w:w="828"/>
        <w:tblGridChange w:id="0">
          <w:tblGrid>
            <w:gridCol w:w="4420"/>
            <w:gridCol w:w="860"/>
            <w:gridCol w:w="1400"/>
            <w:gridCol w:w="828"/>
          </w:tblGrid>
        </w:tblGridChange>
      </w:tblGrid>
      <w:tr>
        <w:trPr>
          <w:cantSplit w:val="0"/>
          <w:trHeight w:val="300" w:hRule="atLeast"/>
          <w:tblHeader w:val="0"/>
        </w:trPr>
        <w:tc>
          <w:tcPr>
            <w:gridSpan w:val="4"/>
            <w:vMerge w:val="restart"/>
            <w:tcBorders>
              <w:top w:color="000000" w:space="0" w:sz="0" w:val="nil"/>
              <w:left w:color="000000" w:space="0" w:sz="0" w:val="nil"/>
              <w:bottom w:color="000000" w:space="0" w:sz="0" w:val="nil"/>
            </w:tcBorders>
            <w:vAlign w:val="bottom"/>
          </w:tcPr>
          <w:p w:rsidR="00000000" w:rsidDel="00000000" w:rsidP="00000000" w:rsidRDefault="00000000" w:rsidRPr="00000000" w14:paraId="0000079D">
            <w:pPr>
              <w:spacing w:line="276" w:lineRule="auto"/>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Table S17 - Regression analysis: clinical groups associated with Conviction at 14-23 years</w:t>
            </w:r>
            <w:r w:rsidDel="00000000" w:rsidR="00000000" w:rsidRPr="00000000">
              <w:rPr>
                <w:rtl w:val="0"/>
              </w:rPr>
            </w:r>
          </w:p>
        </w:tc>
      </w:tr>
      <w:tr>
        <w:trPr>
          <w:cantSplit w:val="0"/>
          <w:trHeight w:val="300" w:hRule="atLeast"/>
          <w:tblHeader w:val="0"/>
        </w:trPr>
        <w:tc>
          <w:tcPr>
            <w:gridSpan w:val="4"/>
            <w:vMerge w:val="continue"/>
            <w:tcBorders>
              <w:top w:color="000000" w:space="0" w:sz="0" w:val="nil"/>
              <w:left w:color="000000" w:space="0" w:sz="0" w:val="nil"/>
              <w:bottom w:color="000000" w:space="0" w:sz="0" w:val="nil"/>
            </w:tcBorders>
            <w:vAlign w:val="bottom"/>
          </w:tcPr>
          <w:p w:rsidR="00000000" w:rsidDel="00000000" w:rsidP="00000000" w:rsidRDefault="00000000" w:rsidRPr="00000000" w14:paraId="000007A1">
            <w:pPr>
              <w:widowControl w:val="0"/>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A5">
            <w:pPr>
              <w:spacing w:line="276" w:lineRule="auto"/>
              <w:rPr>
                <w:rFonts w:ascii="Calibri" w:cs="Calibri" w:eastAsia="Calibri" w:hAnsi="Calibri"/>
              </w:rPr>
            </w:pPr>
            <w:r w:rsidDel="00000000" w:rsidR="00000000" w:rsidRPr="00000000">
              <w:rPr>
                <w:rtl w:val="0"/>
              </w:rPr>
            </w:r>
          </w:p>
        </w:tc>
        <w:tc>
          <w:tcPr>
            <w:gridSpan w:val="3"/>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A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Conviction (14-23 years)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A9">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A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A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CI</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A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A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Predictors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AE">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AF">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7B0">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B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Neither depressed nor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2">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0.663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3">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0.460. 0.968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depressed but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0.714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0.392. 1.272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0.26</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B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Depressed and lonely</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A">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0.329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B">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0.175. 0.598</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C">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B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(years) at domicile evaluation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E">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1.492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BF">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1.411. 1.579</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0">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C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C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2">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0.61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3">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0.461. 0.811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4">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C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 status (class A/B vs D/E)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6">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0.475</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7">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0.335. 0.672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8">
            <w:pPr>
              <w:spacing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&lt;0.001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C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 Male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B">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1.043. 1.604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C">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C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 site: São Paulo</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E">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1.143</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C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0.920. 1.422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D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Race/ethnicity: White</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2">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0.961</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3">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0.774. 1.196</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4">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7D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isolation</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6">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1.112</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7">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0.806. 1.514</w:t>
            </w:r>
          </w:p>
        </w:tc>
        <w:tc>
          <w:tcPr>
            <w:tcBorders>
              <w:top w:color="000000" w:space="0" w:sz="0" w:val="nil"/>
              <w:left w:color="000000" w:space="0" w:sz="0" w:val="nil"/>
              <w:bottom w:color="000000" w:space="0" w:sz="5" w:val="single"/>
              <w:right w:color="000000" w:space="0" w:sz="0" w:val="nil"/>
            </w:tcBorders>
            <w:tcMar>
              <w:left w:w="0.0" w:type="dxa"/>
              <w:right w:w="0.0" w:type="dxa"/>
            </w:tcMar>
            <w:vAlign w:val="center"/>
          </w:tcPr>
          <w:p w:rsidR="00000000" w:rsidDel="00000000" w:rsidP="00000000" w:rsidRDefault="00000000" w:rsidRPr="00000000" w14:paraId="000007D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0.508</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D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D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1,150</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7D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7DC">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D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Pseudo R²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D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0.082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7D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7E0">
            <w:pPr>
              <w:spacing w:line="276"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7E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OR, odds ratio; CI, confidence interval;</w:t>
            </w:r>
          </w:p>
        </w:tc>
      </w:tr>
    </w:tbl>
    <w:p w:rsidR="00000000" w:rsidDel="00000000" w:rsidP="00000000" w:rsidRDefault="00000000" w:rsidRPr="00000000" w14:paraId="000007E5">
      <w:pPr>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E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5939790" cy="6655435"/>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39790" cy="6655435"/>
                    </a:xfrm>
                    <a:prstGeom prst="rect"/>
                    <a:ln/>
                  </pic:spPr>
                </pic:pic>
              </a:graphicData>
            </a:graphic>
          </wp:inline>
        </w:drawing>
      </w:r>
      <w:r w:rsidDel="00000000" w:rsidR="00000000" w:rsidRPr="00000000">
        <w:rPr>
          <w:rtl w:val="0"/>
        </w:rPr>
      </w:r>
    </w:p>
    <w:p w:rsidR="00000000" w:rsidDel="00000000" w:rsidP="00000000" w:rsidRDefault="00000000" w:rsidRPr="00000000" w14:paraId="000007E7">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8">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S1 – </w:t>
      </w:r>
      <w:r w:rsidDel="00000000" w:rsidR="00000000" w:rsidRPr="00000000">
        <w:rPr>
          <w:rFonts w:ascii="Times New Roman" w:cs="Times New Roman" w:eastAsia="Times New Roman" w:hAnsi="Times New Roman"/>
          <w:sz w:val="24"/>
          <w:szCs w:val="24"/>
          <w:rtl w:val="0"/>
        </w:rPr>
        <w:t xml:space="preserve">Bootstrapped confidence intervals for edge-weights for sMFQ network analysis.</w:t>
      </w:r>
      <w:r w:rsidDel="00000000" w:rsidR="00000000" w:rsidRPr="00000000">
        <w:rPr>
          <w:rtl w:val="0"/>
        </w:rPr>
      </w:r>
    </w:p>
    <w:p w:rsidR="00000000" w:rsidDel="00000000" w:rsidP="00000000" w:rsidRDefault="00000000" w:rsidRPr="00000000" w14:paraId="000007EA">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B">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C">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5939790" cy="5382895"/>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39790" cy="5382895"/>
                    </a:xfrm>
                    <a:prstGeom prst="rect"/>
                    <a:ln/>
                  </pic:spPr>
                </pic:pic>
              </a:graphicData>
            </a:graphic>
          </wp:inline>
        </w:drawing>
      </w:r>
      <w:r w:rsidDel="00000000" w:rsidR="00000000" w:rsidRPr="00000000">
        <w:rPr>
          <w:rtl w:val="0"/>
        </w:rPr>
      </w:r>
    </w:p>
    <w:p w:rsidR="00000000" w:rsidDel="00000000" w:rsidP="00000000" w:rsidRDefault="00000000" w:rsidRPr="00000000" w14:paraId="000007EE">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F">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0">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S2</w:t>
      </w:r>
      <w:r w:rsidDel="00000000" w:rsidR="00000000" w:rsidRPr="00000000">
        <w:rPr>
          <w:rFonts w:ascii="Times New Roman" w:cs="Times New Roman" w:eastAsia="Times New Roman" w:hAnsi="Times New Roman"/>
          <w:sz w:val="24"/>
          <w:szCs w:val="24"/>
          <w:rtl w:val="0"/>
        </w:rPr>
        <w:t xml:space="preserve"> – Bootstrapped difference test between edge-weights for sMFQ network analysis.</w:t>
      </w:r>
    </w:p>
    <w:p w:rsidR="00000000" w:rsidDel="00000000" w:rsidP="00000000" w:rsidRDefault="00000000" w:rsidRPr="00000000" w14:paraId="000007F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F3">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4">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5">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6">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7">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8">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9">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A">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B">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C">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D">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E">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F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5939790" cy="5494655"/>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39790" cy="5494655"/>
                    </a:xfrm>
                    <a:prstGeom prst="rect"/>
                    <a:ln/>
                  </pic:spPr>
                </pic:pic>
              </a:graphicData>
            </a:graphic>
          </wp:inline>
        </w:drawing>
      </w:r>
      <w:r w:rsidDel="00000000" w:rsidR="00000000" w:rsidRPr="00000000">
        <w:rPr>
          <w:rtl w:val="0"/>
        </w:rPr>
      </w:r>
    </w:p>
    <w:p w:rsidR="00000000" w:rsidDel="00000000" w:rsidP="00000000" w:rsidRDefault="00000000" w:rsidRPr="00000000" w14:paraId="00000800">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1">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2">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S3</w:t>
      </w:r>
      <w:r w:rsidDel="00000000" w:rsidR="00000000" w:rsidRPr="00000000">
        <w:rPr>
          <w:rFonts w:ascii="Times New Roman" w:cs="Times New Roman" w:eastAsia="Times New Roman" w:hAnsi="Times New Roman"/>
          <w:sz w:val="24"/>
          <w:szCs w:val="24"/>
          <w:rtl w:val="0"/>
        </w:rPr>
        <w:t xml:space="preserve"> – Bootstrapped difference test between node strength for sMFQ network analysis.</w:t>
      </w:r>
    </w:p>
    <w:p w:rsidR="00000000" w:rsidDel="00000000" w:rsidP="00000000" w:rsidRDefault="00000000" w:rsidRPr="00000000" w14:paraId="00000804">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5939790" cy="5224145"/>
            <wp:effectExtent b="0" l="0" r="0" t="0"/>
            <wp:docPr descr="A graph with different colored lines&#10;&#10;Description automatically generated" id="3" name="image1.png"/>
            <a:graphic>
              <a:graphicData uri="http://schemas.openxmlformats.org/drawingml/2006/picture">
                <pic:pic>
                  <pic:nvPicPr>
                    <pic:cNvPr descr="A graph with different colored lines&#10;&#10;Description automatically generated" id="0" name="image1.png"/>
                    <pic:cNvPicPr preferRelativeResize="0"/>
                  </pic:nvPicPr>
                  <pic:blipFill>
                    <a:blip r:embed="rId9"/>
                    <a:srcRect b="0" l="0" r="0" t="0"/>
                    <a:stretch>
                      <a:fillRect/>
                    </a:stretch>
                  </pic:blipFill>
                  <pic:spPr>
                    <a:xfrm>
                      <a:off x="0" y="0"/>
                      <a:ext cx="5939790" cy="5224145"/>
                    </a:xfrm>
                    <a:prstGeom prst="rect"/>
                    <a:ln/>
                  </pic:spPr>
                </pic:pic>
              </a:graphicData>
            </a:graphic>
          </wp:inline>
        </w:drawing>
      </w:r>
      <w:r w:rsidDel="00000000" w:rsidR="00000000" w:rsidRPr="00000000">
        <w:rPr>
          <w:rtl w:val="0"/>
        </w:rPr>
      </w:r>
    </w:p>
    <w:p w:rsidR="00000000" w:rsidDel="00000000" w:rsidP="00000000" w:rsidRDefault="00000000" w:rsidRPr="00000000" w14:paraId="00000805">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6">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7">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8">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0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S4</w:t>
      </w:r>
      <w:r w:rsidDel="00000000" w:rsidR="00000000" w:rsidRPr="00000000">
        <w:rPr>
          <w:rFonts w:ascii="Times New Roman" w:cs="Times New Roman" w:eastAsia="Times New Roman" w:hAnsi="Times New Roman"/>
          <w:sz w:val="24"/>
          <w:szCs w:val="24"/>
          <w:rtl w:val="0"/>
        </w:rPr>
        <w:t xml:space="preserve"> - Average correlations between centrality indices of networks with reduced sample sizes and the original sample.</w:t>
      </w:r>
    </w:p>
    <w:p w:rsidR="00000000" w:rsidDel="00000000" w:rsidP="00000000" w:rsidRDefault="00000000" w:rsidRPr="00000000" w14:paraId="0000080A">
      <w:pPr>
        <w:rPr/>
      </w:pPr>
      <w:r w:rsidDel="00000000" w:rsidR="00000000" w:rsidRPr="00000000">
        <w:rPr>
          <w:rtl w:val="0"/>
        </w:rPr>
      </w:r>
    </w:p>
    <w:sectPr>
      <w:type w:val="nextPage"/>
      <w:pgSz w:h="16834" w:w="11909" w:orient="portrait"/>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