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AA4B1">
      <w:pPr>
        <w:spacing w:line="360" w:lineRule="auto"/>
        <w:jc w:val="both"/>
        <w:rPr>
          <w:rFonts w:ascii="Calibri" w:hAnsi="Calibri" w:eastAsia="Calibri" w:cs="Calibri"/>
          <w:b/>
          <w:color w:val="000000"/>
          <w:sz w:val="22"/>
          <w:szCs w:val="22"/>
          <w:lang w:val="en-GB"/>
        </w:rPr>
      </w:pPr>
      <w:r>
        <w:rPr>
          <w:rFonts w:ascii="Calibri" w:hAnsi="Calibri" w:eastAsia="Calibri" w:cs="Calibri"/>
          <w:b/>
          <w:color w:val="000000"/>
          <w:sz w:val="22"/>
          <w:szCs w:val="22"/>
          <w:lang w:val="en-GB"/>
        </w:rPr>
        <w:t xml:space="preserve">CONSORT 2025 checklist of information to include when reporting a randomised trial* </w:t>
      </w:r>
    </w:p>
    <w:tbl>
      <w:tblPr>
        <w:tblStyle w:val="23"/>
        <w:tblW w:w="143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400"/>
        <w:gridCol w:w="800"/>
        <w:gridCol w:w="7612"/>
        <w:gridCol w:w="3500"/>
      </w:tblGrid>
      <w:tr w14:paraId="42F6C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400" w:type="dxa"/>
            <w:shd w:val="clear" w:color="auto" w:fill="BFBFBF"/>
          </w:tcPr>
          <w:p w14:paraId="07AEEDF9">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Section / Topic</w:t>
            </w:r>
          </w:p>
          <w:p w14:paraId="0F5F40E3">
            <w:pPr>
              <w:spacing w:line="240" w:lineRule="auto"/>
              <w:rPr>
                <w:rFonts w:ascii="Calibri" w:hAnsi="Calibri" w:eastAsia="Calibri" w:cs="Calibri"/>
                <w:b/>
                <w:color w:val="000000"/>
                <w:sz w:val="22"/>
                <w:szCs w:val="22"/>
                <w:lang w:val="en-GB"/>
              </w:rPr>
            </w:pPr>
          </w:p>
        </w:tc>
        <w:tc>
          <w:tcPr>
            <w:tcW w:w="800" w:type="dxa"/>
            <w:shd w:val="clear" w:color="auto" w:fill="BFBFBF"/>
          </w:tcPr>
          <w:p w14:paraId="5449031B">
            <w:pPr>
              <w:spacing w:line="240" w:lineRule="auto"/>
              <w:jc w:val="cente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No</w:t>
            </w:r>
          </w:p>
        </w:tc>
        <w:tc>
          <w:tcPr>
            <w:tcW w:w="7612" w:type="dxa"/>
            <w:shd w:val="clear" w:color="auto" w:fill="BEBEBE" w:themeFill="background1" w:themeFillShade="BF"/>
          </w:tcPr>
          <w:p w14:paraId="1008F6F5">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CONSORT 2025 checklist item description</w:t>
            </w:r>
          </w:p>
        </w:tc>
        <w:tc>
          <w:tcPr>
            <w:tcW w:w="3500" w:type="dxa"/>
            <w:shd w:val="clear" w:color="auto" w:fill="BEBEBE" w:themeFill="background1" w:themeFillShade="BF"/>
          </w:tcPr>
          <w:p w14:paraId="6927BCB3">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Reported on page no.</w:t>
            </w:r>
          </w:p>
        </w:tc>
      </w:tr>
      <w:tr w14:paraId="35E60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10812" w:type="dxa"/>
            <w:gridSpan w:val="3"/>
            <w:shd w:val="clear" w:color="auto" w:fill="C6D9F0" w:themeFill="text2" w:themeFillTint="33"/>
          </w:tcPr>
          <w:p w14:paraId="105C098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Title and abstract</w:t>
            </w:r>
          </w:p>
        </w:tc>
        <w:tc>
          <w:tcPr>
            <w:tcW w:w="3500" w:type="dxa"/>
            <w:shd w:val="clear" w:color="auto" w:fill="C6D9F0" w:themeFill="text2" w:themeFillTint="33"/>
          </w:tcPr>
          <w:p w14:paraId="0AC158EA">
            <w:pPr>
              <w:spacing w:line="240" w:lineRule="auto"/>
              <w:rPr>
                <w:rFonts w:ascii="Calibri" w:hAnsi="Calibri" w:eastAsia="Calibri" w:cs="Calibri"/>
                <w:b/>
                <w:color w:val="000000"/>
                <w:sz w:val="22"/>
                <w:szCs w:val="22"/>
                <w:lang w:val="en-GB"/>
              </w:rPr>
            </w:pPr>
          </w:p>
        </w:tc>
      </w:tr>
      <w:tr w14:paraId="10FCC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400" w:type="dxa"/>
            <w:vMerge w:val="restart"/>
          </w:tcPr>
          <w:p w14:paraId="55516C2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Title and structured abstract</w:t>
            </w:r>
          </w:p>
        </w:tc>
        <w:tc>
          <w:tcPr>
            <w:tcW w:w="800" w:type="dxa"/>
          </w:tcPr>
          <w:p w14:paraId="2FAFE5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1a</w:t>
            </w:r>
          </w:p>
        </w:tc>
        <w:tc>
          <w:tcPr>
            <w:tcW w:w="7612" w:type="dxa"/>
          </w:tcPr>
          <w:p w14:paraId="0A0F8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Identification as a randomised trial </w:t>
            </w:r>
          </w:p>
        </w:tc>
        <w:tc>
          <w:tcPr>
            <w:tcW w:w="3500" w:type="dxa"/>
          </w:tcPr>
          <w:p w14:paraId="682CEBAD">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 (Title)</w:t>
            </w:r>
          </w:p>
        </w:tc>
      </w:tr>
      <w:tr w14:paraId="29622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8" w:hRule="atLeast"/>
        </w:trPr>
        <w:tc>
          <w:tcPr>
            <w:tcW w:w="2400" w:type="dxa"/>
            <w:vMerge w:val="continue"/>
          </w:tcPr>
          <w:p w14:paraId="4CFF8030">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800" w:type="dxa"/>
          </w:tcPr>
          <w:p w14:paraId="00E58D9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1b</w:t>
            </w:r>
          </w:p>
        </w:tc>
        <w:tc>
          <w:tcPr>
            <w:tcW w:w="7612" w:type="dxa"/>
          </w:tcPr>
          <w:p w14:paraId="0176107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Structured summary of the trial design, methods, results, and conclusions</w:t>
            </w:r>
          </w:p>
        </w:tc>
        <w:tc>
          <w:tcPr>
            <w:tcW w:w="3500" w:type="dxa"/>
          </w:tcPr>
          <w:p w14:paraId="078952E4">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1–3 (Abstract)</w:t>
            </w:r>
          </w:p>
        </w:tc>
      </w:tr>
      <w:tr w14:paraId="3A57C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0812" w:type="dxa"/>
            <w:gridSpan w:val="3"/>
            <w:shd w:val="clear" w:color="auto" w:fill="BDD7EE"/>
          </w:tcPr>
          <w:p w14:paraId="353B2DC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Open science</w:t>
            </w:r>
          </w:p>
        </w:tc>
        <w:tc>
          <w:tcPr>
            <w:tcW w:w="3500" w:type="dxa"/>
            <w:shd w:val="clear" w:color="auto" w:fill="C6D9F0" w:themeFill="text2" w:themeFillTint="33"/>
          </w:tcPr>
          <w:p w14:paraId="6C7112DB">
            <w:pPr>
              <w:spacing w:line="240" w:lineRule="auto"/>
              <w:rPr>
                <w:rFonts w:ascii="Calibri" w:hAnsi="Calibri" w:eastAsia="Calibri" w:cs="Calibri"/>
                <w:b/>
                <w:color w:val="000000"/>
                <w:sz w:val="22"/>
                <w:szCs w:val="22"/>
                <w:lang w:val="en-GB"/>
              </w:rPr>
            </w:pPr>
          </w:p>
        </w:tc>
      </w:tr>
      <w:tr w14:paraId="6325B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400" w:type="dxa"/>
          </w:tcPr>
          <w:p w14:paraId="559029C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registration</w:t>
            </w:r>
          </w:p>
        </w:tc>
        <w:tc>
          <w:tcPr>
            <w:tcW w:w="800" w:type="dxa"/>
          </w:tcPr>
          <w:p w14:paraId="169EB1A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w:t>
            </w:r>
          </w:p>
        </w:tc>
        <w:tc>
          <w:tcPr>
            <w:tcW w:w="7612" w:type="dxa"/>
          </w:tcPr>
          <w:p w14:paraId="6110F8C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Name of trial registry, identifying number (with URL) and date of registration</w:t>
            </w:r>
          </w:p>
        </w:tc>
        <w:tc>
          <w:tcPr>
            <w:tcW w:w="3500" w:type="dxa"/>
          </w:tcPr>
          <w:p w14:paraId="5384896B">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2–3 (Abstract: Trial registration); 12 (Methods: Ethics and trial registration); 20 (Declarations: Clinical trial number)</w:t>
            </w:r>
          </w:p>
        </w:tc>
      </w:tr>
      <w:tr w14:paraId="5732C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400" w:type="dxa"/>
          </w:tcPr>
          <w:p w14:paraId="3979146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Protocol and statistical analysis plan</w:t>
            </w:r>
          </w:p>
        </w:tc>
        <w:tc>
          <w:tcPr>
            <w:tcW w:w="800" w:type="dxa"/>
          </w:tcPr>
          <w:p w14:paraId="7510EBB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w:t>
            </w:r>
          </w:p>
        </w:tc>
        <w:tc>
          <w:tcPr>
            <w:tcW w:w="7612" w:type="dxa"/>
          </w:tcPr>
          <w:p w14:paraId="2530AB9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the trial protocol and statistical analysis plan can be accessed</w:t>
            </w:r>
          </w:p>
        </w:tc>
        <w:tc>
          <w:tcPr>
            <w:tcW w:w="3500" w:type="dxa"/>
          </w:tcPr>
          <w:p w14:paraId="628ED577">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20 (Declarations: Availability of data and materials)</w:t>
            </w:r>
          </w:p>
        </w:tc>
      </w:tr>
      <w:tr w14:paraId="5457C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400" w:type="dxa"/>
          </w:tcPr>
          <w:p w14:paraId="522B7D7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Data sharing</w:t>
            </w:r>
          </w:p>
        </w:tc>
        <w:tc>
          <w:tcPr>
            <w:tcW w:w="800" w:type="dxa"/>
          </w:tcPr>
          <w:p w14:paraId="697875C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4</w:t>
            </w:r>
          </w:p>
        </w:tc>
        <w:tc>
          <w:tcPr>
            <w:tcW w:w="7612" w:type="dxa"/>
          </w:tcPr>
          <w:p w14:paraId="4D4B145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and how the individual de-identified participant data (including data dictionary), statistical code and any other materials can be accessed</w:t>
            </w:r>
          </w:p>
        </w:tc>
        <w:tc>
          <w:tcPr>
            <w:tcW w:w="3500" w:type="dxa"/>
          </w:tcPr>
          <w:p w14:paraId="48E4F70A">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20 (Declarations: Availability of data and materials)</w:t>
            </w:r>
          </w:p>
        </w:tc>
      </w:tr>
      <w:tr w14:paraId="53FD3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400" w:type="dxa"/>
            <w:vMerge w:val="restart"/>
          </w:tcPr>
          <w:p w14:paraId="47802CC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Funding and conflicts of interest</w:t>
            </w:r>
          </w:p>
        </w:tc>
        <w:tc>
          <w:tcPr>
            <w:tcW w:w="800" w:type="dxa"/>
          </w:tcPr>
          <w:p w14:paraId="1B41FA2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5a</w:t>
            </w:r>
          </w:p>
        </w:tc>
        <w:tc>
          <w:tcPr>
            <w:tcW w:w="7612" w:type="dxa"/>
          </w:tcPr>
          <w:p w14:paraId="4D265E5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Sources of funding and other support (e.g., supply of drugs), and role of funders in the design, conduct, analysis and reporting of the trial</w:t>
            </w:r>
          </w:p>
        </w:tc>
        <w:tc>
          <w:tcPr>
            <w:tcW w:w="3500" w:type="dxa"/>
          </w:tcPr>
          <w:p w14:paraId="20B1CBDD">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21 (Declarations: Funding)</w:t>
            </w:r>
          </w:p>
        </w:tc>
      </w:tr>
      <w:tr w14:paraId="0D642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400" w:type="dxa"/>
            <w:vMerge w:val="continue"/>
          </w:tcPr>
          <w:p w14:paraId="33AB9D71">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800" w:type="dxa"/>
          </w:tcPr>
          <w:p w14:paraId="59C3C9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5b</w:t>
            </w:r>
          </w:p>
        </w:tc>
        <w:tc>
          <w:tcPr>
            <w:tcW w:w="7612" w:type="dxa"/>
          </w:tcPr>
          <w:p w14:paraId="471BB7B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Financial and other conflicts of interest of the manuscript authors</w:t>
            </w:r>
          </w:p>
        </w:tc>
        <w:tc>
          <w:tcPr>
            <w:tcW w:w="3500" w:type="dxa"/>
          </w:tcPr>
          <w:p w14:paraId="2C85AC6B">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20 (Declarations: Competing interests)</w:t>
            </w:r>
          </w:p>
        </w:tc>
      </w:tr>
      <w:tr w14:paraId="6808D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0812" w:type="dxa"/>
            <w:gridSpan w:val="3"/>
            <w:shd w:val="clear" w:color="auto" w:fill="BDD7EE"/>
          </w:tcPr>
          <w:p w14:paraId="571BFEBF">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Introduction</w:t>
            </w:r>
          </w:p>
        </w:tc>
        <w:tc>
          <w:tcPr>
            <w:tcW w:w="3500" w:type="dxa"/>
            <w:shd w:val="clear" w:color="auto" w:fill="C6D9F0" w:themeFill="text2" w:themeFillTint="33"/>
          </w:tcPr>
          <w:p w14:paraId="32FD8D83">
            <w:pPr>
              <w:spacing w:line="240" w:lineRule="auto"/>
              <w:rPr>
                <w:rFonts w:ascii="Calibri" w:hAnsi="Calibri" w:eastAsia="Calibri" w:cs="Calibri"/>
                <w:b/>
                <w:color w:val="000000"/>
                <w:sz w:val="22"/>
                <w:szCs w:val="22"/>
                <w:lang w:val="en-GB"/>
              </w:rPr>
            </w:pPr>
          </w:p>
        </w:tc>
      </w:tr>
      <w:tr w14:paraId="37A36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1" w:hRule="atLeast"/>
        </w:trPr>
        <w:tc>
          <w:tcPr>
            <w:tcW w:w="2400" w:type="dxa"/>
            <w:tcBorders>
              <w:bottom w:val="single" w:color="000000" w:sz="4" w:space="0"/>
            </w:tcBorders>
          </w:tcPr>
          <w:p w14:paraId="36CFF56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Background and rationale</w:t>
            </w:r>
          </w:p>
        </w:tc>
        <w:tc>
          <w:tcPr>
            <w:tcW w:w="800" w:type="dxa"/>
            <w:tcBorders>
              <w:bottom w:val="single" w:color="000000" w:sz="4" w:space="0"/>
            </w:tcBorders>
          </w:tcPr>
          <w:p w14:paraId="630536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6</w:t>
            </w:r>
          </w:p>
        </w:tc>
        <w:tc>
          <w:tcPr>
            <w:tcW w:w="7612" w:type="dxa"/>
          </w:tcPr>
          <w:p w14:paraId="5A09739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Scientific background and rationale</w:t>
            </w:r>
          </w:p>
        </w:tc>
        <w:tc>
          <w:tcPr>
            <w:tcW w:w="3500" w:type="dxa"/>
          </w:tcPr>
          <w:p w14:paraId="3333AA56">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3–5 (Background)</w:t>
            </w:r>
          </w:p>
        </w:tc>
      </w:tr>
      <w:tr w14:paraId="55C5B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400" w:type="dxa"/>
            <w:vAlign w:val="center"/>
          </w:tcPr>
          <w:p w14:paraId="12B554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Objectives</w:t>
            </w:r>
          </w:p>
        </w:tc>
        <w:tc>
          <w:tcPr>
            <w:tcW w:w="800" w:type="dxa"/>
          </w:tcPr>
          <w:p w14:paraId="517F8E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7</w:t>
            </w:r>
          </w:p>
        </w:tc>
        <w:tc>
          <w:tcPr>
            <w:tcW w:w="7612" w:type="dxa"/>
          </w:tcPr>
          <w:p w14:paraId="2591646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Specific objectives related to benefits and harms</w:t>
            </w:r>
          </w:p>
        </w:tc>
        <w:tc>
          <w:tcPr>
            <w:tcW w:w="3500" w:type="dxa"/>
          </w:tcPr>
          <w:p w14:paraId="70B2DB04">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4–5 (Background, final paragraph)</w:t>
            </w:r>
          </w:p>
        </w:tc>
      </w:tr>
      <w:tr w14:paraId="1B31C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0812" w:type="dxa"/>
            <w:gridSpan w:val="3"/>
            <w:shd w:val="clear" w:color="auto" w:fill="BDD7EE"/>
          </w:tcPr>
          <w:p w14:paraId="1C08DDCD">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Methods</w:t>
            </w:r>
          </w:p>
        </w:tc>
        <w:tc>
          <w:tcPr>
            <w:tcW w:w="3500" w:type="dxa"/>
            <w:shd w:val="clear" w:color="auto" w:fill="C6D9F0" w:themeFill="text2" w:themeFillTint="33"/>
          </w:tcPr>
          <w:p w14:paraId="61DDDBB5">
            <w:pPr>
              <w:spacing w:line="240" w:lineRule="auto"/>
              <w:rPr>
                <w:rFonts w:ascii="Calibri" w:hAnsi="Calibri" w:eastAsia="Calibri" w:cs="Calibri"/>
                <w:b/>
                <w:color w:val="000000"/>
                <w:sz w:val="22"/>
                <w:szCs w:val="22"/>
                <w:lang w:val="en-GB"/>
              </w:rPr>
            </w:pPr>
          </w:p>
        </w:tc>
      </w:tr>
      <w:tr w14:paraId="05C5A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400" w:type="dxa"/>
          </w:tcPr>
          <w:p w14:paraId="6102716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Patient and public involvement</w:t>
            </w:r>
          </w:p>
        </w:tc>
        <w:tc>
          <w:tcPr>
            <w:tcW w:w="800" w:type="dxa"/>
          </w:tcPr>
          <w:p w14:paraId="35C4EF4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8</w:t>
            </w:r>
          </w:p>
        </w:tc>
        <w:tc>
          <w:tcPr>
            <w:tcW w:w="7612" w:type="dxa"/>
          </w:tcPr>
          <w:p w14:paraId="5F1D655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Details of patient or public involvement in the design, conduct and reporting of the trial</w:t>
            </w:r>
          </w:p>
        </w:tc>
        <w:tc>
          <w:tcPr>
            <w:tcW w:w="3500" w:type="dxa"/>
          </w:tcPr>
          <w:p w14:paraId="736CE81D">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 (Methods: Research and development team)</w:t>
            </w:r>
          </w:p>
        </w:tc>
      </w:tr>
      <w:tr w14:paraId="1118C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400" w:type="dxa"/>
          </w:tcPr>
          <w:p w14:paraId="0B3B044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design</w:t>
            </w:r>
          </w:p>
        </w:tc>
        <w:tc>
          <w:tcPr>
            <w:tcW w:w="800" w:type="dxa"/>
          </w:tcPr>
          <w:p w14:paraId="72205B9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9</w:t>
            </w:r>
          </w:p>
        </w:tc>
        <w:tc>
          <w:tcPr>
            <w:tcW w:w="7612" w:type="dxa"/>
          </w:tcPr>
          <w:p w14:paraId="5E662EA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Description of trial design including type of trial (e.g., parallel group, crossover), allocation ratio, and framework (e.g., superiority, equivalence, non-inferiority, exploratory)</w:t>
            </w:r>
          </w:p>
        </w:tc>
        <w:tc>
          <w:tcPr>
            <w:tcW w:w="3500" w:type="dxa"/>
          </w:tcPr>
          <w:p w14:paraId="22562F96">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 (Methods: Trial design and setting)</w:t>
            </w:r>
          </w:p>
        </w:tc>
      </w:tr>
      <w:tr w14:paraId="3B0F7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14" w:hRule="atLeast"/>
        </w:trPr>
        <w:tc>
          <w:tcPr>
            <w:tcW w:w="2400" w:type="dxa"/>
          </w:tcPr>
          <w:p w14:paraId="7D9C827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Changes to trial protocol</w:t>
            </w:r>
          </w:p>
        </w:tc>
        <w:tc>
          <w:tcPr>
            <w:tcW w:w="800" w:type="dxa"/>
          </w:tcPr>
          <w:p w14:paraId="784655B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10</w:t>
            </w:r>
          </w:p>
        </w:tc>
        <w:tc>
          <w:tcPr>
            <w:tcW w:w="7612" w:type="dxa"/>
          </w:tcPr>
          <w:p w14:paraId="3D532DC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Important changes to the trial after it commenced including any outcomes or analyses that were not prespecified, with reason</w:t>
            </w:r>
          </w:p>
        </w:tc>
        <w:tc>
          <w:tcPr>
            <w:tcW w:w="3500" w:type="dxa"/>
          </w:tcPr>
          <w:p w14:paraId="58F0C5A6">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 (no changes to methods or outcomes after trial commencement)</w:t>
            </w:r>
          </w:p>
        </w:tc>
      </w:tr>
      <w:tr w14:paraId="18EEE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400" w:type="dxa"/>
          </w:tcPr>
          <w:p w14:paraId="5BFE6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setting</w:t>
            </w:r>
          </w:p>
        </w:tc>
        <w:tc>
          <w:tcPr>
            <w:tcW w:w="800" w:type="dxa"/>
          </w:tcPr>
          <w:p w14:paraId="4A046B8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11</w:t>
            </w:r>
          </w:p>
        </w:tc>
        <w:tc>
          <w:tcPr>
            <w:tcW w:w="7612" w:type="dxa"/>
          </w:tcPr>
          <w:p w14:paraId="269E109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Settings (e.g., community, hospital) and locations (e.g., countries, sites) where the trial was conducted</w:t>
            </w:r>
          </w:p>
        </w:tc>
        <w:tc>
          <w:tcPr>
            <w:tcW w:w="3500" w:type="dxa"/>
          </w:tcPr>
          <w:p w14:paraId="266DD31E">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 (Methods: Trial design and setting)</w:t>
            </w:r>
          </w:p>
        </w:tc>
      </w:tr>
      <w:tr w14:paraId="134AC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400" w:type="dxa"/>
            <w:vMerge w:val="restart"/>
            <w:vAlign w:val="center"/>
          </w:tcPr>
          <w:p w14:paraId="1FDD4F7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w:t>
            </w:r>
          </w:p>
        </w:tc>
        <w:tc>
          <w:tcPr>
            <w:tcW w:w="800" w:type="dxa"/>
          </w:tcPr>
          <w:p w14:paraId="083D8C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12a</w:t>
            </w:r>
          </w:p>
        </w:tc>
        <w:tc>
          <w:tcPr>
            <w:tcW w:w="7612" w:type="dxa"/>
          </w:tcPr>
          <w:p w14:paraId="3C4A8E8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 for participants</w:t>
            </w:r>
          </w:p>
        </w:tc>
        <w:tc>
          <w:tcPr>
            <w:tcW w:w="3500" w:type="dxa"/>
          </w:tcPr>
          <w:p w14:paraId="3128EB9A">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 (Methods: Participants)</w:t>
            </w:r>
          </w:p>
        </w:tc>
      </w:tr>
      <w:tr w14:paraId="2E198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400" w:type="dxa"/>
            <w:vMerge w:val="continue"/>
            <w:vAlign w:val="center"/>
          </w:tcPr>
          <w:p w14:paraId="37DCF479">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800" w:type="dxa"/>
          </w:tcPr>
          <w:p w14:paraId="329BA2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12b</w:t>
            </w:r>
          </w:p>
        </w:tc>
        <w:tc>
          <w:tcPr>
            <w:tcW w:w="7612" w:type="dxa"/>
          </w:tcPr>
          <w:p w14:paraId="17B5A22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applicable, eligibility criteria for sites and for individuals delivering the interventions (e.g., surgeons, physiotherapists)</w:t>
            </w:r>
          </w:p>
        </w:tc>
        <w:tc>
          <w:tcPr>
            <w:tcW w:w="3500" w:type="dxa"/>
          </w:tcPr>
          <w:p w14:paraId="6D568B99">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 (Methods: Research and development team); 10 (Methods: Blinding)</w:t>
            </w:r>
          </w:p>
        </w:tc>
      </w:tr>
      <w:tr w14:paraId="72C26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63" w:hRule="atLeast"/>
        </w:trPr>
        <w:tc>
          <w:tcPr>
            <w:tcW w:w="2400" w:type="dxa"/>
          </w:tcPr>
          <w:p w14:paraId="23EE01E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w:t>
            </w:r>
          </w:p>
        </w:tc>
        <w:tc>
          <w:tcPr>
            <w:tcW w:w="800" w:type="dxa"/>
          </w:tcPr>
          <w:p w14:paraId="7CCB218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13</w:t>
            </w:r>
          </w:p>
        </w:tc>
        <w:tc>
          <w:tcPr>
            <w:tcW w:w="7612" w:type="dxa"/>
          </w:tcPr>
          <w:p w14:paraId="17D21D8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3500" w:type="dxa"/>
          </w:tcPr>
          <w:p w14:paraId="3D06E337">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5–7 (Methods: Development of the device; Fig. 1); 9 (Methods: Interventions)</w:t>
            </w:r>
          </w:p>
        </w:tc>
      </w:tr>
      <w:tr w14:paraId="2D3DE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614" w:hRule="atLeast"/>
        </w:trPr>
        <w:tc>
          <w:tcPr>
            <w:tcW w:w="2400" w:type="dxa"/>
          </w:tcPr>
          <w:p w14:paraId="273E4E1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w:t>
            </w:r>
          </w:p>
        </w:tc>
        <w:tc>
          <w:tcPr>
            <w:tcW w:w="800" w:type="dxa"/>
          </w:tcPr>
          <w:p w14:paraId="1C47886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14</w:t>
            </w:r>
          </w:p>
          <w:p w14:paraId="7F479C8B">
            <w:pPr>
              <w:spacing w:line="240" w:lineRule="auto"/>
              <w:jc w:val="center"/>
              <w:rPr>
                <w:rFonts w:ascii="Calibri" w:hAnsi="Calibri" w:eastAsia="Calibri" w:cs="Calibri"/>
                <w:color w:val="000000"/>
                <w:sz w:val="22"/>
                <w:szCs w:val="22"/>
                <w:lang w:val="en-GB"/>
              </w:rPr>
            </w:pPr>
          </w:p>
        </w:tc>
        <w:tc>
          <w:tcPr>
            <w:tcW w:w="7612" w:type="dxa"/>
          </w:tcPr>
          <w:p w14:paraId="794D803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3500" w:type="dxa"/>
          </w:tcPr>
          <w:p w14:paraId="6FE0043A">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10–11 (Methods: Outcome measures)</w:t>
            </w:r>
          </w:p>
        </w:tc>
      </w:tr>
      <w:tr w14:paraId="58D12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339" w:hRule="atLeast"/>
        </w:trPr>
        <w:tc>
          <w:tcPr>
            <w:tcW w:w="2400" w:type="dxa"/>
          </w:tcPr>
          <w:p w14:paraId="3A9C250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800" w:type="dxa"/>
          </w:tcPr>
          <w:p w14:paraId="1344FF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15</w:t>
            </w:r>
          </w:p>
        </w:tc>
        <w:tc>
          <w:tcPr>
            <w:tcW w:w="7612" w:type="dxa"/>
          </w:tcPr>
          <w:p w14:paraId="591013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harms were defined and assessed (e.g., systematically, non-systematically)</w:t>
            </w:r>
          </w:p>
        </w:tc>
        <w:tc>
          <w:tcPr>
            <w:tcW w:w="3500" w:type="dxa"/>
          </w:tcPr>
          <w:p w14:paraId="5D66BF02">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 (Methods: Adverse events)</w:t>
            </w:r>
          </w:p>
        </w:tc>
      </w:tr>
      <w:tr w14:paraId="62973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400" w:type="dxa"/>
            <w:vMerge w:val="restart"/>
          </w:tcPr>
          <w:p w14:paraId="6A7FA31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Sample size</w:t>
            </w:r>
          </w:p>
        </w:tc>
        <w:tc>
          <w:tcPr>
            <w:tcW w:w="800" w:type="dxa"/>
          </w:tcPr>
          <w:p w14:paraId="3D9FEE9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16a</w:t>
            </w:r>
          </w:p>
        </w:tc>
        <w:tc>
          <w:tcPr>
            <w:tcW w:w="7612" w:type="dxa"/>
          </w:tcPr>
          <w:p w14:paraId="3B91C74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sample size was determined, including all assumptions supporting the sample size calculation</w:t>
            </w:r>
          </w:p>
        </w:tc>
        <w:tc>
          <w:tcPr>
            <w:tcW w:w="3500" w:type="dxa"/>
          </w:tcPr>
          <w:p w14:paraId="180AD325">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 (Methods: Sample size)</w:t>
            </w:r>
          </w:p>
        </w:tc>
      </w:tr>
      <w:tr w14:paraId="36560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400" w:type="dxa"/>
            <w:vMerge w:val="continue"/>
          </w:tcPr>
          <w:p w14:paraId="5EE3997D">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800" w:type="dxa"/>
          </w:tcPr>
          <w:p w14:paraId="5C8443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16b</w:t>
            </w:r>
          </w:p>
        </w:tc>
        <w:tc>
          <w:tcPr>
            <w:tcW w:w="7612" w:type="dxa"/>
          </w:tcPr>
          <w:p w14:paraId="5929DED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Explanation of any interim analyses and stopping guidelines</w:t>
            </w:r>
          </w:p>
        </w:tc>
        <w:tc>
          <w:tcPr>
            <w:tcW w:w="3500" w:type="dxa"/>
          </w:tcPr>
          <w:p w14:paraId="74EBB045">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 (no interim analysis)</w:t>
            </w:r>
          </w:p>
        </w:tc>
      </w:tr>
      <w:tr w14:paraId="7CF31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400" w:type="dxa"/>
          </w:tcPr>
          <w:p w14:paraId="1D2AE3F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Randomisation:</w:t>
            </w:r>
          </w:p>
        </w:tc>
        <w:tc>
          <w:tcPr>
            <w:tcW w:w="800" w:type="dxa"/>
          </w:tcPr>
          <w:p w14:paraId="11796DC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7612" w:type="dxa"/>
          </w:tcPr>
          <w:p w14:paraId="7A75315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3500" w:type="dxa"/>
          </w:tcPr>
          <w:p w14:paraId="036862A2">
            <w:pPr>
              <w:spacing w:line="240" w:lineRule="auto"/>
              <w:rPr>
                <w:rFonts w:ascii="Calibri" w:hAnsi="Calibri" w:eastAsia="Calibri" w:cs="Calibri"/>
                <w:color w:val="000000"/>
                <w:sz w:val="22"/>
                <w:szCs w:val="22"/>
                <w:lang w:val="en-GB"/>
              </w:rPr>
            </w:pPr>
          </w:p>
        </w:tc>
      </w:tr>
      <w:tr w14:paraId="4537F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6" w:hRule="atLeast"/>
        </w:trPr>
        <w:tc>
          <w:tcPr>
            <w:tcW w:w="2400" w:type="dxa"/>
            <w:vMerge w:val="restart"/>
          </w:tcPr>
          <w:p w14:paraId="15B2BB96">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Sequence generation</w:t>
            </w:r>
          </w:p>
        </w:tc>
        <w:tc>
          <w:tcPr>
            <w:tcW w:w="800" w:type="dxa"/>
          </w:tcPr>
          <w:p w14:paraId="04D32F8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17a</w:t>
            </w:r>
          </w:p>
        </w:tc>
        <w:tc>
          <w:tcPr>
            <w:tcW w:w="7612" w:type="dxa"/>
          </w:tcPr>
          <w:p w14:paraId="34D407B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Who generated the random allocation sequence and the method used</w:t>
            </w:r>
          </w:p>
        </w:tc>
        <w:tc>
          <w:tcPr>
            <w:tcW w:w="3500" w:type="dxa"/>
          </w:tcPr>
          <w:p w14:paraId="50468870">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 (Methods: Randomization and allocation concealment)</w:t>
            </w:r>
          </w:p>
        </w:tc>
      </w:tr>
      <w:tr w14:paraId="14EC8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5" w:hRule="atLeast"/>
        </w:trPr>
        <w:tc>
          <w:tcPr>
            <w:tcW w:w="2400" w:type="dxa"/>
            <w:vMerge w:val="continue"/>
          </w:tcPr>
          <w:p w14:paraId="0F443E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800" w:type="dxa"/>
          </w:tcPr>
          <w:p w14:paraId="482760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17b</w:t>
            </w:r>
          </w:p>
        </w:tc>
        <w:tc>
          <w:tcPr>
            <w:tcW w:w="7612" w:type="dxa"/>
          </w:tcPr>
          <w:p w14:paraId="29B4B76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Type of randomisation and details of any restriction (e.g., stratification, blocking and block size)</w:t>
            </w:r>
          </w:p>
        </w:tc>
        <w:tc>
          <w:tcPr>
            <w:tcW w:w="3500" w:type="dxa"/>
          </w:tcPr>
          <w:p w14:paraId="6BFED71E">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 (Methods: Randomization and allocation concealment)</w:t>
            </w:r>
          </w:p>
        </w:tc>
      </w:tr>
      <w:tr w14:paraId="30B7C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44" w:hRule="atLeast"/>
        </w:trPr>
        <w:tc>
          <w:tcPr>
            <w:tcW w:w="2400" w:type="dxa"/>
          </w:tcPr>
          <w:p w14:paraId="50619AAE">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Allocation concealment mechanism</w:t>
            </w:r>
          </w:p>
        </w:tc>
        <w:tc>
          <w:tcPr>
            <w:tcW w:w="800" w:type="dxa"/>
          </w:tcPr>
          <w:p w14:paraId="4B77DA4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18</w:t>
            </w:r>
          </w:p>
        </w:tc>
        <w:tc>
          <w:tcPr>
            <w:tcW w:w="7612" w:type="dxa"/>
          </w:tcPr>
          <w:p w14:paraId="4FFCCFA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3500" w:type="dxa"/>
          </w:tcPr>
          <w:p w14:paraId="61EC8B0E">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 (Methods: Randomization and allocation concealment)</w:t>
            </w:r>
          </w:p>
        </w:tc>
      </w:tr>
      <w:tr w14:paraId="68535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58" w:hRule="atLeast"/>
        </w:trPr>
        <w:tc>
          <w:tcPr>
            <w:tcW w:w="2400" w:type="dxa"/>
          </w:tcPr>
          <w:p w14:paraId="1669B1E1">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Implementation</w:t>
            </w:r>
          </w:p>
        </w:tc>
        <w:tc>
          <w:tcPr>
            <w:tcW w:w="800" w:type="dxa"/>
          </w:tcPr>
          <w:p w14:paraId="6FD9CBB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19</w:t>
            </w:r>
          </w:p>
        </w:tc>
        <w:tc>
          <w:tcPr>
            <w:tcW w:w="7612" w:type="dxa"/>
          </w:tcPr>
          <w:p w14:paraId="1168460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Whether the personnel who enrolled and those who assigned participants to the interventions had access to the random allocation sequence </w:t>
            </w:r>
          </w:p>
        </w:tc>
        <w:tc>
          <w:tcPr>
            <w:tcW w:w="3500" w:type="dxa"/>
          </w:tcPr>
          <w:p w14:paraId="6554DB11">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 (Methods: Randomization and allocation concealment)</w:t>
            </w:r>
          </w:p>
        </w:tc>
      </w:tr>
      <w:tr w14:paraId="14AA8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1" w:hRule="atLeast"/>
        </w:trPr>
        <w:tc>
          <w:tcPr>
            <w:tcW w:w="2400" w:type="dxa"/>
            <w:vMerge w:val="restart"/>
          </w:tcPr>
          <w:p w14:paraId="6035012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Blinding</w:t>
            </w:r>
          </w:p>
        </w:tc>
        <w:tc>
          <w:tcPr>
            <w:tcW w:w="800" w:type="dxa"/>
          </w:tcPr>
          <w:p w14:paraId="6C79645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20a</w:t>
            </w:r>
          </w:p>
        </w:tc>
        <w:tc>
          <w:tcPr>
            <w:tcW w:w="7612" w:type="dxa"/>
          </w:tcPr>
          <w:p w14:paraId="080A780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Who was blinded after assignment to interventions (e.g., participants, care providers, outcome assessors, data analysts) </w:t>
            </w:r>
          </w:p>
        </w:tc>
        <w:tc>
          <w:tcPr>
            <w:tcW w:w="3500" w:type="dxa"/>
          </w:tcPr>
          <w:p w14:paraId="5326CB7A">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10 (Methods: Blinding)</w:t>
            </w:r>
          </w:p>
        </w:tc>
      </w:tr>
      <w:tr w14:paraId="19571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4" w:hRule="atLeast"/>
        </w:trPr>
        <w:tc>
          <w:tcPr>
            <w:tcW w:w="2400" w:type="dxa"/>
            <w:vMerge w:val="continue"/>
          </w:tcPr>
          <w:p w14:paraId="6DDD68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800" w:type="dxa"/>
          </w:tcPr>
          <w:p w14:paraId="6207EAC2">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20b</w:t>
            </w:r>
          </w:p>
        </w:tc>
        <w:tc>
          <w:tcPr>
            <w:tcW w:w="7612" w:type="dxa"/>
          </w:tcPr>
          <w:p w14:paraId="64C5F50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blinded, how blinding was achieved and description of the similarity of interventions</w:t>
            </w:r>
          </w:p>
        </w:tc>
        <w:tc>
          <w:tcPr>
            <w:tcW w:w="3500" w:type="dxa"/>
          </w:tcPr>
          <w:p w14:paraId="795AB5B0">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 (open-label trial; see Methods: Blinding, p. 10)</w:t>
            </w:r>
          </w:p>
        </w:tc>
      </w:tr>
      <w:tr w14:paraId="039E9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400" w:type="dxa"/>
            <w:vMerge w:val="restart"/>
          </w:tcPr>
          <w:p w14:paraId="3E5EB1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w:t>
            </w:r>
          </w:p>
        </w:tc>
        <w:tc>
          <w:tcPr>
            <w:tcW w:w="800" w:type="dxa"/>
          </w:tcPr>
          <w:p w14:paraId="51D15D6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21a</w:t>
            </w:r>
          </w:p>
        </w:tc>
        <w:tc>
          <w:tcPr>
            <w:tcW w:w="7612" w:type="dxa"/>
          </w:tcPr>
          <w:p w14:paraId="67FA2D0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 used to compare groups for primary and secondary outcomes, including harms</w:t>
            </w:r>
          </w:p>
        </w:tc>
        <w:tc>
          <w:tcPr>
            <w:tcW w:w="3500" w:type="dxa"/>
          </w:tcPr>
          <w:p w14:paraId="1C79083E">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11–12 (Methods: Statistical analysis)</w:t>
            </w:r>
          </w:p>
        </w:tc>
      </w:tr>
      <w:tr w14:paraId="06CA6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400" w:type="dxa"/>
            <w:vMerge w:val="continue"/>
          </w:tcPr>
          <w:p w14:paraId="7629AC0E">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800" w:type="dxa"/>
          </w:tcPr>
          <w:p w14:paraId="37BA842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21b</w:t>
            </w:r>
          </w:p>
        </w:tc>
        <w:tc>
          <w:tcPr>
            <w:tcW w:w="7612" w:type="dxa"/>
          </w:tcPr>
          <w:p w14:paraId="096BC75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Definition of who is included in each analysis (e.g., all randomised participants), and in which group</w:t>
            </w:r>
          </w:p>
        </w:tc>
        <w:tc>
          <w:tcPr>
            <w:tcW w:w="3500" w:type="dxa"/>
          </w:tcPr>
          <w:p w14:paraId="6622E359">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12 (Methods: Statistical analysis)</w:t>
            </w:r>
          </w:p>
        </w:tc>
      </w:tr>
      <w:tr w14:paraId="35065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400" w:type="dxa"/>
            <w:vMerge w:val="continue"/>
          </w:tcPr>
          <w:p w14:paraId="1EBB0B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800" w:type="dxa"/>
          </w:tcPr>
          <w:p w14:paraId="08B0EF0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21c</w:t>
            </w:r>
          </w:p>
        </w:tc>
        <w:tc>
          <w:tcPr>
            <w:tcW w:w="7612" w:type="dxa"/>
          </w:tcPr>
          <w:p w14:paraId="06CE57A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missing data were handled in the analysis</w:t>
            </w:r>
          </w:p>
        </w:tc>
        <w:tc>
          <w:tcPr>
            <w:tcW w:w="3500" w:type="dxa"/>
          </w:tcPr>
          <w:p w14:paraId="295B5602">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12 (Methods: Statistical analysis); 12–13 (Results: Participant flow)</w:t>
            </w:r>
          </w:p>
        </w:tc>
      </w:tr>
      <w:tr w14:paraId="1498B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7" w:hRule="atLeast"/>
        </w:trPr>
        <w:tc>
          <w:tcPr>
            <w:tcW w:w="2400" w:type="dxa"/>
            <w:vMerge w:val="continue"/>
          </w:tcPr>
          <w:p w14:paraId="507413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800" w:type="dxa"/>
          </w:tcPr>
          <w:p w14:paraId="1018E21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21d</w:t>
            </w:r>
          </w:p>
        </w:tc>
        <w:tc>
          <w:tcPr>
            <w:tcW w:w="7612" w:type="dxa"/>
          </w:tcPr>
          <w:p w14:paraId="25A70C8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for any additional analyses (e.g., subgroup and sensitivity analyses), distinguishing prespecified from post-hoc</w:t>
            </w:r>
          </w:p>
        </w:tc>
        <w:tc>
          <w:tcPr>
            <w:tcW w:w="3500" w:type="dxa"/>
          </w:tcPr>
          <w:p w14:paraId="710D1F83">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 (no subgroup or sensitivity analyses)</w:t>
            </w:r>
          </w:p>
        </w:tc>
      </w:tr>
      <w:tr w14:paraId="3F41C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0812" w:type="dxa"/>
            <w:gridSpan w:val="3"/>
            <w:shd w:val="clear" w:color="auto" w:fill="BDD7EE"/>
            <w:vAlign w:val="bottom"/>
          </w:tcPr>
          <w:p w14:paraId="42D9F967">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Results</w:t>
            </w:r>
          </w:p>
        </w:tc>
        <w:tc>
          <w:tcPr>
            <w:tcW w:w="3500" w:type="dxa"/>
            <w:shd w:val="clear" w:color="auto" w:fill="C6D9F0" w:themeFill="text2" w:themeFillTint="33"/>
          </w:tcPr>
          <w:p w14:paraId="6166F990">
            <w:pPr>
              <w:spacing w:line="240" w:lineRule="auto"/>
              <w:rPr>
                <w:rFonts w:ascii="Calibri" w:hAnsi="Calibri" w:eastAsia="Calibri" w:cs="Calibri"/>
                <w:b/>
                <w:color w:val="000000"/>
                <w:sz w:val="22"/>
                <w:szCs w:val="22"/>
                <w:lang w:val="en-GB"/>
              </w:rPr>
            </w:pPr>
          </w:p>
        </w:tc>
      </w:tr>
      <w:tr w14:paraId="510F8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09" w:hRule="atLeast"/>
        </w:trPr>
        <w:tc>
          <w:tcPr>
            <w:tcW w:w="2400" w:type="dxa"/>
            <w:vMerge w:val="restart"/>
          </w:tcPr>
          <w:p w14:paraId="5A5782B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Participant flow, including flow diagram</w:t>
            </w:r>
          </w:p>
        </w:tc>
        <w:tc>
          <w:tcPr>
            <w:tcW w:w="800" w:type="dxa"/>
          </w:tcPr>
          <w:p w14:paraId="6A3D7D9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22a</w:t>
            </w:r>
          </w:p>
        </w:tc>
        <w:tc>
          <w:tcPr>
            <w:tcW w:w="7612" w:type="dxa"/>
          </w:tcPr>
          <w:p w14:paraId="5407FA0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the numbers of participants who were randomly assigned, received intended intervention, and were analysed for the primary outcome</w:t>
            </w:r>
          </w:p>
        </w:tc>
        <w:tc>
          <w:tcPr>
            <w:tcW w:w="3500" w:type="dxa"/>
          </w:tcPr>
          <w:p w14:paraId="5DEF8ECA">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12–13 (Results: Participant flow; Fig. 2)</w:t>
            </w:r>
          </w:p>
        </w:tc>
      </w:tr>
      <w:tr w14:paraId="2FE65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89" w:hRule="atLeast"/>
        </w:trPr>
        <w:tc>
          <w:tcPr>
            <w:tcW w:w="2400" w:type="dxa"/>
            <w:vMerge w:val="continue"/>
          </w:tcPr>
          <w:p w14:paraId="5CE6010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800" w:type="dxa"/>
          </w:tcPr>
          <w:p w14:paraId="7EC31A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22b</w:t>
            </w:r>
          </w:p>
        </w:tc>
        <w:tc>
          <w:tcPr>
            <w:tcW w:w="7612" w:type="dxa"/>
          </w:tcPr>
          <w:p w14:paraId="1DDC84F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losses and exclusions after randomisation, together with reasons</w:t>
            </w:r>
          </w:p>
        </w:tc>
        <w:tc>
          <w:tcPr>
            <w:tcW w:w="3500" w:type="dxa"/>
          </w:tcPr>
          <w:p w14:paraId="71AA61D4">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12–13 (Results: Participant flow; Fig. 2)</w:t>
            </w:r>
          </w:p>
        </w:tc>
      </w:tr>
      <w:tr w14:paraId="59CD0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1" w:hRule="atLeast"/>
        </w:trPr>
        <w:tc>
          <w:tcPr>
            <w:tcW w:w="2400" w:type="dxa"/>
            <w:vMerge w:val="restart"/>
          </w:tcPr>
          <w:p w14:paraId="333D728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Recruitment</w:t>
            </w:r>
          </w:p>
        </w:tc>
        <w:tc>
          <w:tcPr>
            <w:tcW w:w="800" w:type="dxa"/>
          </w:tcPr>
          <w:p w14:paraId="575F7DFB">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23a</w:t>
            </w:r>
          </w:p>
        </w:tc>
        <w:tc>
          <w:tcPr>
            <w:tcW w:w="7612" w:type="dxa"/>
          </w:tcPr>
          <w:p w14:paraId="0570F75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Dates defining the periods of recruitment and follow-up for outcomes of benefits and harms</w:t>
            </w:r>
          </w:p>
        </w:tc>
        <w:tc>
          <w:tcPr>
            <w:tcW w:w="3500" w:type="dxa"/>
          </w:tcPr>
          <w:p w14:paraId="0798090E">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 (Methods: Trial design and setting)</w:t>
            </w:r>
          </w:p>
        </w:tc>
      </w:tr>
      <w:tr w14:paraId="09AF0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400" w:type="dxa"/>
            <w:vMerge w:val="continue"/>
          </w:tcPr>
          <w:p w14:paraId="2ADD839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800" w:type="dxa"/>
          </w:tcPr>
          <w:p w14:paraId="0F0DBAC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23b</w:t>
            </w:r>
          </w:p>
        </w:tc>
        <w:tc>
          <w:tcPr>
            <w:tcW w:w="7612" w:type="dxa"/>
          </w:tcPr>
          <w:p w14:paraId="1CC3415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relevant, why the trial ended or was stopped</w:t>
            </w:r>
          </w:p>
        </w:tc>
        <w:tc>
          <w:tcPr>
            <w:tcW w:w="3500" w:type="dxa"/>
          </w:tcPr>
          <w:p w14:paraId="105B15A1">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w:t>
            </w:r>
          </w:p>
        </w:tc>
      </w:tr>
      <w:tr w14:paraId="6606A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41" w:hRule="atLeast"/>
        </w:trPr>
        <w:tc>
          <w:tcPr>
            <w:tcW w:w="2400" w:type="dxa"/>
            <w:vMerge w:val="restart"/>
          </w:tcPr>
          <w:p w14:paraId="1B3138D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delivery</w:t>
            </w:r>
          </w:p>
        </w:tc>
        <w:tc>
          <w:tcPr>
            <w:tcW w:w="800" w:type="dxa"/>
          </w:tcPr>
          <w:p w14:paraId="4A5F7AF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24a</w:t>
            </w:r>
          </w:p>
        </w:tc>
        <w:tc>
          <w:tcPr>
            <w:tcW w:w="7612" w:type="dxa"/>
          </w:tcPr>
          <w:p w14:paraId="4BFDE352">
            <w:pPr>
              <w:spacing w:line="240" w:lineRule="auto"/>
              <w:rPr>
                <w:rFonts w:hint="eastAsia" w:ascii="Calibri" w:hAnsi="Calibri" w:eastAsia="宋体" w:cs="Calibri"/>
                <w:color w:val="000000"/>
                <w:sz w:val="22"/>
                <w:szCs w:val="22"/>
                <w:lang w:val="en-US" w:eastAsia="zh-CN"/>
              </w:rPr>
            </w:pPr>
            <w:r>
              <w:rPr>
                <w:rFonts w:ascii="Calibri" w:hAnsi="Calibri" w:eastAsia="Calibri" w:cs="Calibri"/>
                <w:color w:val="000000"/>
                <w:sz w:val="22"/>
                <w:szCs w:val="22"/>
                <w:lang w:val="en-GB"/>
              </w:rPr>
              <w:t xml:space="preserve">Intervention and comparator as they were actually administered (e.g., where appropriate, who delivered the intervention/comparator, how participants adhered, whether they were delivered as intended [fidelity]) </w:t>
            </w:r>
          </w:p>
        </w:tc>
        <w:tc>
          <w:tcPr>
            <w:tcW w:w="3500" w:type="dxa"/>
          </w:tcPr>
          <w:p w14:paraId="33641150">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 (Methods: Interventions); 12–13 (Results: Participant flow; Fig. 2)</w:t>
            </w:r>
          </w:p>
        </w:tc>
      </w:tr>
      <w:tr w14:paraId="03393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400" w:type="dxa"/>
            <w:vMerge w:val="continue"/>
          </w:tcPr>
          <w:p w14:paraId="29860036">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800" w:type="dxa"/>
          </w:tcPr>
          <w:p w14:paraId="14C2CFE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24b</w:t>
            </w:r>
          </w:p>
        </w:tc>
        <w:tc>
          <w:tcPr>
            <w:tcW w:w="7612" w:type="dxa"/>
          </w:tcPr>
          <w:p w14:paraId="10AE211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Concomitant care received during the trial for each group</w:t>
            </w:r>
          </w:p>
        </w:tc>
        <w:tc>
          <w:tcPr>
            <w:tcW w:w="3500" w:type="dxa"/>
          </w:tcPr>
          <w:p w14:paraId="0A4B9B49">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 (Methods: Interventions)</w:t>
            </w:r>
          </w:p>
        </w:tc>
      </w:tr>
      <w:tr w14:paraId="63F6D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400" w:type="dxa"/>
          </w:tcPr>
          <w:p w14:paraId="4482000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Baseline data</w:t>
            </w:r>
          </w:p>
        </w:tc>
        <w:tc>
          <w:tcPr>
            <w:tcW w:w="800" w:type="dxa"/>
          </w:tcPr>
          <w:p w14:paraId="4A489CE9">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25</w:t>
            </w:r>
          </w:p>
        </w:tc>
        <w:tc>
          <w:tcPr>
            <w:tcW w:w="7612" w:type="dxa"/>
          </w:tcPr>
          <w:p w14:paraId="5EB86B3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 table showing baseline demographic and clinical characteristics for each group</w:t>
            </w:r>
          </w:p>
        </w:tc>
        <w:tc>
          <w:tcPr>
            <w:tcW w:w="3500" w:type="dxa"/>
          </w:tcPr>
          <w:p w14:paraId="01C9A6AC">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13 (Results: Table 1)</w:t>
            </w:r>
          </w:p>
        </w:tc>
      </w:tr>
      <w:tr w14:paraId="7EA4C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400" w:type="dxa"/>
          </w:tcPr>
          <w:p w14:paraId="10F375E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Numbers analysed, </w:t>
            </w:r>
          </w:p>
          <w:p w14:paraId="66FE5FD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 and estimation</w:t>
            </w:r>
          </w:p>
        </w:tc>
        <w:tc>
          <w:tcPr>
            <w:tcW w:w="800" w:type="dxa"/>
          </w:tcPr>
          <w:p w14:paraId="47AF241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26</w:t>
            </w:r>
          </w:p>
        </w:tc>
        <w:tc>
          <w:tcPr>
            <w:tcW w:w="7612" w:type="dxa"/>
          </w:tcPr>
          <w:p w14:paraId="2508DC5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For each primary and secondary outcome, by group: </w:t>
            </w:r>
          </w:p>
          <w:p w14:paraId="5FFA398B">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the number of participants included in the analysis </w:t>
            </w:r>
          </w:p>
          <w:p w14:paraId="1D7E62F7">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the number of participants with available data at the outcome time point</w:t>
            </w:r>
          </w:p>
          <w:p w14:paraId="14A74C90">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result for each group, and the estimated effect size and its precision (such as 95% confidence interval) </w:t>
            </w:r>
          </w:p>
          <w:p w14:paraId="7130F7F1">
            <w:pPr>
              <w:numPr>
                <w:ilvl w:val="0"/>
                <w:numId w:val="1"/>
              </w:numPr>
              <w:spacing w:after="160" w:line="240" w:lineRule="auto"/>
              <w:rPr>
                <w:color w:val="000000"/>
                <w:sz w:val="22"/>
                <w:szCs w:val="22"/>
                <w:lang w:val="en-GB"/>
              </w:rPr>
            </w:pPr>
            <w:r>
              <w:rPr>
                <w:rFonts w:ascii="Calibri" w:hAnsi="Calibri" w:eastAsia="Calibri" w:cs="Calibri"/>
                <w:color w:val="000000"/>
                <w:sz w:val="22"/>
                <w:szCs w:val="22"/>
                <w:lang w:val="en-GB"/>
              </w:rPr>
              <w:t xml:space="preserve">for binary outcomes, presentation of both absolute and relative effect size </w:t>
            </w:r>
          </w:p>
        </w:tc>
        <w:tc>
          <w:tcPr>
            <w:tcW w:w="3500" w:type="dxa"/>
          </w:tcPr>
          <w:p w14:paraId="50DA64D5">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13–15 (Results; Tables 2 and 3)</w:t>
            </w:r>
          </w:p>
        </w:tc>
      </w:tr>
      <w:tr w14:paraId="313A3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04" w:hRule="atLeast"/>
        </w:trPr>
        <w:tc>
          <w:tcPr>
            <w:tcW w:w="2400" w:type="dxa"/>
          </w:tcPr>
          <w:p w14:paraId="1316CD2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800" w:type="dxa"/>
          </w:tcPr>
          <w:p w14:paraId="6CC8A50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27</w:t>
            </w:r>
          </w:p>
        </w:tc>
        <w:tc>
          <w:tcPr>
            <w:tcW w:w="7612" w:type="dxa"/>
          </w:tcPr>
          <w:p w14:paraId="687024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All harms or unintended events in each group </w:t>
            </w:r>
          </w:p>
        </w:tc>
        <w:tc>
          <w:tcPr>
            <w:tcW w:w="3500" w:type="dxa"/>
          </w:tcPr>
          <w:p w14:paraId="72B82CF4">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14 (Results: Primary outcome; Local skin irritation)</w:t>
            </w:r>
          </w:p>
        </w:tc>
      </w:tr>
      <w:tr w14:paraId="16C77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400" w:type="dxa"/>
          </w:tcPr>
          <w:p w14:paraId="216037D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Ancillary analyses</w:t>
            </w:r>
          </w:p>
        </w:tc>
        <w:tc>
          <w:tcPr>
            <w:tcW w:w="800" w:type="dxa"/>
          </w:tcPr>
          <w:p w14:paraId="034AD55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28</w:t>
            </w:r>
          </w:p>
        </w:tc>
        <w:tc>
          <w:tcPr>
            <w:tcW w:w="7612" w:type="dxa"/>
          </w:tcPr>
          <w:p w14:paraId="68E7918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Any other analyses performed, including subgroup and sensitivity analyses, distinguishing pre-specified from post-hoc</w:t>
            </w:r>
          </w:p>
        </w:tc>
        <w:tc>
          <w:tcPr>
            <w:tcW w:w="3500" w:type="dxa"/>
          </w:tcPr>
          <w:p w14:paraId="3457C6CE">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 (no ancillary analyses)</w:t>
            </w:r>
          </w:p>
        </w:tc>
      </w:tr>
      <w:tr w14:paraId="17517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0812" w:type="dxa"/>
            <w:gridSpan w:val="3"/>
            <w:shd w:val="clear" w:color="auto" w:fill="BDD7EE"/>
          </w:tcPr>
          <w:p w14:paraId="7D072CE0">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Discussion</w:t>
            </w:r>
          </w:p>
        </w:tc>
        <w:tc>
          <w:tcPr>
            <w:tcW w:w="3500" w:type="dxa"/>
            <w:shd w:val="clear" w:color="auto" w:fill="C6D9F0" w:themeFill="text2" w:themeFillTint="33"/>
          </w:tcPr>
          <w:p w14:paraId="13D65609">
            <w:pPr>
              <w:spacing w:line="240" w:lineRule="auto"/>
              <w:rPr>
                <w:rFonts w:ascii="Calibri" w:hAnsi="Calibri" w:eastAsia="Calibri" w:cs="Calibri"/>
                <w:b/>
                <w:color w:val="000000"/>
                <w:sz w:val="22"/>
                <w:szCs w:val="22"/>
                <w:lang w:val="en-GB"/>
              </w:rPr>
            </w:pPr>
          </w:p>
        </w:tc>
      </w:tr>
      <w:tr w14:paraId="56AC4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400" w:type="dxa"/>
          </w:tcPr>
          <w:p w14:paraId="2BDFB8E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w:t>
            </w:r>
          </w:p>
        </w:tc>
        <w:tc>
          <w:tcPr>
            <w:tcW w:w="800" w:type="dxa"/>
          </w:tcPr>
          <w:p w14:paraId="40C527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29</w:t>
            </w:r>
          </w:p>
        </w:tc>
        <w:tc>
          <w:tcPr>
            <w:tcW w:w="7612" w:type="dxa"/>
          </w:tcPr>
          <w:p w14:paraId="6689FC9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 consistent with results, balancing benefits and harms, and considering other relevant evidence</w:t>
            </w:r>
          </w:p>
        </w:tc>
        <w:tc>
          <w:tcPr>
            <w:tcW w:w="3500" w:type="dxa"/>
          </w:tcPr>
          <w:p w14:paraId="028813E5">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15–19 (Discussion)</w:t>
            </w:r>
          </w:p>
        </w:tc>
      </w:tr>
      <w:tr w14:paraId="29285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400" w:type="dxa"/>
          </w:tcPr>
          <w:p w14:paraId="2A291D8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Limitations</w:t>
            </w:r>
          </w:p>
        </w:tc>
        <w:tc>
          <w:tcPr>
            <w:tcW w:w="800" w:type="dxa"/>
          </w:tcPr>
          <w:p w14:paraId="065DB4E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30</w:t>
            </w:r>
          </w:p>
        </w:tc>
        <w:tc>
          <w:tcPr>
            <w:tcW w:w="7612" w:type="dxa"/>
          </w:tcPr>
          <w:p w14:paraId="53F2EAD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limitations, addressing sources of potential bias, imprecision, generalisability, and, if relevant, multiplicity of analyses</w:t>
            </w:r>
          </w:p>
        </w:tc>
        <w:tc>
          <w:tcPr>
            <w:tcW w:w="3500" w:type="dxa"/>
          </w:tcPr>
          <w:p w14:paraId="16436A34">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18–19 (Discussion: Strengths and limitations)</w:t>
            </w:r>
            <w:bookmarkStart w:id="0" w:name="_GoBack"/>
            <w:bookmarkEnd w:id="0"/>
          </w:p>
        </w:tc>
      </w:tr>
    </w:tbl>
    <w:p w14:paraId="306C2FFA">
      <w:pPr>
        <w:spacing w:line="240" w:lineRule="auto"/>
        <w:rPr>
          <w:rFonts w:ascii="Calibri" w:hAnsi="Calibri" w:cs="Calibri"/>
          <w:b/>
          <w:sz w:val="22"/>
          <w:szCs w:val="22"/>
          <w:lang w:val="en-GB"/>
        </w:rPr>
      </w:pPr>
    </w:p>
    <w:p w14:paraId="7222F6F7">
      <w:pPr>
        <w:pStyle w:val="39"/>
        <w:tabs>
          <w:tab w:val="left" w:pos="4830"/>
        </w:tabs>
        <w:spacing w:line="240" w:lineRule="auto"/>
        <w:rPr>
          <w:rFonts w:ascii="Calibri" w:hAnsi="Calibri" w:cs="Calibri"/>
          <w:sz w:val="20"/>
        </w:rPr>
      </w:pPr>
      <w:r>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r>
        <w:fldChar w:fldCharType="begin"/>
      </w:r>
      <w:r>
        <w:instrText xml:space="preserve"> HYPERLINK "http://www.consort-spirit.org" </w:instrText>
      </w:r>
      <w:r>
        <w:fldChar w:fldCharType="separate"/>
      </w:r>
      <w:r>
        <w:rPr>
          <w:rStyle w:val="20"/>
          <w:rFonts w:ascii="Calibri" w:hAnsi="Calibri" w:cs="Calibri"/>
          <w:color w:val="0070C0"/>
          <w:sz w:val="20"/>
        </w:rPr>
        <w:t>www.consort-spirit.org</w:t>
      </w:r>
      <w:r>
        <w:rPr>
          <w:rStyle w:val="20"/>
          <w:rFonts w:ascii="Calibri" w:hAnsi="Calibri" w:cs="Calibri"/>
          <w:color w:val="0070C0"/>
          <w:sz w:val="20"/>
        </w:rPr>
        <w:fldChar w:fldCharType="end"/>
      </w:r>
      <w:r>
        <w:rPr>
          <w:rFonts w:ascii="Calibri" w:hAnsi="Calibri" w:cs="Calibri"/>
          <w:color w:val="0070C0"/>
          <w:sz w:val="20"/>
        </w:rPr>
        <w:t>.</w:t>
      </w:r>
    </w:p>
    <w:p w14:paraId="42695FFC">
      <w:pPr>
        <w:spacing w:line="240" w:lineRule="auto"/>
        <w:rPr>
          <w:rFonts w:ascii="Calibri" w:hAnsi="Calibri" w:cs="Calibri"/>
          <w:b/>
          <w:sz w:val="20"/>
          <w:szCs w:val="20"/>
          <w:lang w:val="en-GB"/>
        </w:rPr>
      </w:pPr>
    </w:p>
    <w:p w14:paraId="510D033D">
      <w:pPr>
        <w:pStyle w:val="39"/>
        <w:tabs>
          <w:tab w:val="left" w:pos="4830"/>
        </w:tabs>
        <w:spacing w:line="240" w:lineRule="auto"/>
        <w:rPr>
          <w:rFonts w:ascii="Calibri" w:hAnsi="Calibri" w:cs="Calibri"/>
          <w:sz w:val="20"/>
        </w:rPr>
      </w:pPr>
      <w:r>
        <w:rPr>
          <w:rFonts w:ascii="Calibri" w:hAnsi="Calibri" w:cs="Calibri"/>
          <w:sz w:val="20"/>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20"/>
          <w:rFonts w:ascii="Calibri" w:hAnsi="Calibri" w:cs="Calibri"/>
          <w:color w:val="0070C0"/>
          <w:sz w:val="20"/>
        </w:rPr>
        <w:t>https://dx.doi.org/10.1136/bmj-2024-081123</w:t>
      </w:r>
      <w:r>
        <w:rPr>
          <w:rStyle w:val="20"/>
          <w:rFonts w:ascii="Calibri" w:hAnsi="Calibri" w:cs="Calibri"/>
          <w:color w:val="0070C0"/>
          <w:sz w:val="20"/>
        </w:rPr>
        <w:fldChar w:fldCharType="end"/>
      </w:r>
      <w:r>
        <w:rPr>
          <w:rFonts w:ascii="Calibri" w:hAnsi="Calibri" w:cs="Calibri"/>
          <w:color w:val="0070C0"/>
          <w:sz w:val="20"/>
        </w:rPr>
        <w:t xml:space="preserve">. </w:t>
      </w:r>
    </w:p>
    <w:p w14:paraId="0B985716">
      <w:pPr>
        <w:pStyle w:val="39"/>
        <w:tabs>
          <w:tab w:val="left" w:pos="4830"/>
        </w:tabs>
        <w:spacing w:line="240" w:lineRule="auto"/>
        <w:rPr>
          <w:rFonts w:ascii="Calibri" w:hAnsi="Calibri" w:cs="Calibri"/>
          <w:sz w:val="20"/>
        </w:rPr>
      </w:pPr>
      <w:r>
        <w:rPr>
          <w:rFonts w:ascii="Calibri" w:hAnsi="Calibri" w:cs="Calibri"/>
          <w:sz w:val="20"/>
        </w:rPr>
        <w:br w:type="textWrapping"/>
      </w:r>
      <w:r>
        <w:rPr>
          <w:rFonts w:ascii="Calibri" w:hAnsi="Calibri" w:cs="Calibri"/>
          <w:sz w:val="20"/>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20"/>
          <w:rFonts w:ascii="Calibri" w:hAnsi="Calibri" w:cs="Calibri"/>
          <w:color w:val="0070C0"/>
          <w:sz w:val="20"/>
        </w:rPr>
        <w:t>https://creativecommons.org/licenses/by/4.0/</w:t>
      </w:r>
      <w:r>
        <w:rPr>
          <w:rStyle w:val="20"/>
          <w:rFonts w:ascii="Calibri" w:hAnsi="Calibri" w:cs="Calibri"/>
          <w:color w:val="0070C0"/>
          <w:sz w:val="20"/>
        </w:rPr>
        <w:fldChar w:fldCharType="end"/>
      </w:r>
      <w:r>
        <w:rPr>
          <w:rFonts w:ascii="Calibri" w:hAnsi="Calibri" w:cs="Calibri"/>
          <w:sz w:val="20"/>
        </w:rPr>
        <w:t>), which permits unrestricted use, distribution, and reproduction in any medium, provided the original work is properly cited.</w:t>
      </w:r>
    </w:p>
    <w:sectPr>
      <w:footerReference r:id="rId5" w:type="default"/>
      <w:pgSz w:w="16838" w:h="11906" w:orient="landscape"/>
      <w:pgMar w:top="1440" w:right="1440" w:bottom="1440" w:left="1440"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Noto Sans Symbols">
    <w:altName w:val="Calibri"/>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9078763"/>
      <w:docPartObj>
        <w:docPartGallery w:val="AutoText"/>
      </w:docPartObj>
    </w:sdtPr>
    <w:sdtContent>
      <w:p w14:paraId="4E24581E">
        <w:pPr>
          <w:pStyle w:val="10"/>
          <w:jc w:val="right"/>
        </w:pPr>
        <w:r>
          <w:fldChar w:fldCharType="begin"/>
        </w:r>
        <w:r>
          <w:instrText xml:space="preserve"> PAGE   \* MERGEFORMAT </w:instrText>
        </w:r>
        <w:r>
          <w:fldChar w:fldCharType="separate"/>
        </w:r>
        <w:r>
          <w:t>2</w:t>
        </w:r>
        <w:r>
          <w:fldChar w:fldCharType="end"/>
        </w:r>
      </w:p>
    </w:sdtContent>
  </w:sdt>
  <w:p w14:paraId="651BCB0A">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E25DE"/>
    <w:multiLevelType w:val="multilevel"/>
    <w:tmpl w:val="13BE25D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 w:val="6AD32E0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pPr>
    <w:rPr>
      <w:rFonts w:ascii="Times New Roman" w:hAnsi="Times New Roman" w:eastAsia="Times New Roman" w:cs="Times New Roman"/>
      <w:color w:val="333333"/>
      <w:sz w:val="24"/>
      <w:szCs w:val="24"/>
      <w:lang w:val="en-US" w:eastAsia="en-GB" w:bidi="ar-SA"/>
    </w:rPr>
  </w:style>
  <w:style w:type="paragraph" w:styleId="2">
    <w:name w:val="heading 1"/>
    <w:basedOn w:val="1"/>
    <w:next w:val="1"/>
    <w:qFormat/>
    <w:uiPriority w:val="9"/>
    <w:pPr>
      <w:spacing w:after="160" w:line="259" w:lineRule="auto"/>
      <w:outlineLvl w:val="0"/>
    </w:pPr>
    <w:rPr>
      <w:rFonts w:ascii="Calibri" w:hAnsi="Calibri" w:eastAsia="Calibri" w:cs="Calibri"/>
      <w:b/>
      <w:color w:val="000000"/>
      <w:sz w:val="22"/>
      <w:szCs w:val="22"/>
    </w:rPr>
  </w:style>
  <w:style w:type="paragraph" w:styleId="3">
    <w:name w:val="heading 2"/>
    <w:basedOn w:val="1"/>
    <w:next w:val="1"/>
    <w:semiHidden/>
    <w:unhideWhenUsed/>
    <w:qFormat/>
    <w:uiPriority w:val="9"/>
    <w:pPr>
      <w:keepNext/>
      <w:keepLines/>
      <w:spacing w:before="40"/>
      <w:outlineLvl w:val="1"/>
    </w:pPr>
    <w:rPr>
      <w:rFonts w:ascii="Calibri" w:hAnsi="Calibri" w:eastAsia="Calibri" w:cs="Calibri"/>
      <w:color w:val="2F5496"/>
      <w:sz w:val="26"/>
      <w:szCs w:val="2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5"/>
    <w:unhideWhenUsed/>
    <w:uiPriority w:val="99"/>
    <w:pPr>
      <w:spacing w:line="240" w:lineRule="auto"/>
    </w:pPr>
    <w:rPr>
      <w:sz w:val="20"/>
      <w:szCs w:val="20"/>
    </w:rPr>
  </w:style>
  <w:style w:type="paragraph" w:styleId="9">
    <w:name w:val="Balloon Text"/>
    <w:basedOn w:val="1"/>
    <w:link w:val="33"/>
    <w:semiHidden/>
    <w:unhideWhenUsed/>
    <w:uiPriority w:val="99"/>
    <w:pPr>
      <w:spacing w:line="240" w:lineRule="auto"/>
    </w:pPr>
    <w:rPr>
      <w:rFonts w:ascii="Segoe UI" w:hAnsi="Segoe UI" w:cs="Segoe UI"/>
      <w:sz w:val="18"/>
      <w:szCs w:val="18"/>
    </w:rPr>
  </w:style>
  <w:style w:type="paragraph" w:styleId="10">
    <w:name w:val="footer"/>
    <w:basedOn w:val="1"/>
    <w:link w:val="36"/>
    <w:unhideWhenUsed/>
    <w:uiPriority w:val="99"/>
    <w:pPr>
      <w:tabs>
        <w:tab w:val="center" w:pos="4513"/>
        <w:tab w:val="right" w:pos="9026"/>
      </w:tabs>
      <w:spacing w:line="240" w:lineRule="auto"/>
    </w:pPr>
  </w:style>
  <w:style w:type="paragraph" w:styleId="11">
    <w:name w:val="header"/>
    <w:basedOn w:val="1"/>
    <w:link w:val="35"/>
    <w:unhideWhenUsed/>
    <w:uiPriority w:val="99"/>
    <w:pPr>
      <w:tabs>
        <w:tab w:val="center" w:pos="4513"/>
        <w:tab w:val="right" w:pos="9026"/>
      </w:tabs>
      <w:spacing w:line="240" w:lineRule="auto"/>
    </w:p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3">
    <w:name w:val="Normal (Web)"/>
    <w:basedOn w:val="1"/>
    <w:unhideWhenUsed/>
    <w:uiPriority w:val="99"/>
    <w:pPr>
      <w:spacing w:before="100" w:beforeAutospacing="1" w:after="100" w:afterAutospacing="1" w:line="240" w:lineRule="auto"/>
    </w:pPr>
    <w:rPr>
      <w:color w:val="auto"/>
      <w:lang w:val="en-CA" w:eastAsia="en-US"/>
    </w:rPr>
  </w:style>
  <w:style w:type="paragraph" w:styleId="14">
    <w:name w:val="Title"/>
    <w:basedOn w:val="1"/>
    <w:next w:val="1"/>
    <w:qFormat/>
    <w:uiPriority w:val="10"/>
    <w:pPr>
      <w:keepNext/>
      <w:keepLines/>
      <w:spacing w:before="480" w:after="120"/>
    </w:pPr>
    <w:rPr>
      <w:b/>
      <w:sz w:val="72"/>
      <w:szCs w:val="72"/>
    </w:rPr>
  </w:style>
  <w:style w:type="paragraph" w:styleId="15">
    <w:name w:val="annotation subject"/>
    <w:basedOn w:val="8"/>
    <w:next w:val="8"/>
    <w:link w:val="26"/>
    <w:semiHidden/>
    <w:unhideWhenUsed/>
    <w:uiPriority w:val="99"/>
    <w:rPr>
      <w:b/>
      <w:bCs/>
    </w:rPr>
  </w:style>
  <w:style w:type="table" w:styleId="17">
    <w:name w:val="Table Grid"/>
    <w:basedOn w:val="16"/>
    <w:uiPriority w:val="39"/>
    <w:pPr>
      <w:spacing w:line="240" w:lineRule="auto"/>
    </w:pPr>
    <w:rPr>
      <w:rFonts w:asciiTheme="minorHAnsi" w:hAnsiTheme="minorHAnsi" w:eastAsiaTheme="minorHAnsi" w:cstheme="minorBidi"/>
      <w:color w:val="auto"/>
      <w:kern w:val="2"/>
      <w:sz w:val="22"/>
      <w:szCs w:val="22"/>
      <w:lang w:val="en-GB"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llowedHyperlink"/>
    <w:basedOn w:val="18"/>
    <w:semiHidden/>
    <w:unhideWhenUsed/>
    <w:uiPriority w:val="99"/>
    <w:rPr>
      <w:color w:val="800080" w:themeColor="followedHyperlink"/>
      <w:u w:val="single"/>
      <w14:textFill>
        <w14:solidFill>
          <w14:schemeClr w14:val="folHlink"/>
        </w14:solidFill>
      </w14:textFill>
    </w:rPr>
  </w:style>
  <w:style w:type="character" w:styleId="20">
    <w:name w:val="Hyperlink"/>
    <w:uiPriority w:val="0"/>
    <w:rPr>
      <w:color w:val="CC0000"/>
      <w:u w:val="single"/>
    </w:rPr>
  </w:style>
  <w:style w:type="character" w:styleId="21">
    <w:name w:val="annotation reference"/>
    <w:basedOn w:val="18"/>
    <w:semiHidden/>
    <w:unhideWhenUsed/>
    <w:uiPriority w:val="99"/>
    <w:rPr>
      <w:sz w:val="16"/>
      <w:szCs w:val="16"/>
    </w:rPr>
  </w:style>
  <w:style w:type="table" w:customStyle="1" w:styleId="22">
    <w:name w:val="_Style 11"/>
    <w:basedOn w:val="16"/>
    <w:uiPriority w:val="0"/>
    <w:pPr>
      <w:spacing w:line="240" w:lineRule="auto"/>
    </w:pPr>
  </w:style>
  <w:style w:type="table" w:customStyle="1" w:styleId="23">
    <w:name w:val="_Style 12"/>
    <w:basedOn w:val="16"/>
    <w:uiPriority w:val="0"/>
    <w:tblPr>
      <w:tblCellMar>
        <w:left w:w="115" w:type="dxa"/>
        <w:right w:w="115" w:type="dxa"/>
      </w:tblCellMar>
    </w:tblPr>
  </w:style>
  <w:style w:type="table" w:customStyle="1" w:styleId="24">
    <w:name w:val="_Style 13"/>
    <w:basedOn w:val="16"/>
    <w:uiPriority w:val="0"/>
    <w:tblPr>
      <w:tblCellMar>
        <w:left w:w="115" w:type="dxa"/>
        <w:right w:w="115" w:type="dxa"/>
      </w:tblCellMar>
    </w:tblPr>
  </w:style>
  <w:style w:type="character" w:customStyle="1" w:styleId="25">
    <w:name w:val="Comment Text Char"/>
    <w:basedOn w:val="18"/>
    <w:link w:val="8"/>
    <w:uiPriority w:val="99"/>
    <w:rPr>
      <w:sz w:val="20"/>
      <w:szCs w:val="20"/>
    </w:rPr>
  </w:style>
  <w:style w:type="character" w:customStyle="1" w:styleId="26">
    <w:name w:val="Comment Subject Char"/>
    <w:basedOn w:val="25"/>
    <w:link w:val="15"/>
    <w:semiHidden/>
    <w:uiPriority w:val="99"/>
    <w:rPr>
      <w:b/>
      <w:bCs/>
      <w:sz w:val="20"/>
      <w:szCs w:val="20"/>
    </w:rPr>
  </w:style>
  <w:style w:type="paragraph" w:customStyle="1" w:styleId="27">
    <w:name w:val="EndNote Bibliography Title"/>
    <w:basedOn w:val="1"/>
    <w:link w:val="28"/>
    <w:uiPriority w:val="0"/>
    <w:pPr>
      <w:jc w:val="center"/>
    </w:pPr>
    <w:rPr>
      <w:lang w:val="en-GB"/>
    </w:rPr>
  </w:style>
  <w:style w:type="character" w:customStyle="1" w:styleId="28">
    <w:name w:val="EndNote Bibliography Title Char"/>
    <w:basedOn w:val="18"/>
    <w:link w:val="27"/>
    <w:uiPriority w:val="0"/>
    <w:rPr>
      <w:lang w:val="en-GB"/>
    </w:rPr>
  </w:style>
  <w:style w:type="paragraph" w:customStyle="1" w:styleId="29">
    <w:name w:val="EndNote Bibliography"/>
    <w:basedOn w:val="1"/>
    <w:link w:val="30"/>
    <w:uiPriority w:val="0"/>
    <w:pPr>
      <w:spacing w:line="240" w:lineRule="auto"/>
    </w:pPr>
    <w:rPr>
      <w:lang w:val="en-GB"/>
    </w:rPr>
  </w:style>
  <w:style w:type="character" w:customStyle="1" w:styleId="30">
    <w:name w:val="EndNote Bibliography Char"/>
    <w:basedOn w:val="18"/>
    <w:link w:val="29"/>
    <w:uiPriority w:val="0"/>
    <w:rPr>
      <w:lang w:val="en-GB"/>
    </w:rPr>
  </w:style>
  <w:style w:type="character" w:customStyle="1" w:styleId="31">
    <w:name w:val="Unresolved Mention"/>
    <w:basedOn w:val="18"/>
    <w:semiHidden/>
    <w:unhideWhenUsed/>
    <w:uiPriority w:val="99"/>
    <w:rPr>
      <w:color w:val="605E5C"/>
      <w:shd w:val="clear" w:color="auto" w:fill="E1DFDD"/>
    </w:rPr>
  </w:style>
  <w:style w:type="character" w:customStyle="1" w:styleId="32">
    <w:name w:val="cf01"/>
    <w:basedOn w:val="18"/>
    <w:uiPriority w:val="0"/>
    <w:rPr>
      <w:rFonts w:hint="default" w:ascii="Segoe UI" w:hAnsi="Segoe UI" w:cs="Segoe UI"/>
      <w:sz w:val="18"/>
      <w:szCs w:val="18"/>
    </w:rPr>
  </w:style>
  <w:style w:type="character" w:customStyle="1" w:styleId="33">
    <w:name w:val="Balloon Text Char"/>
    <w:basedOn w:val="18"/>
    <w:link w:val="9"/>
    <w:semiHidden/>
    <w:uiPriority w:val="99"/>
    <w:rPr>
      <w:rFonts w:ascii="Segoe UI" w:hAnsi="Segoe UI" w:cs="Segoe UI"/>
      <w:sz w:val="18"/>
      <w:szCs w:val="18"/>
    </w:rPr>
  </w:style>
  <w:style w:type="paragraph" w:styleId="34">
    <w:name w:val="List Paragraph"/>
    <w:basedOn w:val="1"/>
    <w:qFormat/>
    <w:uiPriority w:val="34"/>
    <w:pPr>
      <w:spacing w:after="160" w:line="259" w:lineRule="auto"/>
      <w:ind w:left="720"/>
      <w:contextualSpacing/>
    </w:pPr>
    <w:rPr>
      <w:rFonts w:ascii="Calibri" w:hAnsi="Calibri" w:eastAsia="Calibri" w:cs="Calibri"/>
      <w:color w:val="auto"/>
      <w:sz w:val="22"/>
      <w:szCs w:val="22"/>
      <w:lang w:val="en-GB"/>
    </w:rPr>
  </w:style>
  <w:style w:type="character" w:customStyle="1" w:styleId="35">
    <w:name w:val="Header Char"/>
    <w:basedOn w:val="18"/>
    <w:link w:val="11"/>
    <w:uiPriority w:val="99"/>
  </w:style>
  <w:style w:type="character" w:customStyle="1" w:styleId="36">
    <w:name w:val="Footer Char"/>
    <w:basedOn w:val="18"/>
    <w:link w:val="10"/>
    <w:uiPriority w:val="99"/>
  </w:style>
  <w:style w:type="paragraph" w:customStyle="1" w:styleId="37">
    <w:name w:val="Revision"/>
    <w:hidden/>
    <w:semiHidden/>
    <w:uiPriority w:val="99"/>
    <w:pPr>
      <w:spacing w:line="240" w:lineRule="auto"/>
    </w:pPr>
    <w:rPr>
      <w:rFonts w:ascii="Times New Roman" w:hAnsi="Times New Roman" w:eastAsia="Times New Roman" w:cs="Times New Roman"/>
      <w:color w:val="333333"/>
      <w:sz w:val="24"/>
      <w:szCs w:val="24"/>
      <w:lang w:val="en-US" w:eastAsia="en-GB" w:bidi="ar-SA"/>
    </w:rPr>
  </w:style>
  <w:style w:type="character" w:customStyle="1" w:styleId="38">
    <w:name w:val="apple-converted-space"/>
    <w:basedOn w:val="18"/>
    <w:uiPriority w:val="0"/>
  </w:style>
  <w:style w:type="paragraph" w:customStyle="1" w:styleId="39">
    <w:name w:val="TableNote"/>
    <w:basedOn w:val="1"/>
    <w:uiPriority w:val="0"/>
    <w:pPr>
      <w:spacing w:line="300" w:lineRule="exact"/>
    </w:pPr>
    <w:rPr>
      <w:color w:val="auto"/>
      <w:szCs w:val="20"/>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3</Pages>
  <Words>893</Words>
  <Characters>5600</Characters>
  <Lines>48</Lines>
  <Paragraphs>13</Paragraphs>
  <TotalTime>780</TotalTime>
  <ScaleCrop>false</ScaleCrop>
  <LinksUpToDate>false</LinksUpToDate>
  <CharactersWithSpaces>6373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2024-10-08T14:14:00Z</dcterms:created>
  <dc:creator>Sally Hopewell</dc:creator>
  <cp:lastModifiedBy>qzuser</cp:lastModifiedBy>
  <cp:lastPrinted>2024-03-26T08:52:00Z</cp:lastPrinted>
  <dcterms:modified xsi:type="dcterms:W3CDTF">2026-03-11T17:24:17Z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eyJoZGlkIjoiM2Y1M2UyMWNiZWEwMThmNzJlZmU4MzQ2ZWZlZjNlZmEiLCJ1c2VySWQiOiIzMDE0MjYyNjcifQ==</vt:lpwstr>
  </property>
  <property fmtid="{D5CDD505-2E9C-101B-9397-08002B2CF9AE}" pid="3" name="KSOProductBuildVer">
    <vt:lpwstr>2052-12.1.0.25225</vt:lpwstr>
  </property>
  <property fmtid="{D5CDD505-2E9C-101B-9397-08002B2CF9AE}" pid="4" name="ICV">
    <vt:lpwstr>3D02DD47144D4F1DB74F3A2A3C3802EC_12</vt:lpwstr>
  </property>
</Properties>
</file>