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391EBF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720"/>
        <w:textAlignment w:val="auto"/>
        <w:rPr>
          <w:rFonts w:ascii="Times New Roman" w:hAnsi="Times New Roman" w:eastAsia="Times New Roman" w:cs="Times New Roman"/>
          <w:i w:val="0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b/>
          <w:i w:val="0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t>Table 1</w:t>
      </w:r>
      <w:r>
        <w:rPr>
          <w:rFonts w:ascii="Times New Roman" w:hAnsi="Times New Roman" w:eastAsia="Times New Roman" w:cs="Times New Roman"/>
          <w:i w:val="0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  <w:t>. Major metabolites involved in metabolite-mediated intercellular communication in HCC</w:t>
      </w:r>
    </w:p>
    <w:tbl>
      <w:tblPr>
        <w:tblStyle w:val="2"/>
        <w:tblW w:w="5905" w:type="dxa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6"/>
        <w:gridCol w:w="2489"/>
      </w:tblGrid>
      <w:tr w14:paraId="1186DA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170B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Metabolite</w:t>
            </w:r>
          </w:p>
        </w:tc>
        <w:tc>
          <w:tcPr>
            <w:tcW w:w="248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0432C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Frequency</w:t>
            </w:r>
          </w:p>
        </w:tc>
      </w:tr>
      <w:tr w14:paraId="438926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29EC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L-Glutamine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BB04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86</w:t>
            </w:r>
          </w:p>
        </w:tc>
      </w:tr>
      <w:tr w14:paraId="6DBDA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2CF2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D-Mannose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A16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</w:t>
            </w:r>
          </w:p>
        </w:tc>
      </w:tr>
      <w:tr w14:paraId="72A67E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C2F7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Farnesyl pyrophosphate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FF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47</w:t>
            </w:r>
          </w:p>
        </w:tc>
      </w:tr>
      <w:tr w14:paraId="2A5E9D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28B4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Iron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9E6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</w:tr>
      <w:tr w14:paraId="571FCA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5D7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Cholesterol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671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 w14:paraId="2D1F13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D420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Prostaglandin E2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34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</w:tr>
      <w:tr w14:paraId="3DE358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D3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Choline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D3F7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</w:tr>
      <w:tr w14:paraId="533C6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CA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gamma-Aminobutyric acid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661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</w:tr>
      <w:tr w14:paraId="64F37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00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27-Hydroxycholesterol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DEA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</w:tr>
      <w:tr w14:paraId="4B6F6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F3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Acetoacetic acid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B37E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</w:tr>
      <w:tr w14:paraId="79121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E8F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3-Hydroxybutyric acid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C60A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</w:tr>
      <w:tr w14:paraId="24AFB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2E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Desmosterol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56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</w:tr>
      <w:tr w14:paraId="617002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A01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D-Fructose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56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</w:tr>
      <w:tr w14:paraId="5AFFE3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F53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Spermine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8E5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</w:tr>
      <w:tr w14:paraId="0CDA5C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9E0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(R)-5-Diphosphomevalonic acid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136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0388AF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7C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all-trans-Retinoic acid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DE5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21ECF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752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L-Serine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E9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6F118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A8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Prostaglandin D2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58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5675F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728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Adenosine diphosphate ribose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99A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</w:tr>
      <w:tr w14:paraId="123BD2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743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Leukotriene D4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43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4777F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840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Leukotriene C4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3C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62ABFE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6F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Hydrogen sulfide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448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6DD87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9A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Adenosine triphosphate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3FB5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4F83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4E1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L-Arginine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38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F162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788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L-Methionine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49F4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19F1C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2D15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L-Tyrosine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919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391995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9D4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Retinal 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C8B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7F9D5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BEE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Oleic acid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64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4FA7AA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CD89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Stearic acid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204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FEC3D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52E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Dihomo-gamma-linolenic acid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A8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719A69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3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C7D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gamma-Linolenic acid</w:t>
            </w:r>
          </w:p>
        </w:tc>
        <w:tc>
          <w:tcPr>
            <w:tcW w:w="24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072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7D163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41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B2AC7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Palmitic  acid</w:t>
            </w:r>
          </w:p>
        </w:tc>
        <w:tc>
          <w:tcPr>
            <w:tcW w:w="248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FE84D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</w:tbl>
    <w:p w14:paraId="04E6075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/>
        <w:ind w:left="720"/>
        <w:textAlignment w:val="auto"/>
        <w:rPr>
          <w:rFonts w:ascii="Times New Roman" w:hAnsi="Times New Roman" w:eastAsia="Times New Roman" w:cs="Times New Roman"/>
          <w:i w:val="0"/>
          <w:color w:val="000000" w:themeColor="text1"/>
          <w:sz w:val="24"/>
          <w:u w:val="none"/>
          <w14:textFill>
            <w14:solidFill>
              <w14:schemeClr w14:val="tx1"/>
            </w14:solidFill>
          </w14:textFill>
        </w:rPr>
      </w:pPr>
    </w:p>
    <w:p w14:paraId="4C69957C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8000012" w:usb3="00000000" w:csb0="0002009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B2C3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MS Mincho" w:cs="Times New Roman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2026-10-05T13:21:01Z</dcterms:created>
  <dc:creator>hp</dc:creator>
  <cp:lastModifiedBy>史建飞</cp:lastModifiedBy>
  <dcterms:modified xsi:type="dcterms:W3CDTF">2026-10-05T13:21:21Z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eyJoZGlkIjoiYWE0MjRmNDVjMTVmMWFkOThiM2QyMThkYzg4Y2U5YTQiLCJ1c2VySWQiOiIzOTk0ODY0OTgifQ==</vt:lpwstr>
  </property>
  <property fmtid="{D5CDD505-2E9C-101B-9397-08002B2CF9AE}" pid="4" name="ICV">
    <vt:lpwstr>68848EE1F9E0467FAC25C8DD84F4A035_12</vt:lpwstr>
  </property>
</Properties>
</file>