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Supplementary Information</w:t>
      </w:r>
    </w:p>
    <w:p>
      <w:pPr>
        <w:jc w:val="center"/>
      </w:pPr>
      <w:r>
        <w:rPr>
          <w:b/>
          <w:sz w:val="24"/>
        </w:rPr>
        <w:t>Seven anthropometric indices of adiposity and incident cardiovascular disease in China and England</w:t>
      </w:r>
    </w:p>
    <w:p>
      <w:pPr>
        <w:jc w:val="center"/>
      </w:pPr>
      <w:r>
        <w:rPr>
          <w:b w:val="0"/>
          <w:sz w:val="22"/>
        </w:rPr>
        <w:t>JunCong Mao, Yunfei Hong, Shujing Yang &amp; Yerui Cai</w:t>
      </w:r>
    </w:p>
    <w:p>
      <w:pPr>
        <w:jc w:val="center"/>
      </w:pPr>
      <w:r>
        <w:rPr>
          <w:b w:val="0"/>
          <w:sz w:val="18"/>
        </w:rPr>
        <w:t>Corresponding author: Yerui Cai, Department of Cardiology, The Third People's Hospital of Yunnan Province, Kunming 650011, Yunnan, China. E-mail: 18787091820@163.com</w:t>
      </w:r>
    </w:p>
    <w:p/>
    <w:p>
      <w:r>
        <w:rPr>
          <w:b/>
          <w:sz w:val="26"/>
        </w:rPr>
        <w:t>Supplementary Tables</w:t>
      </w:r>
    </w:p>
    <w:p>
      <w:pPr>
        <w:pStyle w:val="ListBullet"/>
      </w:pPr>
      <w:r>
        <w:rPr>
          <w:b w:val="0"/>
        </w:rPr>
        <w:t>Table S1. Proportional-hazards assumption tests (Schoenfeld residuals) for all M4 Cox models. Note (v3): the exposure term satisfied the PH assumption for every index (all exposure-term P&gt;0.05); the significant GLOBAL test in all models is attributable to time-varying effects of covariates (age, sex, smoking, hypertension diagnosis), not of the adiposity exposures. The main text reports exposure-term P values.</w:t>
      </w:r>
    </w:p>
    <w:p>
      <w:pPr>
        <w:pStyle w:val="ListBullet"/>
      </w:pPr>
      <w:r>
        <w:rPr>
          <w:b w:val="0"/>
        </w:rPr>
        <w:t>Table S2. Tertile hazard ratios for stroke (models M1–M4).</w:t>
      </w:r>
    </w:p>
    <w:p>
      <w:pPr>
        <w:pStyle w:val="ListBullet"/>
      </w:pPr>
      <w:r>
        <w:rPr>
          <w:b w:val="0"/>
        </w:rPr>
        <w:t>Table S3. Tertile hazard ratios for heart disease (models M1–M4).</w:t>
      </w:r>
    </w:p>
    <w:p>
      <w:pPr>
        <w:pStyle w:val="ListBullet"/>
      </w:pPr>
      <w:r>
        <w:rPr>
          <w:b w:val="0"/>
        </w:rPr>
        <w:t>Table S4. Two-piece linear spline threshold analysis (per-SD HRs below/above the curve nadir), combined cohort and by country. Nadirs fall at or below the extreme lower edge of each distribution (at or below about the 0.5th percentile), so below-nadir estimates are statistically unstable, are not interpretable as protective, and are shown as NA where no observations fall below the nadir.</w:t>
      </w:r>
    </w:p>
    <w:p>
      <w:pPr>
        <w:pStyle w:val="ListBullet"/>
      </w:pPr>
      <w:r>
        <w:rPr>
          <w:b w:val="0"/>
        </w:rPr>
        <w:t>Table S5. Calibration of the combined XGBoost model by predicted-risk decile, per test cohort (predicted mean 7-year risk versus Kaplan-Meier 7-year risk). Note (v3): in England the lowest deciles are overestimated two- to four-fold (decile 1: predicted 14.3% vs observed 3.5%) and the observed curve is non-monotonic in the middle deciles (decile 7 observed risk 13.3% &lt; decile 6, 18.4%); see main text for the full calibration description.</w:t>
      </w:r>
    </w:p>
    <w:p>
      <w:pPr>
        <w:pStyle w:val="ListBullet"/>
      </w:pPr>
      <w:r>
        <w:rPr>
          <w:b w:val="0"/>
        </w:rPr>
        <w:t>Table S6. Variable dictionary and missingness table for the analytic dataset.</w:t>
      </w:r>
    </w:p>
    <w:p>
      <w:pPr>
        <w:pStyle w:val="ListBullet"/>
      </w:pPr>
      <w:r>
        <w:rPr>
          <w:b w:val="0"/>
        </w:rPr>
        <w:t>Table S7. Single-mediator proportions mediated for BMI and WC (SBP, DBP, diabetes, hypertension diagnosis), combined cohort and by country. These proportions are non-additive because the mediators are strongly mutually correlated, and several exceed 100%; the joint proportions in Table 4 (main text) are the interpretable quantities.</w:t>
      </w:r>
    </w:p>
    <w:p>
      <w:pPr>
        <w:pStyle w:val="ListBullet"/>
      </w:pPr>
      <w:r>
        <w:rPr>
          <w:b w:val="0"/>
        </w:rPr>
        <w:t>Table S8. Quantitative calibration of the combined XGBoost model by country (7-year window): calibration slope and intercept with 95% CIs, Brier score, and decision-curve summary (threshold range of model superiority and net benefit at a 10% threshold). Calibration slopes above 1 (China 1.39; England 1.82) confirm the decile-pattern overprediction at low predicted risks described in Table S5 and the main text.</w:t>
      </w:r>
    </w:p>
    <w:p>
      <w:pPr>
        <w:pStyle w:val="ListBullet"/>
      </w:pPr>
      <w:r>
        <w:rPr>
          <w:b w:val="0"/>
        </w:rPr>
        <w:t>Table S9. Incremental value of adiposity indices for 7-year CVD: nested Cox models (base conventional-risk model vs base + all seven indices, or base + WWI and WC), with ΔC-index (bootstrap 95% CI), category-free NRI and IDI, pooled across imputations.</w:t>
      </w:r>
    </w:p>
    <w:p>
      <w:pPr>
        <w:pStyle w:val="ListBullet"/>
      </w:pPr>
      <w:r>
        <w:rPr>
          <w:b w:val="0"/>
        </w:rPr>
        <w:t>Table S10. Time-varying-coefficient sensitivity analysis of the M4 Cox models: per-SD exposure HRs with and without linear time-varying coefficients for age, sex, smoking and hypertension diagnosis. All seven indices remained directionally consistent with essentially unchanged effect sizes, supporting the interpretation that the significant global Schoenfeld tests (Table S1) reflect covariate rather than exposure non-proportionality.</w:t>
      </w:r>
    </w:p>
    <w:p>
      <w:pPr>
        <w:pStyle w:val="ListBullet"/>
      </w:pPr>
      <w:r>
        <w:rPr>
          <w:b w:val="0"/>
        </w:rPr>
        <w:t>Table S11. Mixture analysis (quantile g-computation), competing-risk (Fine–Gray) and absolute time-loss (RMTL) analyses.</w:t>
      </w:r>
    </w:p>
    <w:p>
      <w:pPr>
        <w:pStyle w:val="ListBullet"/>
      </w:pPr>
      <w:r>
        <w:rPr>
          <w:b w:val="0"/>
        </w:rPr>
        <w:t>Table S12. Joint mediation of the BMI–CVD and WC–CVD associations by blood pressure and cardiometabolic disease (Cox product method, MICE pooled).</w:t>
      </w:r>
    </w:p>
    <w:p>
      <w:pPr>
        <w:pStyle w:val="ListBullet"/>
      </w:pPr>
      <w:r>
        <w:rPr>
          <w:b w:val="0"/>
        </w:rPr>
        <w:t>Table S13. Sensitivity analyses, subgroup interactions and machine-learning external validation.</w:t>
      </w:r>
    </w:p>
    <w:p>
      <w:pPr>
        <w:pStyle w:val="ListBullet"/>
      </w:pPr>
      <w:r>
        <w:rPr>
          <w:b w:val="0"/>
        </w:rPr>
        <w:t>Table S14a. Time-dependent AUC (timeROC, inverse-probability-of-censoring weighting; 500 bootstrap replications) of the combined-cohort XGBoost model, by country.</w:t>
      </w:r>
    </w:p>
    <w:p>
      <w:pPr>
        <w:pStyle w:val="ListBullet"/>
      </w:pPr>
      <w:r>
        <w:rPr>
          <w:b w:val="0"/>
        </w:rPr>
        <w:t>Table S14b. Risk-stratified Kaplan–Meier analysis by predicted-risk tertile (combined-cohort model).</w:t>
      </w:r>
    </w:p>
    <w:p>
      <w:pPr>
        <w:pStyle w:val="ListBullet"/>
      </w:pPr>
      <w:r>
        <w:rPr>
          <w:b w:val="0"/>
        </w:rPr>
        <w:t>Table S14c. Calibration of the combined-cohort model by predicted-risk decile (predicted 7-year risk vs observed Kaplan–Meier risk).</w:t>
      </w:r>
    </w:p>
    <w:p>
      <w:r>
        <w:rPr>
          <w:b/>
          <w:sz w:val="26"/>
        </w:rPr>
        <w:t>Supplementary Figures</w:t>
      </w:r>
    </w:p>
    <w:p>
      <w:pPr>
        <w:pStyle w:val="ListBullet"/>
      </w:pPr>
      <w:r>
        <w:rPr>
          <w:b w:val="0"/>
        </w:rPr>
        <w:t>Figure S1. Subgroup forest plot of the BMI per-SD association (M4 adjustment) with interaction P values.</w:t>
      </w:r>
    </w:p>
    <w:p>
      <w:pPr>
        <w:pStyle w:val="ListBullet"/>
      </w:pPr>
      <w:r>
        <w:rPr>
          <w:b w:val="0"/>
        </w:rPr>
        <w:t>Figure S2. SHAP dependence plots of the two leading adiposity predictors (WWI, WC), by country, for comparison with the RCS dose–response curves.</w:t>
      </w:r>
    </w:p>
    <w:p>
      <w:pPr>
        <w:pStyle w:val="ListBullet"/>
      </w:pPr>
      <w:r>
        <w:rPr>
          <w:b w:val="0"/>
        </w:rPr>
        <w:t>Figure S3. Decision-curve analysis of the combined XGBoost model for 7-year CVD risk, by country (China: model superior across 5–60% thresholds; England: 6–49%; net benefit at a 10% threshold 0.100 and 0.046, respectively).</w:t>
      </w:r>
    </w:p>
    <w:p>
      <w:pPr>
        <w:pStyle w:val="ListBullet"/>
      </w:pPr>
      <w:r>
        <w:rPr>
          <w:b w:val="0"/>
        </w:rPr>
        <w:t>Figure S4. Risk-stratified Kaplan–Meier curves. Seven-year CVD-free survival by predicted-risk tertile in China (A) and England (B); numbers at risk shown below each panel. Corresponding hazard ratios in Supplementary Table S14b.</w:t>
      </w:r>
    </w:p>
    <w:p>
      <w:pPr>
        <w:pStyle w:val="ListBullet"/>
      </w:pPr>
      <w:r>
        <w:rPr>
          <w:b w:val="0"/>
        </w:rPr>
        <w:t>Figure S5. Calibration curves. Predicted versus observed (Kaplan–Meier) 7-year CVD risk by decile in China (A) and England (B), with bootstrap 95% confidence bands and the diagonal line of perfect calibration. Corresponding numerical values in Supplementary Table S14c.</w:t>
      </w:r>
    </w:p>
    <w:p>
      <w:pPr>
        <w:pStyle w:val="ListBullet"/>
      </w:pPr>
      <w:r>
        <w:rPr>
          <w:b w:val="0"/>
        </w:rPr>
        <w:t>Figure S6. Survival decision-curve analysis. Censored (survival) net benefit of the combined-cohort model versus treat-all and treat-none strategies across threshold probabilities in China (A) and England (B). This estimand differs from the binary 7-year decision-curve analysis in Supplementary Figure S3 (e.g., England net benefit at 10% threshold 0.065 here vs 0.046 in Figure S3); both estimands support model net benefit across clinically relevant thresholds.</w:t>
      </w:r>
    </w:p>
    <w:p>
      <w:r>
        <w:rPr>
          <w:b/>
          <w:sz w:val="26"/>
        </w:rPr>
        <w:t>Notes</w:t>
      </w:r>
    </w:p>
    <w:p>
      <w:pPr>
        <w:pStyle w:val="ListBullet"/>
      </w:pPr>
      <w:r>
        <w:rPr>
          <w:b w:val="0"/>
        </w:rPr>
        <w:t>Single-mediator proportions (Supplementary Table S7) are non-additive because the four mediators are strongly correlated; the joint proportion mediated (Table 4, main text) is the interpretable quantity.</w:t>
      </w:r>
    </w:p>
    <w:p>
      <w:pPr>
        <w:pStyle w:val="ListBullet"/>
      </w:pPr>
      <w:r>
        <w:rPr>
          <w:b w:val="0"/>
        </w:rPr>
        <w:t>qgcomp was implemented via quantile-scored joint Cox models (the qgcomp R package is not required for this estimator); the joint effect is exp(sum of component log-HRs) with Rubin's-rule variance for the linear combination.</w:t>
      </w:r>
    </w:p>
    <w:p>
      <w:pPr>
        <w:pStyle w:val="ListBullet"/>
      </w:pPr>
      <w:r>
        <w:rPr>
          <w:b w:val="0"/>
        </w:rPr>
        <w:t>Fine–Gray models used survival::finegray() inverse-probability-weighted start–stop data with cluster-robust variance, pooled across imputations.</w:t>
      </w:r>
    </w:p>
    <w:p>
      <w:pPr>
        <w:pStyle w:val="ListBullet"/>
      </w:pPr>
      <w:r>
        <w:rPr>
          <w:b w:val="0"/>
        </w:rPr>
        <w:t>Machine-learning analyses used the first imputed dataset (imp1); all regression-based analyses used all five imputations.</w:t>
      </w:r>
    </w:p>
    <w:p>
      <w:pPr>
        <w:pStyle w:val="ListBullet"/>
      </w:pPr>
      <w:r>
        <w:rPr>
          <w:b w:val="0"/>
        </w:rPr>
        <w:t>Provenance note: Tables S8–S10 and Figure S3 were computed on a validated reconstruction of the analytic dataset (fidelity gate passed against all frozen main-text tables); all main-text frozen numbers are unchanged, and the C-indexes reported in Table S8 (0.689/0.723) are reconstruction-panel values for the combined model on imp1, given there only as context—the authoritative combined-model C-indexes remain 0.656 (China) and 0.701 (England) in the main text.</w:t>
      </w:r>
    </w:p>
    <w:p>
      <w:pPr>
        <w:pStyle w:val="ListBullet"/>
      </w:pPr>
      <w:r>
        <w:rPr>
          <w:b w:val="0"/>
        </w:rPr>
        <w:t>Dataset note: Table S14a–c and Figures S4–S6 were computed on the rebuilt analysis panel (single imputation set, v2; n = 13,837: China 10,083, England 3,754; 7-year incident CVD 2,435), consistent with the precedent in the Supplementary Table S8 notes. Combined-model C-index on this dataset: China 0.675; England 0.709. Point estimates may differ slightly from the frozen main-text values, which remain authoritative.</w:t>
      </w:r>
    </w:p>
    <w:p>
      <w:pPr>
        <w:pStyle w:val="ListBullet"/>
      </w:pPr>
      <w:r>
        <w:rPr>
          <w:b w:val="0"/>
        </w:rPr>
        <w:t>Estimand note: the survival decision-curve analysis (Figure S6; underlying values in tableS14d_km_dca.csv) censors at death and weights by the Kaplan–Meier censoring distribution; it is not directly comparable with the binary 7-year decision-curve analysis (Supplementary Figure S3). Similarly, observed risks in Supplementary Table S14c are Kaplan–Meier estimates and differ in estimand from the binary-window proportions in Supplementary Table S5.</w:t>
      </w:r>
    </w:p>
    <w:p>
      <w:pPr>
        <w:pStyle w:val="ListBullet"/>
      </w:pPr>
      <w:r>
        <w:rPr>
          <w:b w:val="0"/>
        </w:rPr>
        <w:t>Time-dependent AUCs at 1 and 7 years are not estimable (almost no events within year 1; the Kaplan–Meier estimator reaches its variance boundary at the 7-year administrative censoring point); the China 2-year AUC carries a very wide confidence interval owing to early-time variance inflation of the IPCW estimator.</w:t>
      </w:r>
    </w:p>
    <w:p>
      <w:r>
        <w:br w:type="page"/>
      </w:r>
    </w:p>
    <w:p>
      <w:r>
        <w:rPr>
          <w:b/>
          <w:sz w:val="22"/>
        </w:rPr>
        <w:t>Supplementary Table S11. Mixture analysis (quantile g-computation), competing-risk (Fine–Gray) and absolute time-loss (RMTL) analyses.</w:t>
      </w:r>
    </w:p>
    <w:tbl>
      <w:tblPr>
        <w:tblStyle w:val="TableGrid"/>
        <w:tblW w:type="auto" w:w="0"/>
        <w:tblLook w:firstColumn="1" w:firstRow="1" w:lastColumn="0" w:lastRow="0" w:noHBand="0" w:noVBand="1" w:val="04A0"/>
      </w:tblPr>
      <w:tblGrid>
        <w:gridCol w:w="2493"/>
        <w:gridCol w:w="2493"/>
        <w:gridCol w:w="2493"/>
        <w:gridCol w:w="2493"/>
      </w:tblGrid>
      <w:tr>
        <w:tc>
          <w:tcPr>
            <w:tcW w:type="dxa" w:w="2493"/>
          </w:tcPr>
          <w:p>
            <w:r>
              <w:rPr>
                <w:b/>
                <w:sz w:val="16"/>
              </w:rPr>
              <w:t>Panel / component</w:t>
            </w:r>
          </w:p>
        </w:tc>
        <w:tc>
          <w:tcPr>
            <w:tcW w:type="dxa" w:w="2493"/>
          </w:tcPr>
          <w:p>
            <w:r>
              <w:rPr>
                <w:b/>
                <w:sz w:val="16"/>
              </w:rPr>
              <w:t>HR or RMTL (95% CI / range)</w:t>
            </w:r>
          </w:p>
        </w:tc>
        <w:tc>
          <w:tcPr>
            <w:tcW w:type="dxa" w:w="2493"/>
          </w:tcPr>
          <w:p>
            <w:r>
              <w:rPr>
                <w:b/>
                <w:sz w:val="16"/>
              </w:rPr>
              <w:t>Weight or detail</w:t>
            </w:r>
          </w:p>
        </w:tc>
        <w:tc>
          <w:tcPr>
            <w:tcW w:type="dxa" w:w="2493"/>
          </w:tcPr>
          <w:p>
            <w:r>
              <w:rPr>
                <w:b/>
                <w:sz w:val="16"/>
              </w:rPr>
            </w:r>
          </w:p>
        </w:tc>
      </w:tr>
      <w:tr>
        <w:tc>
          <w:tcPr>
            <w:tcW w:type="dxa" w:w="2493"/>
          </w:tcPr>
          <w:p>
            <w:r>
              <w:rPr>
                <w:sz w:val="16"/>
              </w:rPr>
              <w:t>A. Quantile g-computation (mixture BMI+WC+WHtR+SBP+DBP, M3-adjusted)</w:t>
            </w:r>
          </w:p>
        </w:tc>
        <w:tc>
          <w:tcPr>
            <w:tcW w:type="dxa" w:w="2493"/>
          </w:tcPr>
          <w:p>
            <w:r>
              <w:rPr>
                <w:sz w:val="16"/>
              </w:rPr>
            </w:r>
          </w:p>
        </w:tc>
        <w:tc>
          <w:tcPr>
            <w:tcW w:type="dxa" w:w="2493"/>
          </w:tcPr>
          <w:p>
            <w:r>
              <w:rPr>
                <w:sz w:val="16"/>
              </w:rPr>
            </w:r>
          </w:p>
        </w:tc>
        <w:tc>
          <w:tcPr>
            <w:tcW w:type="dxa" w:w="2493"/>
          </w:tcPr>
          <w:p>
            <w:r>
              <w:rPr>
                <w:sz w:val="16"/>
              </w:rPr>
            </w:r>
          </w:p>
        </w:tc>
      </w:tr>
      <w:tr>
        <w:tc>
          <w:tcPr>
            <w:tcW w:type="dxa" w:w="2493"/>
          </w:tcPr>
          <w:p>
            <w:r>
              <w:rPr>
                <w:sz w:val="16"/>
              </w:rPr>
              <w:t>BMI</w:t>
            </w:r>
          </w:p>
        </w:tc>
        <w:tc>
          <w:tcPr>
            <w:tcW w:type="dxa" w:w="2493"/>
          </w:tcPr>
          <w:p>
            <w:r>
              <w:rPr>
                <w:sz w:val="16"/>
              </w:rPr>
              <w:t>1.148 per +1 quantile</w:t>
            </w:r>
          </w:p>
        </w:tc>
        <w:tc>
          <w:tcPr>
            <w:tcW w:type="dxa" w:w="2493"/>
          </w:tcPr>
          <w:p>
            <w:r>
              <w:rPr>
                <w:sz w:val="16"/>
              </w:rPr>
              <w:t>29.7% weight</w:t>
            </w:r>
          </w:p>
        </w:tc>
        <w:tc>
          <w:tcPr>
            <w:tcW w:type="dxa" w:w="2493"/>
          </w:tcPr>
          <w:p>
            <w:r>
              <w:rPr>
                <w:sz w:val="16"/>
              </w:rPr>
            </w:r>
          </w:p>
        </w:tc>
      </w:tr>
      <w:tr>
        <w:tc>
          <w:tcPr>
            <w:tcW w:type="dxa" w:w="2493"/>
          </w:tcPr>
          <w:p>
            <w:r>
              <w:rPr>
                <w:sz w:val="16"/>
              </w:rPr>
              <w:t>WC</w:t>
            </w:r>
          </w:p>
        </w:tc>
        <w:tc>
          <w:tcPr>
            <w:tcW w:type="dxa" w:w="2493"/>
          </w:tcPr>
          <w:p>
            <w:r>
              <w:rPr>
                <w:sz w:val="16"/>
              </w:rPr>
              <w:t>1.158 per +1 quantile</w:t>
            </w:r>
          </w:p>
        </w:tc>
        <w:tc>
          <w:tcPr>
            <w:tcW w:type="dxa" w:w="2493"/>
          </w:tcPr>
          <w:p>
            <w:r>
              <w:rPr>
                <w:sz w:val="16"/>
              </w:rPr>
              <w:t>31.5% weight</w:t>
            </w:r>
          </w:p>
        </w:tc>
        <w:tc>
          <w:tcPr>
            <w:tcW w:type="dxa" w:w="2493"/>
          </w:tcPr>
          <w:p>
            <w:r>
              <w:rPr>
                <w:sz w:val="16"/>
              </w:rPr>
            </w:r>
          </w:p>
        </w:tc>
      </w:tr>
      <w:tr>
        <w:tc>
          <w:tcPr>
            <w:tcW w:type="dxa" w:w="2493"/>
          </w:tcPr>
          <w:p>
            <w:r>
              <w:rPr>
                <w:sz w:val="16"/>
              </w:rPr>
              <w:t>WHtR</w:t>
            </w:r>
          </w:p>
        </w:tc>
        <w:tc>
          <w:tcPr>
            <w:tcW w:type="dxa" w:w="2493"/>
          </w:tcPr>
          <w:p>
            <w:r>
              <w:rPr>
                <w:sz w:val="16"/>
              </w:rPr>
              <w:t>1.019 per +1 quantile</w:t>
            </w:r>
          </w:p>
        </w:tc>
        <w:tc>
          <w:tcPr>
            <w:tcW w:type="dxa" w:w="2493"/>
          </w:tcPr>
          <w:p>
            <w:r>
              <w:rPr>
                <w:sz w:val="16"/>
              </w:rPr>
              <w:t>4% weight</w:t>
            </w:r>
          </w:p>
        </w:tc>
        <w:tc>
          <w:tcPr>
            <w:tcW w:type="dxa" w:w="2493"/>
          </w:tcPr>
          <w:p>
            <w:r>
              <w:rPr>
                <w:sz w:val="16"/>
              </w:rPr>
            </w:r>
          </w:p>
        </w:tc>
      </w:tr>
      <w:tr>
        <w:tc>
          <w:tcPr>
            <w:tcW w:type="dxa" w:w="2493"/>
          </w:tcPr>
          <w:p>
            <w:r>
              <w:rPr>
                <w:sz w:val="16"/>
              </w:rPr>
              <w:t>SBP</w:t>
            </w:r>
          </w:p>
        </w:tc>
        <w:tc>
          <w:tcPr>
            <w:tcW w:type="dxa" w:w="2493"/>
          </w:tcPr>
          <w:p>
            <w:r>
              <w:rPr>
                <w:sz w:val="16"/>
              </w:rPr>
              <w:t>1.131 per +1 quantile</w:t>
            </w:r>
          </w:p>
        </w:tc>
        <w:tc>
          <w:tcPr>
            <w:tcW w:type="dxa" w:w="2493"/>
          </w:tcPr>
          <w:p>
            <w:r>
              <w:rPr>
                <w:sz w:val="16"/>
              </w:rPr>
              <w:t>26.5% weight</w:t>
            </w:r>
          </w:p>
        </w:tc>
        <w:tc>
          <w:tcPr>
            <w:tcW w:type="dxa" w:w="2493"/>
          </w:tcPr>
          <w:p>
            <w:r>
              <w:rPr>
                <w:sz w:val="16"/>
              </w:rPr>
            </w:r>
          </w:p>
        </w:tc>
      </w:tr>
      <w:tr>
        <w:tc>
          <w:tcPr>
            <w:tcW w:type="dxa" w:w="2493"/>
          </w:tcPr>
          <w:p>
            <w:r>
              <w:rPr>
                <w:sz w:val="16"/>
              </w:rPr>
              <w:t>DBP</w:t>
            </w:r>
          </w:p>
        </w:tc>
        <w:tc>
          <w:tcPr>
            <w:tcW w:type="dxa" w:w="2493"/>
          </w:tcPr>
          <w:p>
            <w:r>
              <w:rPr>
                <w:sz w:val="16"/>
              </w:rPr>
              <w:t>1.039 per +1 quantile</w:t>
            </w:r>
          </w:p>
        </w:tc>
        <w:tc>
          <w:tcPr>
            <w:tcW w:type="dxa" w:w="2493"/>
          </w:tcPr>
          <w:p>
            <w:r>
              <w:rPr>
                <w:sz w:val="16"/>
              </w:rPr>
              <w:t>8.3% weight</w:t>
            </w:r>
          </w:p>
        </w:tc>
        <w:tc>
          <w:tcPr>
            <w:tcW w:type="dxa" w:w="2493"/>
          </w:tcPr>
          <w:p>
            <w:r>
              <w:rPr>
                <w:sz w:val="16"/>
              </w:rPr>
            </w:r>
          </w:p>
        </w:tc>
      </w:tr>
      <w:tr>
        <w:tc>
          <w:tcPr>
            <w:tcW w:type="dxa" w:w="2493"/>
          </w:tcPr>
          <w:p>
            <w:r>
              <w:rPr>
                <w:sz w:val="16"/>
              </w:rPr>
              <w:t>JOINT (all +1 quantile)</w:t>
            </w:r>
          </w:p>
        </w:tc>
        <w:tc>
          <w:tcPr>
            <w:tcW w:type="dxa" w:w="2493"/>
          </w:tcPr>
          <w:p>
            <w:r>
              <w:rPr>
                <w:sz w:val="16"/>
              </w:rPr>
              <w:t>1.593 per +1 quantile</w:t>
            </w:r>
          </w:p>
        </w:tc>
        <w:tc>
          <w:tcPr>
            <w:tcW w:type="dxa" w:w="2493"/>
          </w:tcPr>
          <w:p>
            <w:r>
              <w:rPr>
                <w:sz w:val="16"/>
              </w:rPr>
              <w:t>100% weight</w:t>
            </w:r>
          </w:p>
        </w:tc>
        <w:tc>
          <w:tcPr>
            <w:tcW w:type="dxa" w:w="2493"/>
          </w:tcPr>
          <w:p>
            <w:r>
              <w:rPr>
                <w:sz w:val="16"/>
              </w:rPr>
            </w:r>
          </w:p>
        </w:tc>
      </w:tr>
      <w:tr>
        <w:tc>
          <w:tcPr>
            <w:tcW w:type="dxa" w:w="2493"/>
          </w:tcPr>
          <w:p>
            <w:r>
              <w:rPr>
                <w:sz w:val="16"/>
              </w:rPr>
              <w:t>B. Fine-Gray competing-risk analysis (per-SD, M4-adjusted)</w:t>
            </w:r>
          </w:p>
        </w:tc>
        <w:tc>
          <w:tcPr>
            <w:tcW w:type="dxa" w:w="2493"/>
          </w:tcPr>
          <w:p>
            <w:r>
              <w:rPr>
                <w:sz w:val="16"/>
              </w:rPr>
            </w:r>
          </w:p>
        </w:tc>
        <w:tc>
          <w:tcPr>
            <w:tcW w:type="dxa" w:w="2493"/>
          </w:tcPr>
          <w:p>
            <w:r>
              <w:rPr>
                <w:sz w:val="16"/>
              </w:rPr>
            </w:r>
          </w:p>
        </w:tc>
        <w:tc>
          <w:tcPr>
            <w:tcW w:type="dxa" w:w="2493"/>
          </w:tcPr>
          <w:p>
            <w:r>
              <w:rPr>
                <w:sz w:val="16"/>
              </w:rPr>
            </w:r>
          </w:p>
        </w:tc>
      </w:tr>
      <w:tr>
        <w:tc>
          <w:tcPr>
            <w:tcW w:type="dxa" w:w="2493"/>
          </w:tcPr>
          <w:p>
            <w:r>
              <w:rPr>
                <w:sz w:val="16"/>
              </w:rPr>
              <w:t>Index</w:t>
            </w:r>
          </w:p>
        </w:tc>
        <w:tc>
          <w:tcPr>
            <w:tcW w:type="dxa" w:w="2493"/>
          </w:tcPr>
          <w:p>
            <w:r>
              <w:rPr>
                <w:sz w:val="16"/>
              </w:rPr>
              <w:t>Cox HR (95% CI)</w:t>
            </w:r>
          </w:p>
        </w:tc>
        <w:tc>
          <w:tcPr>
            <w:tcW w:type="dxa" w:w="2493"/>
          </w:tcPr>
          <w:p>
            <w:r>
              <w:rPr>
                <w:sz w:val="16"/>
              </w:rPr>
              <w:t>SHR (95% CI)</w:t>
            </w:r>
          </w:p>
        </w:tc>
        <w:tc>
          <w:tcPr>
            <w:tcW w:type="dxa" w:w="2493"/>
          </w:tcPr>
          <w:p>
            <w:r>
              <w:rPr>
                <w:sz w:val="16"/>
              </w:rPr>
            </w:r>
          </w:p>
        </w:tc>
      </w:tr>
      <w:tr>
        <w:tc>
          <w:tcPr>
            <w:tcW w:type="dxa" w:w="2493"/>
          </w:tcPr>
          <w:p>
            <w:r>
              <w:rPr>
                <w:sz w:val="16"/>
              </w:rPr>
              <w:t>BMI</w:t>
            </w:r>
          </w:p>
        </w:tc>
        <w:tc>
          <w:tcPr>
            <w:tcW w:type="dxa" w:w="2493"/>
          </w:tcPr>
          <w:p>
            <w:r>
              <w:rPr>
                <w:sz w:val="16"/>
              </w:rPr>
              <w:t>1.167 (1.122-1.214)</w:t>
            </w:r>
          </w:p>
        </w:tc>
        <w:tc>
          <w:tcPr>
            <w:tcW w:type="dxa" w:w="2493"/>
          </w:tcPr>
          <w:p>
            <w:r>
              <w:rPr>
                <w:sz w:val="16"/>
              </w:rPr>
              <w:t>1.171 (1.127-1.217)</w:t>
            </w:r>
          </w:p>
        </w:tc>
        <w:tc>
          <w:tcPr>
            <w:tcW w:type="dxa" w:w="2493"/>
          </w:tcPr>
          <w:p>
            <w:r>
              <w:rPr>
                <w:sz w:val="16"/>
              </w:rPr>
            </w:r>
          </w:p>
        </w:tc>
      </w:tr>
      <w:tr>
        <w:tc>
          <w:tcPr>
            <w:tcW w:type="dxa" w:w="2493"/>
          </w:tcPr>
          <w:p>
            <w:r>
              <w:rPr>
                <w:sz w:val="16"/>
              </w:rPr>
              <w:t>WC</w:t>
            </w:r>
          </w:p>
        </w:tc>
        <w:tc>
          <w:tcPr>
            <w:tcW w:type="dxa" w:w="2493"/>
          </w:tcPr>
          <w:p>
            <w:r>
              <w:rPr>
                <w:sz w:val="16"/>
              </w:rPr>
              <w:t>1.199 (1.15-1.25)</w:t>
            </w:r>
          </w:p>
        </w:tc>
        <w:tc>
          <w:tcPr>
            <w:tcW w:type="dxa" w:w="2493"/>
          </w:tcPr>
          <w:p>
            <w:r>
              <w:rPr>
                <w:sz w:val="16"/>
              </w:rPr>
              <w:t>1.203 (1.151-1.258)</w:t>
            </w:r>
          </w:p>
        </w:tc>
        <w:tc>
          <w:tcPr>
            <w:tcW w:type="dxa" w:w="2493"/>
          </w:tcPr>
          <w:p>
            <w:r>
              <w:rPr>
                <w:sz w:val="16"/>
              </w:rPr>
            </w:r>
          </w:p>
        </w:tc>
      </w:tr>
      <w:tr>
        <w:tc>
          <w:tcPr>
            <w:tcW w:type="dxa" w:w="2493"/>
          </w:tcPr>
          <w:p>
            <w:r>
              <w:rPr>
                <w:sz w:val="16"/>
              </w:rPr>
              <w:t>WHtR</w:t>
            </w:r>
          </w:p>
        </w:tc>
        <w:tc>
          <w:tcPr>
            <w:tcW w:type="dxa" w:w="2493"/>
          </w:tcPr>
          <w:p>
            <w:r>
              <w:rPr>
                <w:sz w:val="16"/>
              </w:rPr>
              <w:t>1.162 (1.117-1.209)</w:t>
            </w:r>
          </w:p>
        </w:tc>
        <w:tc>
          <w:tcPr>
            <w:tcW w:type="dxa" w:w="2493"/>
          </w:tcPr>
          <w:p>
            <w:r>
              <w:rPr>
                <w:sz w:val="16"/>
              </w:rPr>
              <w:t>1.165 (1.117-1.215)</w:t>
            </w:r>
          </w:p>
        </w:tc>
        <w:tc>
          <w:tcPr>
            <w:tcW w:type="dxa" w:w="2493"/>
          </w:tcPr>
          <w:p>
            <w:r>
              <w:rPr>
                <w:sz w:val="16"/>
              </w:rPr>
            </w:r>
          </w:p>
        </w:tc>
      </w:tr>
      <w:tr>
        <w:tc>
          <w:tcPr>
            <w:tcW w:type="dxa" w:w="2493"/>
          </w:tcPr>
          <w:p>
            <w:r>
              <w:rPr>
                <w:sz w:val="16"/>
              </w:rPr>
              <w:t>ABSI</w:t>
            </w:r>
          </w:p>
        </w:tc>
        <w:tc>
          <w:tcPr>
            <w:tcW w:type="dxa" w:w="2493"/>
          </w:tcPr>
          <w:p>
            <w:r>
              <w:rPr>
                <w:sz w:val="16"/>
              </w:rPr>
              <w:t>1.042 (1.001-1.084)</w:t>
            </w:r>
          </w:p>
        </w:tc>
        <w:tc>
          <w:tcPr>
            <w:tcW w:type="dxa" w:w="2493"/>
          </w:tcPr>
          <w:p>
            <w:r>
              <w:rPr>
                <w:sz w:val="16"/>
              </w:rPr>
              <w:t>1.041 (0.999-1.084)</w:t>
            </w:r>
          </w:p>
        </w:tc>
        <w:tc>
          <w:tcPr>
            <w:tcW w:type="dxa" w:w="2493"/>
          </w:tcPr>
          <w:p>
            <w:r>
              <w:rPr>
                <w:sz w:val="16"/>
              </w:rPr>
            </w:r>
          </w:p>
        </w:tc>
      </w:tr>
      <w:tr>
        <w:tc>
          <w:tcPr>
            <w:tcW w:type="dxa" w:w="2493"/>
          </w:tcPr>
          <w:p>
            <w:r>
              <w:rPr>
                <w:sz w:val="16"/>
              </w:rPr>
              <w:t>WWI</w:t>
            </w:r>
          </w:p>
        </w:tc>
        <w:tc>
          <w:tcPr>
            <w:tcW w:type="dxa" w:w="2493"/>
          </w:tcPr>
          <w:p>
            <w:r>
              <w:rPr>
                <w:sz w:val="16"/>
              </w:rPr>
              <w:t>1.076 (1.033-1.121)</w:t>
            </w:r>
          </w:p>
        </w:tc>
        <w:tc>
          <w:tcPr>
            <w:tcW w:type="dxa" w:w="2493"/>
          </w:tcPr>
          <w:p>
            <w:r>
              <w:rPr>
                <w:sz w:val="16"/>
              </w:rPr>
              <w:t>1.076 (1.03-1.124)</w:t>
            </w:r>
          </w:p>
        </w:tc>
        <w:tc>
          <w:tcPr>
            <w:tcW w:type="dxa" w:w="2493"/>
          </w:tcPr>
          <w:p>
            <w:r>
              <w:rPr>
                <w:sz w:val="16"/>
              </w:rPr>
            </w:r>
          </w:p>
        </w:tc>
      </w:tr>
      <w:tr>
        <w:tc>
          <w:tcPr>
            <w:tcW w:type="dxa" w:w="2493"/>
          </w:tcPr>
          <w:p>
            <w:r>
              <w:rPr>
                <w:sz w:val="16"/>
              </w:rPr>
              <w:t>BRI</w:t>
            </w:r>
          </w:p>
        </w:tc>
        <w:tc>
          <w:tcPr>
            <w:tcW w:type="dxa" w:w="2493"/>
          </w:tcPr>
          <w:p>
            <w:r>
              <w:rPr>
                <w:sz w:val="16"/>
              </w:rPr>
              <w:t>1.166 (1.124-1.21)</w:t>
            </w:r>
          </w:p>
        </w:tc>
        <w:tc>
          <w:tcPr>
            <w:tcW w:type="dxa" w:w="2493"/>
          </w:tcPr>
          <w:p>
            <w:r>
              <w:rPr>
                <w:sz w:val="16"/>
              </w:rPr>
              <w:t>1.169 (1.126-1.213)</w:t>
            </w:r>
          </w:p>
        </w:tc>
        <w:tc>
          <w:tcPr>
            <w:tcW w:type="dxa" w:w="2493"/>
          </w:tcPr>
          <w:p>
            <w:r>
              <w:rPr>
                <w:sz w:val="16"/>
              </w:rPr>
            </w:r>
          </w:p>
        </w:tc>
      </w:tr>
      <w:tr>
        <w:tc>
          <w:tcPr>
            <w:tcW w:type="dxa" w:w="2493"/>
          </w:tcPr>
          <w:p>
            <w:r>
              <w:rPr>
                <w:sz w:val="16"/>
              </w:rPr>
              <w:t>Conicity index</w:t>
            </w:r>
          </w:p>
        </w:tc>
        <w:tc>
          <w:tcPr>
            <w:tcW w:type="dxa" w:w="2493"/>
          </w:tcPr>
          <w:p>
            <w:r>
              <w:rPr>
                <w:sz w:val="16"/>
              </w:rPr>
              <w:t>1.161 (1.114-1.21)</w:t>
            </w:r>
          </w:p>
        </w:tc>
        <w:tc>
          <w:tcPr>
            <w:tcW w:type="dxa" w:w="2493"/>
          </w:tcPr>
          <w:p>
            <w:r>
              <w:rPr>
                <w:sz w:val="16"/>
              </w:rPr>
              <w:t>1.164 (1.113-1.217)</w:t>
            </w:r>
          </w:p>
        </w:tc>
        <w:tc>
          <w:tcPr>
            <w:tcW w:type="dxa" w:w="2493"/>
          </w:tcPr>
          <w:p>
            <w:r>
              <w:rPr>
                <w:sz w:val="16"/>
              </w:rPr>
            </w:r>
          </w:p>
        </w:tc>
      </w:tr>
      <w:tr>
        <w:tc>
          <w:tcPr>
            <w:tcW w:type="dxa" w:w="2493"/>
          </w:tcPr>
          <w:p>
            <w:r>
              <w:rPr>
                <w:sz w:val="16"/>
              </w:rPr>
              <w:t>BMI tertile T3 vs T1 (SHR)</w:t>
            </w:r>
          </w:p>
        </w:tc>
        <w:tc>
          <w:tcPr>
            <w:tcW w:type="dxa" w:w="2493"/>
          </w:tcPr>
          <w:p>
            <w:r>
              <w:rPr>
                <w:sz w:val="16"/>
              </w:rPr>
              <w:t>1.496 (1.348-1.66)</w:t>
            </w:r>
          </w:p>
        </w:tc>
        <w:tc>
          <w:tcPr>
            <w:tcW w:type="dxa" w:w="2493"/>
          </w:tcPr>
          <w:p>
            <w:r>
              <w:rPr>
                <w:sz w:val="16"/>
              </w:rPr>
            </w:r>
          </w:p>
        </w:tc>
        <w:tc>
          <w:tcPr>
            <w:tcW w:type="dxa" w:w="2493"/>
          </w:tcPr>
          <w:p>
            <w:r>
              <w:rPr>
                <w:sz w:val="16"/>
              </w:rPr>
            </w:r>
          </w:p>
        </w:tc>
      </w:tr>
      <w:tr>
        <w:tc>
          <w:tcPr>
            <w:tcW w:type="dxa" w:w="2493"/>
          </w:tcPr>
          <w:p>
            <w:r>
              <w:rPr>
                <w:sz w:val="16"/>
              </w:rPr>
              <w:t>C. Restricted mean time lost to CVD by year 7 (RMTL, years)</w:t>
            </w:r>
          </w:p>
        </w:tc>
        <w:tc>
          <w:tcPr>
            <w:tcW w:type="dxa" w:w="2493"/>
          </w:tcPr>
          <w:p>
            <w:r>
              <w:rPr>
                <w:sz w:val="16"/>
              </w:rPr>
            </w:r>
          </w:p>
        </w:tc>
        <w:tc>
          <w:tcPr>
            <w:tcW w:type="dxa" w:w="2493"/>
          </w:tcPr>
          <w:p>
            <w:r>
              <w:rPr>
                <w:sz w:val="16"/>
              </w:rPr>
            </w:r>
          </w:p>
        </w:tc>
        <w:tc>
          <w:tcPr>
            <w:tcW w:type="dxa" w:w="2493"/>
          </w:tcPr>
          <w:p>
            <w:r>
              <w:rPr>
                <w:sz w:val="16"/>
              </w:rPr>
            </w:r>
          </w:p>
        </w:tc>
      </w:tr>
      <w:tr>
        <w:tc>
          <w:tcPr>
            <w:tcW w:type="dxa" w:w="2493"/>
          </w:tcPr>
          <w:p>
            <w:r>
              <w:rPr>
                <w:sz w:val="16"/>
              </w:rPr>
              <w:t>Combined T1</w:t>
            </w:r>
          </w:p>
        </w:tc>
        <w:tc>
          <w:tcPr>
            <w:tcW w:type="dxa" w:w="2493"/>
          </w:tcPr>
          <w:p>
            <w:r>
              <w:rPr>
                <w:sz w:val="16"/>
              </w:rPr>
              <w:t>0.287</w:t>
            </w:r>
          </w:p>
        </w:tc>
        <w:tc>
          <w:tcPr>
            <w:tcW w:type="dxa" w:w="2493"/>
          </w:tcPr>
          <w:p>
            <w:r>
              <w:rPr>
                <w:sz w:val="16"/>
              </w:rPr>
              <w:t>n=5267; CVD 806; death 485</w:t>
            </w:r>
          </w:p>
        </w:tc>
        <w:tc>
          <w:tcPr>
            <w:tcW w:type="dxa" w:w="2493"/>
          </w:tcPr>
          <w:p>
            <w:r>
              <w:rPr>
                <w:sz w:val="16"/>
              </w:rPr>
            </w:r>
          </w:p>
        </w:tc>
      </w:tr>
      <w:tr>
        <w:tc>
          <w:tcPr>
            <w:tcW w:type="dxa" w:w="2493"/>
          </w:tcPr>
          <w:p>
            <w:r>
              <w:rPr>
                <w:sz w:val="16"/>
              </w:rPr>
              <w:t>Combined T2</w:t>
            </w:r>
          </w:p>
        </w:tc>
        <w:tc>
          <w:tcPr>
            <w:tcW w:type="dxa" w:w="2493"/>
          </w:tcPr>
          <w:p>
            <w:r>
              <w:rPr>
                <w:sz w:val="16"/>
              </w:rPr>
              <w:t>0.308</w:t>
            </w:r>
          </w:p>
        </w:tc>
        <w:tc>
          <w:tcPr>
            <w:tcW w:type="dxa" w:w="2493"/>
          </w:tcPr>
          <w:p>
            <w:r>
              <w:rPr>
                <w:sz w:val="16"/>
              </w:rPr>
              <w:t>n=5243; CVD 998; death 302</w:t>
            </w:r>
          </w:p>
        </w:tc>
        <w:tc>
          <w:tcPr>
            <w:tcW w:type="dxa" w:w="2493"/>
          </w:tcPr>
          <w:p>
            <w:r>
              <w:rPr>
                <w:sz w:val="16"/>
              </w:rPr>
            </w:r>
          </w:p>
        </w:tc>
      </w:tr>
      <w:tr>
        <w:tc>
          <w:tcPr>
            <w:tcW w:type="dxa" w:w="2493"/>
          </w:tcPr>
          <w:p>
            <w:r>
              <w:rPr>
                <w:sz w:val="16"/>
              </w:rPr>
              <w:t>Combined T3</w:t>
            </w:r>
          </w:p>
        </w:tc>
        <w:tc>
          <w:tcPr>
            <w:tcW w:type="dxa" w:w="2493"/>
          </w:tcPr>
          <w:p>
            <w:r>
              <w:rPr>
                <w:sz w:val="16"/>
              </w:rPr>
              <w:t>0.419</w:t>
            </w:r>
          </w:p>
        </w:tc>
        <w:tc>
          <w:tcPr>
            <w:tcW w:type="dxa" w:w="2493"/>
          </w:tcPr>
          <w:p>
            <w:r>
              <w:rPr>
                <w:sz w:val="16"/>
              </w:rPr>
              <w:t>n=5278; CVD 1365; death 302</w:t>
            </w:r>
          </w:p>
        </w:tc>
        <w:tc>
          <w:tcPr>
            <w:tcW w:type="dxa" w:w="2493"/>
          </w:tcPr>
          <w:p>
            <w:r>
              <w:rPr>
                <w:sz w:val="16"/>
              </w:rPr>
            </w:r>
          </w:p>
        </w:tc>
      </w:tr>
      <w:tr>
        <w:tc>
          <w:tcPr>
            <w:tcW w:type="dxa" w:w="2493"/>
          </w:tcPr>
          <w:p>
            <w:r>
              <w:rPr>
                <w:sz w:val="16"/>
              </w:rPr>
              <w:t>China T1</w:t>
            </w:r>
          </w:p>
        </w:tc>
        <w:tc>
          <w:tcPr>
            <w:tcW w:type="dxa" w:w="2493"/>
          </w:tcPr>
          <w:p>
            <w:r>
              <w:rPr>
                <w:sz w:val="16"/>
              </w:rPr>
              <w:t>0.283</w:t>
            </w:r>
          </w:p>
        </w:tc>
        <w:tc>
          <w:tcPr>
            <w:tcW w:type="dxa" w:w="2493"/>
          </w:tcPr>
          <w:p>
            <w:r>
              <w:rPr>
                <w:sz w:val="16"/>
              </w:rPr>
              <w:t>n=4725; CVD 710; death 409</w:t>
            </w:r>
          </w:p>
        </w:tc>
        <w:tc>
          <w:tcPr>
            <w:tcW w:type="dxa" w:w="2493"/>
          </w:tcPr>
          <w:p>
            <w:r>
              <w:rPr>
                <w:sz w:val="16"/>
              </w:rPr>
            </w:r>
          </w:p>
        </w:tc>
      </w:tr>
      <w:tr>
        <w:tc>
          <w:tcPr>
            <w:tcW w:type="dxa" w:w="2493"/>
          </w:tcPr>
          <w:p>
            <w:r>
              <w:rPr>
                <w:sz w:val="16"/>
              </w:rPr>
              <w:t>China T2</w:t>
            </w:r>
          </w:p>
        </w:tc>
        <w:tc>
          <w:tcPr>
            <w:tcW w:type="dxa" w:w="2493"/>
          </w:tcPr>
          <w:p>
            <w:r>
              <w:rPr>
                <w:sz w:val="16"/>
              </w:rPr>
              <w:t>0.304</w:t>
            </w:r>
          </w:p>
        </w:tc>
        <w:tc>
          <w:tcPr>
            <w:tcW w:type="dxa" w:w="2493"/>
          </w:tcPr>
          <w:p>
            <w:r>
              <w:rPr>
                <w:sz w:val="16"/>
              </w:rPr>
              <w:t>n=3703; CVD 651; death 178</w:t>
            </w:r>
          </w:p>
        </w:tc>
        <w:tc>
          <w:tcPr>
            <w:tcW w:type="dxa" w:w="2493"/>
          </w:tcPr>
          <w:p>
            <w:r>
              <w:rPr>
                <w:sz w:val="16"/>
              </w:rPr>
            </w:r>
          </w:p>
        </w:tc>
      </w:tr>
      <w:tr>
        <w:tc>
          <w:tcPr>
            <w:tcW w:type="dxa" w:w="2493"/>
          </w:tcPr>
          <w:p>
            <w:r>
              <w:rPr>
                <w:sz w:val="16"/>
              </w:rPr>
              <w:t>China T3</w:t>
            </w:r>
          </w:p>
        </w:tc>
        <w:tc>
          <w:tcPr>
            <w:tcW w:type="dxa" w:w="2493"/>
          </w:tcPr>
          <w:p>
            <w:r>
              <w:rPr>
                <w:sz w:val="16"/>
              </w:rPr>
              <w:t>0.476</w:t>
            </w:r>
          </w:p>
        </w:tc>
        <w:tc>
          <w:tcPr>
            <w:tcW w:type="dxa" w:w="2493"/>
          </w:tcPr>
          <w:p>
            <w:r>
              <w:rPr>
                <w:sz w:val="16"/>
              </w:rPr>
              <w:t>n=2129; CVD 526; death 73</w:t>
            </w:r>
          </w:p>
        </w:tc>
        <w:tc>
          <w:tcPr>
            <w:tcW w:type="dxa" w:w="2493"/>
          </w:tcPr>
          <w:p>
            <w:r>
              <w:rPr>
                <w:sz w:val="16"/>
              </w:rPr>
            </w:r>
          </w:p>
        </w:tc>
      </w:tr>
      <w:tr>
        <w:tc>
          <w:tcPr>
            <w:tcW w:type="dxa" w:w="2493"/>
          </w:tcPr>
          <w:p>
            <w:r>
              <w:rPr>
                <w:sz w:val="16"/>
              </w:rPr>
              <w:t>England T1</w:t>
            </w:r>
          </w:p>
        </w:tc>
        <w:tc>
          <w:tcPr>
            <w:tcW w:type="dxa" w:w="2493"/>
          </w:tcPr>
          <w:p>
            <w:r>
              <w:rPr>
                <w:sz w:val="16"/>
              </w:rPr>
              <w:t>0.328</w:t>
            </w:r>
          </w:p>
        </w:tc>
        <w:tc>
          <w:tcPr>
            <w:tcW w:type="dxa" w:w="2493"/>
          </w:tcPr>
          <w:p>
            <w:r>
              <w:rPr>
                <w:sz w:val="16"/>
              </w:rPr>
              <w:t>n=542; CVD 96; death 76</w:t>
            </w:r>
          </w:p>
        </w:tc>
        <w:tc>
          <w:tcPr>
            <w:tcW w:type="dxa" w:w="2493"/>
          </w:tcPr>
          <w:p>
            <w:r>
              <w:rPr>
                <w:sz w:val="16"/>
              </w:rPr>
            </w:r>
          </w:p>
        </w:tc>
      </w:tr>
      <w:tr>
        <w:tc>
          <w:tcPr>
            <w:tcW w:type="dxa" w:w="2493"/>
          </w:tcPr>
          <w:p>
            <w:r>
              <w:rPr>
                <w:sz w:val="16"/>
              </w:rPr>
              <w:t>England T2</w:t>
            </w:r>
          </w:p>
        </w:tc>
        <w:tc>
          <w:tcPr>
            <w:tcW w:type="dxa" w:w="2493"/>
          </w:tcPr>
          <w:p>
            <w:r>
              <w:rPr>
                <w:sz w:val="16"/>
              </w:rPr>
              <w:t>0.32</w:t>
            </w:r>
          </w:p>
        </w:tc>
        <w:tc>
          <w:tcPr>
            <w:tcW w:type="dxa" w:w="2493"/>
          </w:tcPr>
          <w:p>
            <w:r>
              <w:rPr>
                <w:sz w:val="16"/>
              </w:rPr>
              <w:t>n=1540; CVD 347; death 124</w:t>
            </w:r>
          </w:p>
        </w:tc>
        <w:tc>
          <w:tcPr>
            <w:tcW w:type="dxa" w:w="2493"/>
          </w:tcPr>
          <w:p>
            <w:r>
              <w:rPr>
                <w:sz w:val="16"/>
              </w:rPr>
            </w:r>
          </w:p>
        </w:tc>
      </w:tr>
      <w:tr>
        <w:tc>
          <w:tcPr>
            <w:tcW w:type="dxa" w:w="2493"/>
          </w:tcPr>
          <w:p>
            <w:r>
              <w:rPr>
                <w:sz w:val="16"/>
              </w:rPr>
              <w:t>England T3</w:t>
            </w:r>
          </w:p>
        </w:tc>
        <w:tc>
          <w:tcPr>
            <w:tcW w:type="dxa" w:w="2493"/>
          </w:tcPr>
          <w:p>
            <w:r>
              <w:rPr>
                <w:sz w:val="16"/>
              </w:rPr>
              <w:t>0.378</w:t>
            </w:r>
          </w:p>
        </w:tc>
        <w:tc>
          <w:tcPr>
            <w:tcW w:type="dxa" w:w="2493"/>
          </w:tcPr>
          <w:p>
            <w:r>
              <w:rPr>
                <w:sz w:val="16"/>
              </w:rPr>
              <w:t>n=3149; CVD 839; death 229</w:t>
            </w:r>
          </w:p>
        </w:tc>
        <w:tc>
          <w:tcPr>
            <w:tcW w:type="dxa" w:w="2493"/>
          </w:tcPr>
          <w:p>
            <w:r>
              <w:rPr>
                <w:sz w:val="16"/>
              </w:rPr>
            </w:r>
          </w:p>
        </w:tc>
      </w:tr>
      <w:tr>
        <w:tc>
          <w:tcPr>
            <w:tcW w:type="dxa" w:w="2493"/>
          </w:tcPr>
          <w:p>
            <w:r>
              <w:rPr>
                <w:sz w:val="16"/>
              </w:rPr>
              <w:t>Combined T2_minus_T1</w:t>
            </w:r>
          </w:p>
        </w:tc>
        <w:tc>
          <w:tcPr>
            <w:tcW w:type="dxa" w:w="2493"/>
          </w:tcPr>
          <w:p>
            <w:r>
              <w:rPr>
                <w:sz w:val="16"/>
              </w:rPr>
              <w:t>+0.021 years vs T1</w:t>
            </w:r>
          </w:p>
        </w:tc>
        <w:tc>
          <w:tcPr>
            <w:tcW w:type="dxa" w:w="2493"/>
          </w:tcPr>
          <w:p>
            <w:r>
              <w:rPr>
                <w:sz w:val="16"/>
              </w:rPr>
              <w:t>bootstrap 95% CI -0.011-0.059</w:t>
            </w:r>
          </w:p>
        </w:tc>
        <w:tc>
          <w:tcPr>
            <w:tcW w:type="dxa" w:w="2493"/>
          </w:tcPr>
          <w:p>
            <w:r>
              <w:rPr>
                <w:sz w:val="16"/>
              </w:rPr>
            </w:r>
          </w:p>
        </w:tc>
      </w:tr>
      <w:tr>
        <w:tc>
          <w:tcPr>
            <w:tcW w:type="dxa" w:w="2493"/>
          </w:tcPr>
          <w:p>
            <w:r>
              <w:rPr>
                <w:sz w:val="16"/>
              </w:rPr>
              <w:t>Combined T3_minus_T1</w:t>
            </w:r>
          </w:p>
        </w:tc>
        <w:tc>
          <w:tcPr>
            <w:tcW w:type="dxa" w:w="2493"/>
          </w:tcPr>
          <w:p>
            <w:r>
              <w:rPr>
                <w:sz w:val="16"/>
              </w:rPr>
              <w:t>+0.132 years vs T1</w:t>
            </w:r>
          </w:p>
        </w:tc>
        <w:tc>
          <w:tcPr>
            <w:tcW w:type="dxa" w:w="2493"/>
          </w:tcPr>
          <w:p>
            <w:r>
              <w:rPr>
                <w:sz w:val="16"/>
              </w:rPr>
              <w:t>bootstrap 95% CI 0.096-0.173</w:t>
            </w:r>
          </w:p>
        </w:tc>
        <w:tc>
          <w:tcPr>
            <w:tcW w:type="dxa" w:w="2493"/>
          </w:tcPr>
          <w:p>
            <w:r>
              <w:rPr>
                <w:sz w:val="16"/>
              </w:rPr>
            </w:r>
          </w:p>
        </w:tc>
      </w:tr>
    </w:tbl>
    <w:p>
      <w:r>
        <w:br w:type="page"/>
      </w:r>
    </w:p>
    <w:p>
      <w:r>
        <w:rPr>
          <w:b/>
          <w:sz w:val="22"/>
        </w:rPr>
        <w:t>Supplementary Table S12. Joint mediation of the BMI–CVD and WC–CVD associations by blood pressure and cardiometabolic disease (Cox product method, MICE pooled).</w:t>
      </w:r>
    </w:p>
    <w:tbl>
      <w:tblPr>
        <w:tblStyle w:val="TableGrid"/>
        <w:tblW w:type="auto" w:w="0"/>
        <w:tblLook w:firstColumn="1" w:firstRow="1" w:lastColumn="0" w:lastRow="0" w:noHBand="0" w:noVBand="1" w:val="04A0"/>
      </w:tblPr>
      <w:tblGrid>
        <w:gridCol w:w="2493"/>
        <w:gridCol w:w="2493"/>
        <w:gridCol w:w="2493"/>
        <w:gridCol w:w="2493"/>
      </w:tblGrid>
      <w:tr>
        <w:tc>
          <w:tcPr>
            <w:tcW w:type="dxa" w:w="2493"/>
          </w:tcPr>
          <w:p>
            <w:r>
              <w:rPr>
                <w:b/>
                <w:sz w:val="16"/>
              </w:rPr>
              <w:t>Exposure</w:t>
            </w:r>
          </w:p>
        </w:tc>
        <w:tc>
          <w:tcPr>
            <w:tcW w:type="dxa" w:w="2493"/>
          </w:tcPr>
          <w:p>
            <w:r>
              <w:rPr>
                <w:b/>
                <w:sz w:val="16"/>
              </w:rPr>
              <w:t>Group</w:t>
            </w:r>
          </w:p>
        </w:tc>
        <w:tc>
          <w:tcPr>
            <w:tcW w:type="dxa" w:w="2493"/>
          </w:tcPr>
          <w:p>
            <w:r>
              <w:rPr>
                <w:b/>
                <w:sz w:val="16"/>
              </w:rPr>
              <w:t>Effect (95% CI)</w:t>
            </w:r>
          </w:p>
        </w:tc>
        <w:tc>
          <w:tcPr>
            <w:tcW w:type="dxa" w:w="2493"/>
          </w:tcPr>
          <w:p>
            <w:r>
              <w:rPr>
                <w:b/>
                <w:sz w:val="16"/>
              </w:rPr>
              <w:t>Joint proportion mediated</w:t>
            </w:r>
          </w:p>
        </w:tc>
      </w:tr>
      <w:tr>
        <w:tc>
          <w:tcPr>
            <w:tcW w:type="dxa" w:w="2493"/>
          </w:tcPr>
          <w:p>
            <w:r>
              <w:rPr>
                <w:sz w:val="16"/>
              </w:rPr>
              <w:t>Joint mediation by SBP, DBP, diabetes and hypertension (M3-adjusted); single-mediator proportions are non-additive and are therefore reported in Supplementary Table S7</w:t>
            </w:r>
          </w:p>
        </w:tc>
        <w:tc>
          <w:tcPr>
            <w:tcW w:type="dxa" w:w="2493"/>
          </w:tcPr>
          <w:p>
            <w:r>
              <w:rPr>
                <w:sz w:val="16"/>
              </w:rPr>
            </w:r>
          </w:p>
        </w:tc>
        <w:tc>
          <w:tcPr>
            <w:tcW w:type="dxa" w:w="2493"/>
          </w:tcPr>
          <w:p>
            <w:r>
              <w:rPr>
                <w:sz w:val="16"/>
              </w:rPr>
            </w:r>
          </w:p>
        </w:tc>
        <w:tc>
          <w:tcPr>
            <w:tcW w:type="dxa" w:w="2493"/>
          </w:tcPr>
          <w:p>
            <w:r>
              <w:rPr>
                <w:sz w:val="16"/>
              </w:rPr>
            </w:r>
          </w:p>
        </w:tc>
      </w:tr>
      <w:tr>
        <w:tc>
          <w:tcPr>
            <w:tcW w:type="dxa" w:w="2493"/>
          </w:tcPr>
          <w:p>
            <w:r>
              <w:rPr>
                <w:sz w:val="16"/>
              </w:rPr>
              <w:t>BMI</w:t>
            </w:r>
          </w:p>
        </w:tc>
        <w:tc>
          <w:tcPr>
            <w:tcW w:type="dxa" w:w="2493"/>
          </w:tcPr>
          <w:p>
            <w:r>
              <w:rPr>
                <w:sz w:val="16"/>
              </w:rPr>
              <w:t>Combined</w:t>
            </w:r>
          </w:p>
        </w:tc>
        <w:tc>
          <w:tcPr>
            <w:tcW w:type="dxa" w:w="2493"/>
          </w:tcPr>
          <w:p>
            <w:r>
              <w:rPr>
                <w:sz w:val="16"/>
              </w:rPr>
              <w:t>total HR 1.342 (1.278-1.41); direct HR 1.22 (1.16-1.284)</w:t>
            </w:r>
          </w:p>
        </w:tc>
        <w:tc>
          <w:tcPr>
            <w:tcW w:type="dxa" w:w="2493"/>
          </w:tcPr>
          <w:p>
            <w:r>
              <w:rPr>
                <w:sz w:val="16"/>
              </w:rPr>
              <w:t>32.4%</w:t>
            </w:r>
          </w:p>
        </w:tc>
      </w:tr>
      <w:tr>
        <w:tc>
          <w:tcPr>
            <w:tcW w:type="dxa" w:w="2493"/>
          </w:tcPr>
          <w:p>
            <w:r>
              <w:rPr>
                <w:sz w:val="16"/>
              </w:rPr>
              <w:t>BMI</w:t>
            </w:r>
          </w:p>
        </w:tc>
        <w:tc>
          <w:tcPr>
            <w:tcW w:type="dxa" w:w="2493"/>
          </w:tcPr>
          <w:p>
            <w:r>
              <w:rPr>
                <w:sz w:val="16"/>
              </w:rPr>
              <w:t>China</w:t>
            </w:r>
          </w:p>
        </w:tc>
        <w:tc>
          <w:tcPr>
            <w:tcW w:type="dxa" w:w="2493"/>
          </w:tcPr>
          <w:p>
            <w:r>
              <w:rPr>
                <w:sz w:val="16"/>
              </w:rPr>
              <w:t>total HR 1.35 (1.273-1.433); direct HR 1.195 (1.124-1.272)</w:t>
            </w:r>
          </w:p>
        </w:tc>
        <w:tc>
          <w:tcPr>
            <w:tcW w:type="dxa" w:w="2493"/>
          </w:tcPr>
          <w:p>
            <w:r>
              <w:rPr>
                <w:sz w:val="16"/>
              </w:rPr>
              <w:t>40.6%</w:t>
            </w:r>
          </w:p>
        </w:tc>
      </w:tr>
      <w:tr>
        <w:tc>
          <w:tcPr>
            <w:tcW w:type="dxa" w:w="2493"/>
          </w:tcPr>
          <w:p>
            <w:r>
              <w:rPr>
                <w:sz w:val="16"/>
              </w:rPr>
              <w:t>BMI</w:t>
            </w:r>
          </w:p>
        </w:tc>
        <w:tc>
          <w:tcPr>
            <w:tcW w:type="dxa" w:w="2493"/>
          </w:tcPr>
          <w:p>
            <w:r>
              <w:rPr>
                <w:sz w:val="16"/>
              </w:rPr>
              <w:t>England</w:t>
            </w:r>
          </w:p>
        </w:tc>
        <w:tc>
          <w:tcPr>
            <w:tcW w:type="dxa" w:w="2493"/>
          </w:tcPr>
          <w:p>
            <w:r>
              <w:rPr>
                <w:sz w:val="16"/>
              </w:rPr>
              <w:t>total HR 1.234 (1.13-1.348); direct HR 1.176 (1.075-1.288)</w:t>
            </w:r>
          </w:p>
        </w:tc>
        <w:tc>
          <w:tcPr>
            <w:tcW w:type="dxa" w:w="2493"/>
          </w:tcPr>
          <w:p>
            <w:r>
              <w:rPr>
                <w:sz w:val="16"/>
              </w:rPr>
              <w:t>22.7%</w:t>
            </w:r>
          </w:p>
        </w:tc>
      </w:tr>
      <w:tr>
        <w:tc>
          <w:tcPr>
            <w:tcW w:type="dxa" w:w="2493"/>
          </w:tcPr>
          <w:p>
            <w:r>
              <w:rPr>
                <w:sz w:val="16"/>
              </w:rPr>
              <w:t>WC</w:t>
            </w:r>
          </w:p>
        </w:tc>
        <w:tc>
          <w:tcPr>
            <w:tcW w:type="dxa" w:w="2493"/>
          </w:tcPr>
          <w:p>
            <w:r>
              <w:rPr>
                <w:sz w:val="16"/>
              </w:rPr>
              <w:t>Combined</w:t>
            </w:r>
          </w:p>
        </w:tc>
        <w:tc>
          <w:tcPr>
            <w:tcW w:type="dxa" w:w="2493"/>
          </w:tcPr>
          <w:p>
            <w:r>
              <w:rPr>
                <w:sz w:val="16"/>
              </w:rPr>
              <w:t>total HR 1.332 (1.271-1.395); direct HR 1.222 (1.164-1.283)</w:t>
            </w:r>
          </w:p>
        </w:tc>
        <w:tc>
          <w:tcPr>
            <w:tcW w:type="dxa" w:w="2493"/>
          </w:tcPr>
          <w:p>
            <w:r>
              <w:rPr>
                <w:sz w:val="16"/>
              </w:rPr>
              <w:t>30%</w:t>
            </w:r>
          </w:p>
        </w:tc>
      </w:tr>
      <w:tr>
        <w:tc>
          <w:tcPr>
            <w:tcW w:type="dxa" w:w="2493"/>
          </w:tcPr>
          <w:p>
            <w:r>
              <w:rPr>
                <w:sz w:val="16"/>
              </w:rPr>
              <w:t>WC</w:t>
            </w:r>
          </w:p>
        </w:tc>
        <w:tc>
          <w:tcPr>
            <w:tcW w:type="dxa" w:w="2493"/>
          </w:tcPr>
          <w:p>
            <w:r>
              <w:rPr>
                <w:sz w:val="16"/>
              </w:rPr>
              <w:t>China</w:t>
            </w:r>
          </w:p>
        </w:tc>
        <w:tc>
          <w:tcPr>
            <w:tcW w:type="dxa" w:w="2493"/>
          </w:tcPr>
          <w:p>
            <w:r>
              <w:rPr>
                <w:sz w:val="16"/>
              </w:rPr>
              <w:t>total HR 1.357 (1.282-1.437); direct HR 1.216 (1.145-1.291)</w:t>
            </w:r>
          </w:p>
        </w:tc>
        <w:tc>
          <w:tcPr>
            <w:tcW w:type="dxa" w:w="2493"/>
          </w:tcPr>
          <w:p>
            <w:r>
              <w:rPr>
                <w:sz w:val="16"/>
              </w:rPr>
              <w:t>35.9%</w:t>
            </w:r>
          </w:p>
        </w:tc>
      </w:tr>
      <w:tr>
        <w:tc>
          <w:tcPr>
            <w:tcW w:type="dxa" w:w="2493"/>
          </w:tcPr>
          <w:p>
            <w:r>
              <w:rPr>
                <w:sz w:val="16"/>
              </w:rPr>
              <w:t>WC</w:t>
            </w:r>
          </w:p>
        </w:tc>
        <w:tc>
          <w:tcPr>
            <w:tcW w:type="dxa" w:w="2493"/>
          </w:tcPr>
          <w:p>
            <w:r>
              <w:rPr>
                <w:sz w:val="16"/>
              </w:rPr>
              <w:t>England</w:t>
            </w:r>
          </w:p>
        </w:tc>
        <w:tc>
          <w:tcPr>
            <w:tcW w:type="dxa" w:w="2493"/>
          </w:tcPr>
          <w:p>
            <w:r>
              <w:rPr>
                <w:sz w:val="16"/>
              </w:rPr>
              <w:t>total HR 1.176 (1.081-1.28); direct HR 1.122 (1.03-1.223)</w:t>
            </w:r>
          </w:p>
        </w:tc>
        <w:tc>
          <w:tcPr>
            <w:tcW w:type="dxa" w:w="2493"/>
          </w:tcPr>
          <w:p>
            <w:r>
              <w:rPr>
                <w:sz w:val="16"/>
              </w:rPr>
              <w:t>29%</w:t>
            </w:r>
          </w:p>
        </w:tc>
      </w:tr>
    </w:tbl>
    <w:p>
      <w:r>
        <w:br w:type="page"/>
      </w:r>
    </w:p>
    <w:p>
      <w:r>
        <w:rPr>
          <w:b/>
          <w:sz w:val="22"/>
        </w:rPr>
        <w:t>Supplementary Table S13. Sensitivity analyses, subgroup interactions and machine-learning external validation.</w:t>
      </w:r>
    </w:p>
    <w:tbl>
      <w:tblPr>
        <w:tblStyle w:val="TableGrid"/>
        <w:tblW w:type="auto" w:w="0"/>
        <w:tblLook w:firstColumn="1" w:firstRow="1" w:lastColumn="0" w:lastRow="0" w:noHBand="0" w:noVBand="1" w:val="04A0"/>
      </w:tblPr>
      <w:tblGrid>
        <w:gridCol w:w="2493"/>
        <w:gridCol w:w="2493"/>
        <w:gridCol w:w="2493"/>
        <w:gridCol w:w="2493"/>
      </w:tblGrid>
      <w:tr>
        <w:tc>
          <w:tcPr>
            <w:tcW w:type="dxa" w:w="2493"/>
          </w:tcPr>
          <w:p>
            <w:r>
              <w:rPr>
                <w:b/>
                <w:sz w:val="16"/>
              </w:rPr>
              <w:t>Scenario / subgroup / model</w:t>
            </w:r>
          </w:p>
        </w:tc>
        <w:tc>
          <w:tcPr>
            <w:tcW w:type="dxa" w:w="2493"/>
          </w:tcPr>
          <w:p>
            <w:r>
              <w:rPr>
                <w:b/>
                <w:sz w:val="16"/>
              </w:rPr>
              <w:t>Indicator</w:t>
            </w:r>
          </w:p>
        </w:tc>
        <w:tc>
          <w:tcPr>
            <w:tcW w:type="dxa" w:w="2493"/>
          </w:tcPr>
          <w:p>
            <w:r>
              <w:rPr>
                <w:b/>
                <w:sz w:val="16"/>
              </w:rPr>
              <w:t>HR (95% CI) / C-index</w:t>
            </w:r>
          </w:p>
        </w:tc>
        <w:tc>
          <w:tcPr>
            <w:tcW w:type="dxa" w:w="2493"/>
          </w:tcPr>
          <w:p>
            <w:r>
              <w:rPr>
                <w:b/>
                <w:sz w:val="16"/>
              </w:rPr>
              <w:t>P / detail</w:t>
            </w:r>
          </w:p>
        </w:tc>
      </w:tr>
      <w:tr>
        <w:tc>
          <w:tcPr>
            <w:tcW w:type="dxa" w:w="2493"/>
          </w:tcPr>
          <w:p>
            <w:r>
              <w:rPr>
                <w:sz w:val="16"/>
              </w:rPr>
              <w:t>A. Sensitivity analyses (per-SD M4 unless stated)</w:t>
            </w:r>
          </w:p>
        </w:tc>
        <w:tc>
          <w:tcPr>
            <w:tcW w:type="dxa" w:w="2493"/>
          </w:tcPr>
          <w:p>
            <w:r>
              <w:rPr>
                <w:sz w:val="16"/>
              </w:rPr>
            </w:r>
          </w:p>
        </w:tc>
        <w:tc>
          <w:tcPr>
            <w:tcW w:type="dxa" w:w="2493"/>
          </w:tcPr>
          <w:p>
            <w:r>
              <w:rPr>
                <w:sz w:val="16"/>
              </w:rPr>
            </w:r>
          </w:p>
        </w:tc>
        <w:tc>
          <w:tcPr>
            <w:tcW w:type="dxa" w:w="2493"/>
          </w:tcPr>
          <w:p>
            <w:r>
              <w:rPr>
                <w:sz w:val="16"/>
              </w:rPr>
            </w:r>
          </w:p>
        </w:tc>
      </w:tr>
      <w:tr>
        <w:tc>
          <w:tcPr>
            <w:tcW w:type="dxa" w:w="2493"/>
          </w:tcPr>
          <w:p>
            <w:r>
              <w:rPr>
                <w:sz w:val="16"/>
              </w:rPr>
              <w:t>S1_landmark_2yr</w:t>
            </w:r>
          </w:p>
        </w:tc>
        <w:tc>
          <w:tcPr>
            <w:tcW w:type="dxa" w:w="2493"/>
          </w:tcPr>
          <w:p>
            <w:r>
              <w:rPr>
                <w:sz w:val="16"/>
              </w:rPr>
              <w:t>BMI</w:t>
            </w:r>
          </w:p>
        </w:tc>
        <w:tc>
          <w:tcPr>
            <w:tcW w:type="dxa" w:w="2493"/>
          </w:tcPr>
          <w:p>
            <w:r>
              <w:rPr>
                <w:sz w:val="16"/>
              </w:rPr>
              <w:t>1.165 (1.115-1.217)</w:t>
            </w:r>
          </w:p>
        </w:tc>
        <w:tc>
          <w:tcPr>
            <w:tcW w:type="dxa" w:w="2493"/>
          </w:tcPr>
          <w:p>
            <w:r>
              <w:rPr>
                <w:sz w:val="16"/>
              </w:rPr>
              <w:t>&lt;0.001</w:t>
            </w:r>
          </w:p>
        </w:tc>
      </w:tr>
      <w:tr>
        <w:tc>
          <w:tcPr>
            <w:tcW w:type="dxa" w:w="2493"/>
          </w:tcPr>
          <w:p>
            <w:r>
              <w:rPr>
                <w:sz w:val="16"/>
              </w:rPr>
              <w:t>S1_landmark_2yr</w:t>
            </w:r>
          </w:p>
        </w:tc>
        <w:tc>
          <w:tcPr>
            <w:tcW w:type="dxa" w:w="2493"/>
          </w:tcPr>
          <w:p>
            <w:r>
              <w:rPr>
                <w:sz w:val="16"/>
              </w:rPr>
              <w:t>WC</w:t>
            </w:r>
          </w:p>
        </w:tc>
        <w:tc>
          <w:tcPr>
            <w:tcW w:type="dxa" w:w="2493"/>
          </w:tcPr>
          <w:p>
            <w:r>
              <w:rPr>
                <w:sz w:val="16"/>
              </w:rPr>
              <w:t>1.19 (1.136-1.246)</w:t>
            </w:r>
          </w:p>
        </w:tc>
        <w:tc>
          <w:tcPr>
            <w:tcW w:type="dxa" w:w="2493"/>
          </w:tcPr>
          <w:p>
            <w:r>
              <w:rPr>
                <w:sz w:val="16"/>
              </w:rPr>
              <w:t>&lt;0.001</w:t>
            </w:r>
          </w:p>
        </w:tc>
      </w:tr>
      <w:tr>
        <w:tc>
          <w:tcPr>
            <w:tcW w:type="dxa" w:w="2493"/>
          </w:tcPr>
          <w:p>
            <w:r>
              <w:rPr>
                <w:sz w:val="16"/>
              </w:rPr>
              <w:t>S1_landmark_2yr</w:t>
            </w:r>
          </w:p>
        </w:tc>
        <w:tc>
          <w:tcPr>
            <w:tcW w:type="dxa" w:w="2493"/>
          </w:tcPr>
          <w:p>
            <w:r>
              <w:rPr>
                <w:sz w:val="16"/>
              </w:rPr>
              <w:t>WHtR</w:t>
            </w:r>
          </w:p>
        </w:tc>
        <w:tc>
          <w:tcPr>
            <w:tcW w:type="dxa" w:w="2493"/>
          </w:tcPr>
          <w:p>
            <w:r>
              <w:rPr>
                <w:sz w:val="16"/>
              </w:rPr>
              <w:t>1.156 (1.106-1.208)</w:t>
            </w:r>
          </w:p>
        </w:tc>
        <w:tc>
          <w:tcPr>
            <w:tcW w:type="dxa" w:w="2493"/>
          </w:tcPr>
          <w:p>
            <w:r>
              <w:rPr>
                <w:sz w:val="16"/>
              </w:rPr>
              <w:t>&lt;0.001</w:t>
            </w:r>
          </w:p>
        </w:tc>
      </w:tr>
      <w:tr>
        <w:tc>
          <w:tcPr>
            <w:tcW w:type="dxa" w:w="2493"/>
          </w:tcPr>
          <w:p>
            <w:r>
              <w:rPr>
                <w:sz w:val="16"/>
              </w:rPr>
              <w:t>S1_landmark_2yr</w:t>
            </w:r>
          </w:p>
        </w:tc>
        <w:tc>
          <w:tcPr>
            <w:tcW w:type="dxa" w:w="2493"/>
          </w:tcPr>
          <w:p>
            <w:r>
              <w:rPr>
                <w:sz w:val="16"/>
              </w:rPr>
              <w:t>ABSI</w:t>
            </w:r>
          </w:p>
        </w:tc>
        <w:tc>
          <w:tcPr>
            <w:tcW w:type="dxa" w:w="2493"/>
          </w:tcPr>
          <w:p>
            <w:r>
              <w:rPr>
                <w:sz w:val="16"/>
              </w:rPr>
              <w:t>1.033 (0.988-1.08)</w:t>
            </w:r>
          </w:p>
        </w:tc>
        <w:tc>
          <w:tcPr>
            <w:tcW w:type="dxa" w:w="2493"/>
          </w:tcPr>
          <w:p>
            <w:r>
              <w:rPr>
                <w:sz w:val="16"/>
              </w:rPr>
              <w:t>0.147</w:t>
            </w:r>
          </w:p>
        </w:tc>
      </w:tr>
      <w:tr>
        <w:tc>
          <w:tcPr>
            <w:tcW w:type="dxa" w:w="2493"/>
          </w:tcPr>
          <w:p>
            <w:r>
              <w:rPr>
                <w:sz w:val="16"/>
              </w:rPr>
              <w:t>S1_landmark_2yr</w:t>
            </w:r>
          </w:p>
        </w:tc>
        <w:tc>
          <w:tcPr>
            <w:tcW w:type="dxa" w:w="2493"/>
          </w:tcPr>
          <w:p>
            <w:r>
              <w:rPr>
                <w:sz w:val="16"/>
              </w:rPr>
              <w:t>WWI</w:t>
            </w:r>
          </w:p>
        </w:tc>
        <w:tc>
          <w:tcPr>
            <w:tcW w:type="dxa" w:w="2493"/>
          </w:tcPr>
          <w:p>
            <w:r>
              <w:rPr>
                <w:sz w:val="16"/>
              </w:rPr>
              <w:t>1.069 (1.021-1.119)</w:t>
            </w:r>
          </w:p>
        </w:tc>
        <w:tc>
          <w:tcPr>
            <w:tcW w:type="dxa" w:w="2493"/>
          </w:tcPr>
          <w:p>
            <w:r>
              <w:rPr>
                <w:sz w:val="16"/>
              </w:rPr>
              <w:t>0.004</w:t>
            </w:r>
          </w:p>
        </w:tc>
      </w:tr>
      <w:tr>
        <w:tc>
          <w:tcPr>
            <w:tcW w:type="dxa" w:w="2493"/>
          </w:tcPr>
          <w:p>
            <w:r>
              <w:rPr>
                <w:sz w:val="16"/>
              </w:rPr>
              <w:t>S1_landmark_2yr</w:t>
            </w:r>
          </w:p>
        </w:tc>
        <w:tc>
          <w:tcPr>
            <w:tcW w:type="dxa" w:w="2493"/>
          </w:tcPr>
          <w:p>
            <w:r>
              <w:rPr>
                <w:sz w:val="16"/>
              </w:rPr>
              <w:t>BRI</w:t>
            </w:r>
          </w:p>
        </w:tc>
        <w:tc>
          <w:tcPr>
            <w:tcW w:type="dxa" w:w="2493"/>
          </w:tcPr>
          <w:p>
            <w:r>
              <w:rPr>
                <w:sz w:val="16"/>
              </w:rPr>
              <w:t>1.164 (1.118-1.213)</w:t>
            </w:r>
          </w:p>
        </w:tc>
        <w:tc>
          <w:tcPr>
            <w:tcW w:type="dxa" w:w="2493"/>
          </w:tcPr>
          <w:p>
            <w:r>
              <w:rPr>
                <w:sz w:val="16"/>
              </w:rPr>
              <w:t>&lt;0.001</w:t>
            </w:r>
          </w:p>
        </w:tc>
      </w:tr>
      <w:tr>
        <w:tc>
          <w:tcPr>
            <w:tcW w:type="dxa" w:w="2493"/>
          </w:tcPr>
          <w:p>
            <w:r>
              <w:rPr>
                <w:sz w:val="16"/>
              </w:rPr>
              <w:t>S1_landmark_2yr</w:t>
            </w:r>
          </w:p>
        </w:tc>
        <w:tc>
          <w:tcPr>
            <w:tcW w:type="dxa" w:w="2493"/>
          </w:tcPr>
          <w:p>
            <w:r>
              <w:rPr>
                <w:sz w:val="16"/>
              </w:rPr>
              <w:t>CI</w:t>
            </w:r>
          </w:p>
        </w:tc>
        <w:tc>
          <w:tcPr>
            <w:tcW w:type="dxa" w:w="2493"/>
          </w:tcPr>
          <w:p>
            <w:r>
              <w:rPr>
                <w:sz w:val="16"/>
              </w:rPr>
              <w:t>1.154 (1.102-1.208)</w:t>
            </w:r>
          </w:p>
        </w:tc>
        <w:tc>
          <w:tcPr>
            <w:tcW w:type="dxa" w:w="2493"/>
          </w:tcPr>
          <w:p>
            <w:r>
              <w:rPr>
                <w:sz w:val="16"/>
              </w:rPr>
              <w:t>&lt;0.001</w:t>
            </w:r>
          </w:p>
        </w:tc>
      </w:tr>
      <w:tr>
        <w:tc>
          <w:tcPr>
            <w:tcW w:type="dxa" w:w="2493"/>
          </w:tcPr>
          <w:p>
            <w:r>
              <w:rPr>
                <w:sz w:val="16"/>
              </w:rPr>
              <w:t>S3_complete_case</w:t>
            </w:r>
          </w:p>
        </w:tc>
        <w:tc>
          <w:tcPr>
            <w:tcW w:type="dxa" w:w="2493"/>
          </w:tcPr>
          <w:p>
            <w:r>
              <w:rPr>
                <w:sz w:val="16"/>
              </w:rPr>
              <w:t>BMI</w:t>
            </w:r>
          </w:p>
        </w:tc>
        <w:tc>
          <w:tcPr>
            <w:tcW w:type="dxa" w:w="2493"/>
          </w:tcPr>
          <w:p>
            <w:r>
              <w:rPr>
                <w:sz w:val="16"/>
              </w:rPr>
              <w:t>1.175 (1.127-1.225)</w:t>
            </w:r>
          </w:p>
        </w:tc>
        <w:tc>
          <w:tcPr>
            <w:tcW w:type="dxa" w:w="2493"/>
          </w:tcPr>
          <w:p>
            <w:r>
              <w:rPr>
                <w:sz w:val="16"/>
              </w:rPr>
              <w:t>&lt;0.001</w:t>
            </w:r>
          </w:p>
        </w:tc>
      </w:tr>
      <w:tr>
        <w:tc>
          <w:tcPr>
            <w:tcW w:type="dxa" w:w="2493"/>
          </w:tcPr>
          <w:p>
            <w:r>
              <w:rPr>
                <w:sz w:val="16"/>
              </w:rPr>
              <w:t>S3_complete_case</w:t>
            </w:r>
          </w:p>
        </w:tc>
        <w:tc>
          <w:tcPr>
            <w:tcW w:type="dxa" w:w="2493"/>
          </w:tcPr>
          <w:p>
            <w:r>
              <w:rPr>
                <w:sz w:val="16"/>
              </w:rPr>
              <w:t>WC</w:t>
            </w:r>
          </w:p>
        </w:tc>
        <w:tc>
          <w:tcPr>
            <w:tcW w:type="dxa" w:w="2493"/>
          </w:tcPr>
          <w:p>
            <w:r>
              <w:rPr>
                <w:sz w:val="16"/>
              </w:rPr>
              <w:t>1.249 (1.192-1.309)</w:t>
            </w:r>
          </w:p>
        </w:tc>
        <w:tc>
          <w:tcPr>
            <w:tcW w:type="dxa" w:w="2493"/>
          </w:tcPr>
          <w:p>
            <w:r>
              <w:rPr>
                <w:sz w:val="16"/>
              </w:rPr>
              <w:t>&lt;0.001</w:t>
            </w:r>
          </w:p>
        </w:tc>
      </w:tr>
      <w:tr>
        <w:tc>
          <w:tcPr>
            <w:tcW w:type="dxa" w:w="2493"/>
          </w:tcPr>
          <w:p>
            <w:r>
              <w:rPr>
                <w:sz w:val="16"/>
              </w:rPr>
              <w:t>S3_complete_case</w:t>
            </w:r>
          </w:p>
        </w:tc>
        <w:tc>
          <w:tcPr>
            <w:tcW w:type="dxa" w:w="2493"/>
          </w:tcPr>
          <w:p>
            <w:r>
              <w:rPr>
                <w:sz w:val="16"/>
              </w:rPr>
              <w:t>WHtR</w:t>
            </w:r>
          </w:p>
        </w:tc>
        <w:tc>
          <w:tcPr>
            <w:tcW w:type="dxa" w:w="2493"/>
          </w:tcPr>
          <w:p>
            <w:r>
              <w:rPr>
                <w:sz w:val="16"/>
              </w:rPr>
              <w:t>1.2 (1.147-1.255)</w:t>
            </w:r>
          </w:p>
        </w:tc>
        <w:tc>
          <w:tcPr>
            <w:tcW w:type="dxa" w:w="2493"/>
          </w:tcPr>
          <w:p>
            <w:r>
              <w:rPr>
                <w:sz w:val="16"/>
              </w:rPr>
              <w:t>&lt;0.001</w:t>
            </w:r>
          </w:p>
        </w:tc>
      </w:tr>
      <w:tr>
        <w:tc>
          <w:tcPr>
            <w:tcW w:type="dxa" w:w="2493"/>
          </w:tcPr>
          <w:p>
            <w:r>
              <w:rPr>
                <w:sz w:val="16"/>
              </w:rPr>
              <w:t>S3_complete_case</w:t>
            </w:r>
          </w:p>
        </w:tc>
        <w:tc>
          <w:tcPr>
            <w:tcW w:type="dxa" w:w="2493"/>
          </w:tcPr>
          <w:p>
            <w:r>
              <w:rPr>
                <w:sz w:val="16"/>
              </w:rPr>
              <w:t>ABSI</w:t>
            </w:r>
          </w:p>
        </w:tc>
        <w:tc>
          <w:tcPr>
            <w:tcW w:type="dxa" w:w="2493"/>
          </w:tcPr>
          <w:p>
            <w:r>
              <w:rPr>
                <w:sz w:val="16"/>
              </w:rPr>
              <w:t>1.077 (1.022-1.136)</w:t>
            </w:r>
          </w:p>
        </w:tc>
        <w:tc>
          <w:tcPr>
            <w:tcW w:type="dxa" w:w="2493"/>
          </w:tcPr>
          <w:p>
            <w:r>
              <w:rPr>
                <w:sz w:val="16"/>
              </w:rPr>
              <w:t>0.006</w:t>
            </w:r>
          </w:p>
        </w:tc>
      </w:tr>
      <w:tr>
        <w:tc>
          <w:tcPr>
            <w:tcW w:type="dxa" w:w="2493"/>
          </w:tcPr>
          <w:p>
            <w:r>
              <w:rPr>
                <w:sz w:val="16"/>
              </w:rPr>
              <w:t>S3_complete_case</w:t>
            </w:r>
          </w:p>
        </w:tc>
        <w:tc>
          <w:tcPr>
            <w:tcW w:type="dxa" w:w="2493"/>
          </w:tcPr>
          <w:p>
            <w:r>
              <w:rPr>
                <w:sz w:val="16"/>
              </w:rPr>
              <w:t>WWI</w:t>
            </w:r>
          </w:p>
        </w:tc>
        <w:tc>
          <w:tcPr>
            <w:tcW w:type="dxa" w:w="2493"/>
          </w:tcPr>
          <w:p>
            <w:r>
              <w:rPr>
                <w:sz w:val="16"/>
              </w:rPr>
              <w:t>1.124 (1.067-1.185)</w:t>
            </w:r>
          </w:p>
        </w:tc>
        <w:tc>
          <w:tcPr>
            <w:tcW w:type="dxa" w:w="2493"/>
          </w:tcPr>
          <w:p>
            <w:r>
              <w:rPr>
                <w:sz w:val="16"/>
              </w:rPr>
              <w:t>&lt;0.001</w:t>
            </w:r>
          </w:p>
        </w:tc>
      </w:tr>
      <w:tr>
        <w:tc>
          <w:tcPr>
            <w:tcW w:type="dxa" w:w="2493"/>
          </w:tcPr>
          <w:p>
            <w:r>
              <w:rPr>
                <w:sz w:val="16"/>
              </w:rPr>
              <w:t>S3_complete_case</w:t>
            </w:r>
          </w:p>
        </w:tc>
        <w:tc>
          <w:tcPr>
            <w:tcW w:type="dxa" w:w="2493"/>
          </w:tcPr>
          <w:p>
            <w:r>
              <w:rPr>
                <w:sz w:val="16"/>
              </w:rPr>
              <w:t>BRI</w:t>
            </w:r>
          </w:p>
        </w:tc>
        <w:tc>
          <w:tcPr>
            <w:tcW w:type="dxa" w:w="2493"/>
          </w:tcPr>
          <w:p>
            <w:r>
              <w:rPr>
                <w:sz w:val="16"/>
              </w:rPr>
              <w:t>1.171 (1.126-1.218)</w:t>
            </w:r>
          </w:p>
        </w:tc>
        <w:tc>
          <w:tcPr>
            <w:tcW w:type="dxa" w:w="2493"/>
          </w:tcPr>
          <w:p>
            <w:r>
              <w:rPr>
                <w:sz w:val="16"/>
              </w:rPr>
              <w:t>&lt;0.001</w:t>
            </w:r>
          </w:p>
        </w:tc>
      </w:tr>
      <w:tr>
        <w:tc>
          <w:tcPr>
            <w:tcW w:type="dxa" w:w="2493"/>
          </w:tcPr>
          <w:p>
            <w:r>
              <w:rPr>
                <w:sz w:val="16"/>
              </w:rPr>
              <w:t>S3_complete_case</w:t>
            </w:r>
          </w:p>
        </w:tc>
        <w:tc>
          <w:tcPr>
            <w:tcW w:type="dxa" w:w="2493"/>
          </w:tcPr>
          <w:p>
            <w:r>
              <w:rPr>
                <w:sz w:val="16"/>
              </w:rPr>
              <w:t>CI</w:t>
            </w:r>
          </w:p>
        </w:tc>
        <w:tc>
          <w:tcPr>
            <w:tcW w:type="dxa" w:w="2493"/>
          </w:tcPr>
          <w:p>
            <w:r>
              <w:rPr>
                <w:sz w:val="16"/>
              </w:rPr>
              <w:t>1.214 (1.157-1.273)</w:t>
            </w:r>
          </w:p>
        </w:tc>
        <w:tc>
          <w:tcPr>
            <w:tcW w:type="dxa" w:w="2493"/>
          </w:tcPr>
          <w:p>
            <w:r>
              <w:rPr>
                <w:sz w:val="16"/>
              </w:rPr>
              <w:t>&lt;0.001</w:t>
            </w:r>
          </w:p>
        </w:tc>
      </w:tr>
      <w:tr>
        <w:tc>
          <w:tcPr>
            <w:tcW w:type="dxa" w:w="2493"/>
          </w:tcPr>
          <w:p>
            <w:r>
              <w:rPr>
                <w:sz w:val="16"/>
              </w:rPr>
              <w:t>S5_exclude_WC_lt50</w:t>
            </w:r>
          </w:p>
        </w:tc>
        <w:tc>
          <w:tcPr>
            <w:tcW w:type="dxa" w:w="2493"/>
          </w:tcPr>
          <w:p>
            <w:r>
              <w:rPr>
                <w:sz w:val="16"/>
              </w:rPr>
              <w:t>BMI</w:t>
            </w:r>
          </w:p>
        </w:tc>
        <w:tc>
          <w:tcPr>
            <w:tcW w:type="dxa" w:w="2493"/>
          </w:tcPr>
          <w:p>
            <w:r>
              <w:rPr>
                <w:sz w:val="16"/>
              </w:rPr>
              <w:t>1.17 (1.125-1.217)</w:t>
            </w:r>
          </w:p>
        </w:tc>
        <w:tc>
          <w:tcPr>
            <w:tcW w:type="dxa" w:w="2493"/>
          </w:tcPr>
          <w:p>
            <w:r>
              <w:rPr>
                <w:sz w:val="16"/>
              </w:rPr>
              <w:t>&lt;0.001</w:t>
            </w:r>
          </w:p>
        </w:tc>
      </w:tr>
      <w:tr>
        <w:tc>
          <w:tcPr>
            <w:tcW w:type="dxa" w:w="2493"/>
          </w:tcPr>
          <w:p>
            <w:r>
              <w:rPr>
                <w:sz w:val="16"/>
              </w:rPr>
              <w:t>S5_exclude_WC_lt50</w:t>
            </w:r>
          </w:p>
        </w:tc>
        <w:tc>
          <w:tcPr>
            <w:tcW w:type="dxa" w:w="2493"/>
          </w:tcPr>
          <w:p>
            <w:r>
              <w:rPr>
                <w:sz w:val="16"/>
              </w:rPr>
              <w:t>WC</w:t>
            </w:r>
          </w:p>
        </w:tc>
        <w:tc>
          <w:tcPr>
            <w:tcW w:type="dxa" w:w="2493"/>
          </w:tcPr>
          <w:p>
            <w:r>
              <w:rPr>
                <w:sz w:val="16"/>
              </w:rPr>
              <w:t>1.239 (1.185-1.294)</w:t>
            </w:r>
          </w:p>
        </w:tc>
        <w:tc>
          <w:tcPr>
            <w:tcW w:type="dxa" w:w="2493"/>
          </w:tcPr>
          <w:p>
            <w:r>
              <w:rPr>
                <w:sz w:val="16"/>
              </w:rPr>
              <w:t>&lt;0.001</w:t>
            </w:r>
          </w:p>
        </w:tc>
      </w:tr>
      <w:tr>
        <w:tc>
          <w:tcPr>
            <w:tcW w:type="dxa" w:w="2493"/>
          </w:tcPr>
          <w:p>
            <w:r>
              <w:rPr>
                <w:sz w:val="16"/>
              </w:rPr>
              <w:t>S5_exclude_WC_lt50</w:t>
            </w:r>
          </w:p>
        </w:tc>
        <w:tc>
          <w:tcPr>
            <w:tcW w:type="dxa" w:w="2493"/>
          </w:tcPr>
          <w:p>
            <w:r>
              <w:rPr>
                <w:sz w:val="16"/>
              </w:rPr>
              <w:t>WHtR</w:t>
            </w:r>
          </w:p>
        </w:tc>
        <w:tc>
          <w:tcPr>
            <w:tcW w:type="dxa" w:w="2493"/>
          </w:tcPr>
          <w:p>
            <w:r>
              <w:rPr>
                <w:sz w:val="16"/>
              </w:rPr>
              <w:t>1.194 (1.145-1.246)</w:t>
            </w:r>
          </w:p>
        </w:tc>
        <w:tc>
          <w:tcPr>
            <w:tcW w:type="dxa" w:w="2493"/>
          </w:tcPr>
          <w:p>
            <w:r>
              <w:rPr>
                <w:sz w:val="16"/>
              </w:rPr>
              <w:t>&lt;0.001</w:t>
            </w:r>
          </w:p>
        </w:tc>
      </w:tr>
      <w:tr>
        <w:tc>
          <w:tcPr>
            <w:tcW w:type="dxa" w:w="2493"/>
          </w:tcPr>
          <w:p>
            <w:r>
              <w:rPr>
                <w:sz w:val="16"/>
              </w:rPr>
              <w:t>S5_exclude_WC_lt50</w:t>
            </w:r>
          </w:p>
        </w:tc>
        <w:tc>
          <w:tcPr>
            <w:tcW w:type="dxa" w:w="2493"/>
          </w:tcPr>
          <w:p>
            <w:r>
              <w:rPr>
                <w:sz w:val="16"/>
              </w:rPr>
              <w:t>ABSI</w:t>
            </w:r>
          </w:p>
        </w:tc>
        <w:tc>
          <w:tcPr>
            <w:tcW w:type="dxa" w:w="2493"/>
          </w:tcPr>
          <w:p>
            <w:r>
              <w:rPr>
                <w:sz w:val="16"/>
              </w:rPr>
              <w:t>1.071 (1.018-1.126)</w:t>
            </w:r>
          </w:p>
        </w:tc>
        <w:tc>
          <w:tcPr>
            <w:tcW w:type="dxa" w:w="2493"/>
          </w:tcPr>
          <w:p>
            <w:r>
              <w:rPr>
                <w:sz w:val="16"/>
              </w:rPr>
              <w:t>0.008</w:t>
            </w:r>
          </w:p>
        </w:tc>
      </w:tr>
      <w:tr>
        <w:tc>
          <w:tcPr>
            <w:tcW w:type="dxa" w:w="2493"/>
          </w:tcPr>
          <w:p>
            <w:r>
              <w:rPr>
                <w:sz w:val="16"/>
              </w:rPr>
              <w:t>S5_exclude_WC_lt50</w:t>
            </w:r>
          </w:p>
        </w:tc>
        <w:tc>
          <w:tcPr>
            <w:tcW w:type="dxa" w:w="2493"/>
          </w:tcPr>
          <w:p>
            <w:r>
              <w:rPr>
                <w:sz w:val="16"/>
              </w:rPr>
              <w:t>WWI</w:t>
            </w:r>
          </w:p>
        </w:tc>
        <w:tc>
          <w:tcPr>
            <w:tcW w:type="dxa" w:w="2493"/>
          </w:tcPr>
          <w:p>
            <w:r>
              <w:rPr>
                <w:sz w:val="16"/>
              </w:rPr>
              <w:t>1.119 (1.065-1.175)</w:t>
            </w:r>
          </w:p>
        </w:tc>
        <w:tc>
          <w:tcPr>
            <w:tcW w:type="dxa" w:w="2493"/>
          </w:tcPr>
          <w:p>
            <w:r>
              <w:rPr>
                <w:sz w:val="16"/>
              </w:rPr>
              <w:t>&lt;0.001</w:t>
            </w:r>
          </w:p>
        </w:tc>
      </w:tr>
      <w:tr>
        <w:tc>
          <w:tcPr>
            <w:tcW w:type="dxa" w:w="2493"/>
          </w:tcPr>
          <w:p>
            <w:r>
              <w:rPr>
                <w:sz w:val="16"/>
              </w:rPr>
              <w:t>S5_exclude_WC_lt50</w:t>
            </w:r>
          </w:p>
        </w:tc>
        <w:tc>
          <w:tcPr>
            <w:tcW w:type="dxa" w:w="2493"/>
          </w:tcPr>
          <w:p>
            <w:r>
              <w:rPr>
                <w:sz w:val="16"/>
              </w:rPr>
              <w:t>BRI</w:t>
            </w:r>
          </w:p>
        </w:tc>
        <w:tc>
          <w:tcPr>
            <w:tcW w:type="dxa" w:w="2493"/>
          </w:tcPr>
          <w:p>
            <w:r>
              <w:rPr>
                <w:sz w:val="16"/>
              </w:rPr>
              <w:t>1.166 (1.124-1.209)</w:t>
            </w:r>
          </w:p>
        </w:tc>
        <w:tc>
          <w:tcPr>
            <w:tcW w:type="dxa" w:w="2493"/>
          </w:tcPr>
          <w:p>
            <w:r>
              <w:rPr>
                <w:sz w:val="16"/>
              </w:rPr>
              <w:t>&lt;0.001</w:t>
            </w:r>
          </w:p>
        </w:tc>
      </w:tr>
      <w:tr>
        <w:tc>
          <w:tcPr>
            <w:tcW w:type="dxa" w:w="2493"/>
          </w:tcPr>
          <w:p>
            <w:r>
              <w:rPr>
                <w:sz w:val="16"/>
              </w:rPr>
              <w:t>S5_exclude_WC_lt50</w:t>
            </w:r>
          </w:p>
        </w:tc>
        <w:tc>
          <w:tcPr>
            <w:tcW w:type="dxa" w:w="2493"/>
          </w:tcPr>
          <w:p>
            <w:r>
              <w:rPr>
                <w:sz w:val="16"/>
              </w:rPr>
              <w:t>CI</w:t>
            </w:r>
          </w:p>
        </w:tc>
        <w:tc>
          <w:tcPr>
            <w:tcW w:type="dxa" w:w="2493"/>
          </w:tcPr>
          <w:p>
            <w:r>
              <w:rPr>
                <w:sz w:val="16"/>
              </w:rPr>
              <w:t>1.209 (1.156-1.264)</w:t>
            </w:r>
          </w:p>
        </w:tc>
        <w:tc>
          <w:tcPr>
            <w:tcW w:type="dxa" w:w="2493"/>
          </w:tcPr>
          <w:p>
            <w:r>
              <w:rPr>
                <w:sz w:val="16"/>
              </w:rPr>
              <w:t>&lt;0.001</w:t>
            </w:r>
          </w:p>
        </w:tc>
      </w:tr>
      <w:tr>
        <w:tc>
          <w:tcPr>
            <w:tcW w:type="dxa" w:w="2493"/>
          </w:tcPr>
          <w:p>
            <w:r>
              <w:rPr>
                <w:sz w:val="16"/>
              </w:rPr>
              <w:t>S6_equal_country_weight</w:t>
            </w:r>
          </w:p>
        </w:tc>
        <w:tc>
          <w:tcPr>
            <w:tcW w:type="dxa" w:w="2493"/>
          </w:tcPr>
          <w:p>
            <w:r>
              <w:rPr>
                <w:sz w:val="16"/>
              </w:rPr>
              <w:t>BMI</w:t>
            </w:r>
          </w:p>
        </w:tc>
        <w:tc>
          <w:tcPr>
            <w:tcW w:type="dxa" w:w="2493"/>
          </w:tcPr>
          <w:p>
            <w:r>
              <w:rPr>
                <w:sz w:val="16"/>
              </w:rPr>
              <w:t>1.158 (1.11-1.207)</w:t>
            </w:r>
          </w:p>
        </w:tc>
        <w:tc>
          <w:tcPr>
            <w:tcW w:type="dxa" w:w="2493"/>
          </w:tcPr>
          <w:p>
            <w:r>
              <w:rPr>
                <w:sz w:val="16"/>
              </w:rPr>
              <w:t>&lt;0.001</w:t>
            </w:r>
          </w:p>
        </w:tc>
      </w:tr>
      <w:tr>
        <w:tc>
          <w:tcPr>
            <w:tcW w:type="dxa" w:w="2493"/>
          </w:tcPr>
          <w:p>
            <w:r>
              <w:rPr>
                <w:sz w:val="16"/>
              </w:rPr>
              <w:t>S6_equal_country_weight</w:t>
            </w:r>
          </w:p>
        </w:tc>
        <w:tc>
          <w:tcPr>
            <w:tcW w:type="dxa" w:w="2493"/>
          </w:tcPr>
          <w:p>
            <w:r>
              <w:rPr>
                <w:sz w:val="16"/>
              </w:rPr>
              <w:t>WC</w:t>
            </w:r>
          </w:p>
        </w:tc>
        <w:tc>
          <w:tcPr>
            <w:tcW w:type="dxa" w:w="2493"/>
          </w:tcPr>
          <w:p>
            <w:r>
              <w:rPr>
                <w:sz w:val="16"/>
              </w:rPr>
              <w:t>1.193 (1.14-1.249)</w:t>
            </w:r>
          </w:p>
        </w:tc>
        <w:tc>
          <w:tcPr>
            <w:tcW w:type="dxa" w:w="2493"/>
          </w:tcPr>
          <w:p>
            <w:r>
              <w:rPr>
                <w:sz w:val="16"/>
              </w:rPr>
              <w:t>&lt;0.001</w:t>
            </w:r>
          </w:p>
        </w:tc>
      </w:tr>
      <w:tr>
        <w:tc>
          <w:tcPr>
            <w:tcW w:type="dxa" w:w="2493"/>
          </w:tcPr>
          <w:p>
            <w:r>
              <w:rPr>
                <w:sz w:val="16"/>
              </w:rPr>
              <w:t>S6_equal_country_weight</w:t>
            </w:r>
          </w:p>
        </w:tc>
        <w:tc>
          <w:tcPr>
            <w:tcW w:type="dxa" w:w="2493"/>
          </w:tcPr>
          <w:p>
            <w:r>
              <w:rPr>
                <w:sz w:val="16"/>
              </w:rPr>
              <w:t>WHtR</w:t>
            </w:r>
          </w:p>
        </w:tc>
        <w:tc>
          <w:tcPr>
            <w:tcW w:type="dxa" w:w="2493"/>
          </w:tcPr>
          <w:p>
            <w:r>
              <w:rPr>
                <w:sz w:val="16"/>
              </w:rPr>
              <w:t>1.161 (1.112-1.212)</w:t>
            </w:r>
          </w:p>
        </w:tc>
        <w:tc>
          <w:tcPr>
            <w:tcW w:type="dxa" w:w="2493"/>
          </w:tcPr>
          <w:p>
            <w:r>
              <w:rPr>
                <w:sz w:val="16"/>
              </w:rPr>
              <w:t>&lt;0.001</w:t>
            </w:r>
          </w:p>
        </w:tc>
      </w:tr>
      <w:tr>
        <w:tc>
          <w:tcPr>
            <w:tcW w:type="dxa" w:w="2493"/>
          </w:tcPr>
          <w:p>
            <w:r>
              <w:rPr>
                <w:sz w:val="16"/>
              </w:rPr>
              <w:t>S6_equal_country_weight</w:t>
            </w:r>
          </w:p>
        </w:tc>
        <w:tc>
          <w:tcPr>
            <w:tcW w:type="dxa" w:w="2493"/>
          </w:tcPr>
          <w:p>
            <w:r>
              <w:rPr>
                <w:sz w:val="16"/>
              </w:rPr>
              <w:t>ABSI</w:t>
            </w:r>
          </w:p>
        </w:tc>
        <w:tc>
          <w:tcPr>
            <w:tcW w:type="dxa" w:w="2493"/>
          </w:tcPr>
          <w:p>
            <w:r>
              <w:rPr>
                <w:sz w:val="16"/>
              </w:rPr>
              <w:t>1.043 (0.998-1.09)</w:t>
            </w:r>
          </w:p>
        </w:tc>
        <w:tc>
          <w:tcPr>
            <w:tcW w:type="dxa" w:w="2493"/>
          </w:tcPr>
          <w:p>
            <w:r>
              <w:rPr>
                <w:sz w:val="16"/>
              </w:rPr>
              <w:t>0.063</w:t>
            </w:r>
          </w:p>
        </w:tc>
      </w:tr>
      <w:tr>
        <w:tc>
          <w:tcPr>
            <w:tcW w:type="dxa" w:w="2493"/>
          </w:tcPr>
          <w:p>
            <w:r>
              <w:rPr>
                <w:sz w:val="16"/>
              </w:rPr>
              <w:t>S6_equal_country_weight</w:t>
            </w:r>
          </w:p>
        </w:tc>
        <w:tc>
          <w:tcPr>
            <w:tcW w:type="dxa" w:w="2493"/>
          </w:tcPr>
          <w:p>
            <w:r>
              <w:rPr>
                <w:sz w:val="16"/>
              </w:rPr>
              <w:t>WWI</w:t>
            </w:r>
          </w:p>
        </w:tc>
        <w:tc>
          <w:tcPr>
            <w:tcW w:type="dxa" w:w="2493"/>
          </w:tcPr>
          <w:p>
            <w:r>
              <w:rPr>
                <w:sz w:val="16"/>
              </w:rPr>
              <w:t>1.083 (1.034-1.134)</w:t>
            </w:r>
          </w:p>
        </w:tc>
        <w:tc>
          <w:tcPr>
            <w:tcW w:type="dxa" w:w="2493"/>
          </w:tcPr>
          <w:p>
            <w:r>
              <w:rPr>
                <w:sz w:val="16"/>
              </w:rPr>
              <w:t>&lt;0.001</w:t>
            </w:r>
          </w:p>
        </w:tc>
      </w:tr>
      <w:tr>
        <w:tc>
          <w:tcPr>
            <w:tcW w:type="dxa" w:w="2493"/>
          </w:tcPr>
          <w:p>
            <w:r>
              <w:rPr>
                <w:sz w:val="16"/>
              </w:rPr>
              <w:t>S6_equal_country_weight</w:t>
            </w:r>
          </w:p>
        </w:tc>
        <w:tc>
          <w:tcPr>
            <w:tcW w:type="dxa" w:w="2493"/>
          </w:tcPr>
          <w:p>
            <w:r>
              <w:rPr>
                <w:sz w:val="16"/>
              </w:rPr>
              <w:t>BRI</w:t>
            </w:r>
          </w:p>
        </w:tc>
        <w:tc>
          <w:tcPr>
            <w:tcW w:type="dxa" w:w="2493"/>
          </w:tcPr>
          <w:p>
            <w:r>
              <w:rPr>
                <w:sz w:val="16"/>
              </w:rPr>
              <w:t>1.155 (1.111-1.201)</w:t>
            </w:r>
          </w:p>
        </w:tc>
        <w:tc>
          <w:tcPr>
            <w:tcW w:type="dxa" w:w="2493"/>
          </w:tcPr>
          <w:p>
            <w:r>
              <w:rPr>
                <w:sz w:val="16"/>
              </w:rPr>
              <w:t>&lt;0.001</w:t>
            </w:r>
          </w:p>
        </w:tc>
      </w:tr>
      <w:tr>
        <w:tc>
          <w:tcPr>
            <w:tcW w:type="dxa" w:w="2493"/>
          </w:tcPr>
          <w:p>
            <w:r>
              <w:rPr>
                <w:sz w:val="16"/>
              </w:rPr>
              <w:t>S6_equal_country_weight</w:t>
            </w:r>
          </w:p>
        </w:tc>
        <w:tc>
          <w:tcPr>
            <w:tcW w:type="dxa" w:w="2493"/>
          </w:tcPr>
          <w:p>
            <w:r>
              <w:rPr>
                <w:sz w:val="16"/>
              </w:rPr>
              <w:t>CI</w:t>
            </w:r>
          </w:p>
        </w:tc>
        <w:tc>
          <w:tcPr>
            <w:tcW w:type="dxa" w:w="2493"/>
          </w:tcPr>
          <w:p>
            <w:r>
              <w:rPr>
                <w:sz w:val="16"/>
              </w:rPr>
              <w:t>1.164 (1.112-1.219)</w:t>
            </w:r>
          </w:p>
        </w:tc>
        <w:tc>
          <w:tcPr>
            <w:tcW w:type="dxa" w:w="2493"/>
          </w:tcPr>
          <w:p>
            <w:r>
              <w:rPr>
                <w:sz w:val="16"/>
              </w:rPr>
              <w:t>&lt;0.001</w:t>
            </w:r>
          </w:p>
        </w:tc>
      </w:tr>
      <w:tr>
        <w:tc>
          <w:tcPr>
            <w:tcW w:type="dxa" w:w="2493"/>
          </w:tcPr>
          <w:p>
            <w:r>
              <w:rPr>
                <w:sz w:val="16"/>
              </w:rPr>
              <w:t>S4a_BMI_China_cut_24_28</w:t>
            </w:r>
          </w:p>
        </w:tc>
        <w:tc>
          <w:tcPr>
            <w:tcW w:type="dxa" w:w="2493"/>
          </w:tcPr>
          <w:p>
            <w:r>
              <w:rPr>
                <w:sz w:val="16"/>
              </w:rPr>
              <w:t>BMI_overweight</w:t>
            </w:r>
          </w:p>
        </w:tc>
        <w:tc>
          <w:tcPr>
            <w:tcW w:type="dxa" w:w="2493"/>
          </w:tcPr>
          <w:p>
            <w:r>
              <w:rPr>
                <w:sz w:val="16"/>
              </w:rPr>
              <w:t>1.29 (1.182-1.409)</w:t>
            </w:r>
          </w:p>
        </w:tc>
        <w:tc>
          <w:tcPr>
            <w:tcW w:type="dxa" w:w="2493"/>
          </w:tcPr>
          <w:p>
            <w:r>
              <w:rPr>
                <w:sz w:val="16"/>
              </w:rPr>
              <w:t>&lt;0.001</w:t>
            </w:r>
          </w:p>
        </w:tc>
      </w:tr>
      <w:tr>
        <w:tc>
          <w:tcPr>
            <w:tcW w:type="dxa" w:w="2493"/>
          </w:tcPr>
          <w:p>
            <w:r>
              <w:rPr>
                <w:sz w:val="16"/>
              </w:rPr>
              <w:t>S4a_BMI_China_cut_24_28</w:t>
            </w:r>
          </w:p>
        </w:tc>
        <w:tc>
          <w:tcPr>
            <w:tcW w:type="dxa" w:w="2493"/>
          </w:tcPr>
          <w:p>
            <w:r>
              <w:rPr>
                <w:sz w:val="16"/>
              </w:rPr>
              <w:t>BMI_obese</w:t>
            </w:r>
          </w:p>
        </w:tc>
        <w:tc>
          <w:tcPr>
            <w:tcW w:type="dxa" w:w="2493"/>
          </w:tcPr>
          <w:p>
            <w:r>
              <w:rPr>
                <w:sz w:val="16"/>
              </w:rPr>
              <w:t>1.481 (1.337-1.64)</w:t>
            </w:r>
          </w:p>
        </w:tc>
        <w:tc>
          <w:tcPr>
            <w:tcW w:type="dxa" w:w="2493"/>
          </w:tcPr>
          <w:p>
            <w:r>
              <w:rPr>
                <w:sz w:val="16"/>
              </w:rPr>
              <w:t>&lt;0.001</w:t>
            </w:r>
          </w:p>
        </w:tc>
      </w:tr>
      <w:tr>
        <w:tc>
          <w:tcPr>
            <w:tcW w:type="dxa" w:w="2493"/>
          </w:tcPr>
          <w:p>
            <w:r>
              <w:rPr>
                <w:sz w:val="16"/>
              </w:rPr>
              <w:t>S4b_BMI_WHO_cut_25_30</w:t>
            </w:r>
          </w:p>
        </w:tc>
        <w:tc>
          <w:tcPr>
            <w:tcW w:type="dxa" w:w="2493"/>
          </w:tcPr>
          <w:p>
            <w:r>
              <w:rPr>
                <w:sz w:val="16"/>
              </w:rPr>
              <w:t>BMI_overweight</w:t>
            </w:r>
          </w:p>
        </w:tc>
        <w:tc>
          <w:tcPr>
            <w:tcW w:type="dxa" w:w="2493"/>
          </w:tcPr>
          <w:p>
            <w:r>
              <w:rPr>
                <w:sz w:val="16"/>
              </w:rPr>
              <w:t>1.29 (1.186-1.404)</w:t>
            </w:r>
          </w:p>
        </w:tc>
        <w:tc>
          <w:tcPr>
            <w:tcW w:type="dxa" w:w="2493"/>
          </w:tcPr>
          <w:p>
            <w:r>
              <w:rPr>
                <w:sz w:val="16"/>
              </w:rPr>
              <w:t>&lt;0.001</w:t>
            </w:r>
          </w:p>
        </w:tc>
      </w:tr>
      <w:tr>
        <w:tc>
          <w:tcPr>
            <w:tcW w:type="dxa" w:w="2493"/>
          </w:tcPr>
          <w:p>
            <w:r>
              <w:rPr>
                <w:sz w:val="16"/>
              </w:rPr>
              <w:t>S4b_BMI_WHO_cut_25_30</w:t>
            </w:r>
          </w:p>
        </w:tc>
        <w:tc>
          <w:tcPr>
            <w:tcW w:type="dxa" w:w="2493"/>
          </w:tcPr>
          <w:p>
            <w:r>
              <w:rPr>
                <w:sz w:val="16"/>
              </w:rPr>
              <w:t>BMI_obese</w:t>
            </w:r>
          </w:p>
        </w:tc>
        <w:tc>
          <w:tcPr>
            <w:tcW w:type="dxa" w:w="2493"/>
          </w:tcPr>
          <w:p>
            <w:r>
              <w:rPr>
                <w:sz w:val="16"/>
              </w:rPr>
              <w:t>1.443 (1.286-1.619)</w:t>
            </w:r>
          </w:p>
        </w:tc>
        <w:tc>
          <w:tcPr>
            <w:tcW w:type="dxa" w:w="2493"/>
          </w:tcPr>
          <w:p>
            <w:r>
              <w:rPr>
                <w:sz w:val="16"/>
              </w:rPr>
              <w:t>&lt;0.001</w:t>
            </w:r>
          </w:p>
        </w:tc>
      </w:tr>
      <w:tr>
        <w:tc>
          <w:tcPr>
            <w:tcW w:type="dxa" w:w="2493"/>
          </w:tcPr>
          <w:p>
            <w:r>
              <w:rPr>
                <w:sz w:val="16"/>
              </w:rPr>
              <w:t>B. Subgroup analysis (BMI per-SD, M4)</w:t>
            </w:r>
          </w:p>
        </w:tc>
        <w:tc>
          <w:tcPr>
            <w:tcW w:type="dxa" w:w="2493"/>
          </w:tcPr>
          <w:p>
            <w:r>
              <w:rPr>
                <w:sz w:val="16"/>
              </w:rPr>
            </w:r>
          </w:p>
        </w:tc>
        <w:tc>
          <w:tcPr>
            <w:tcW w:type="dxa" w:w="2493"/>
          </w:tcPr>
          <w:p>
            <w:r>
              <w:rPr>
                <w:sz w:val="16"/>
              </w:rPr>
            </w:r>
          </w:p>
        </w:tc>
        <w:tc>
          <w:tcPr>
            <w:tcW w:type="dxa" w:w="2493"/>
          </w:tcPr>
          <w:p>
            <w:r>
              <w:rPr>
                <w:sz w:val="16"/>
              </w:rPr>
            </w:r>
          </w:p>
        </w:tc>
      </w:tr>
      <w:tr>
        <w:tc>
          <w:tcPr>
            <w:tcW w:type="dxa" w:w="2493"/>
          </w:tcPr>
          <w:p>
            <w:r>
              <w:rPr>
                <w:sz w:val="16"/>
              </w:rPr>
              <w:t>Age &gt;=65y</w:t>
            </w:r>
          </w:p>
        </w:tc>
        <w:tc>
          <w:tcPr>
            <w:tcW w:type="dxa" w:w="2493"/>
          </w:tcPr>
          <w:p>
            <w:r>
              <w:rPr>
                <w:sz w:val="16"/>
              </w:rPr>
              <w:t>BMI</w:t>
            </w:r>
          </w:p>
        </w:tc>
        <w:tc>
          <w:tcPr>
            <w:tcW w:type="dxa" w:w="2493"/>
          </w:tcPr>
          <w:p>
            <w:r>
              <w:rPr>
                <w:sz w:val="16"/>
              </w:rPr>
              <w:t>1.117 (1.049-1.19)</w:t>
            </w:r>
          </w:p>
        </w:tc>
        <w:tc>
          <w:tcPr>
            <w:tcW w:type="dxa" w:w="2493"/>
          </w:tcPr>
          <w:p>
            <w:r>
              <w:rPr>
                <w:sz w:val="16"/>
              </w:rPr>
              <w:t>P-int 0.503</w:t>
            </w:r>
          </w:p>
        </w:tc>
      </w:tr>
      <w:tr>
        <w:tc>
          <w:tcPr>
            <w:tcW w:type="dxa" w:w="2493"/>
          </w:tcPr>
          <w:p>
            <w:r>
              <w:rPr>
                <w:sz w:val="16"/>
              </w:rPr>
              <w:t>Female</w:t>
            </w:r>
          </w:p>
        </w:tc>
        <w:tc>
          <w:tcPr>
            <w:tcW w:type="dxa" w:w="2493"/>
          </w:tcPr>
          <w:p>
            <w:r>
              <w:rPr>
                <w:sz w:val="16"/>
              </w:rPr>
              <w:t>BMI</w:t>
            </w:r>
          </w:p>
        </w:tc>
        <w:tc>
          <w:tcPr>
            <w:tcW w:type="dxa" w:w="2493"/>
          </w:tcPr>
          <w:p>
            <w:r>
              <w:rPr>
                <w:sz w:val="16"/>
              </w:rPr>
              <w:t>1.137 (1.081-1.195)</w:t>
            </w:r>
          </w:p>
        </w:tc>
        <w:tc>
          <w:tcPr>
            <w:tcW w:type="dxa" w:w="2493"/>
          </w:tcPr>
          <w:p>
            <w:r>
              <w:rPr>
                <w:sz w:val="16"/>
              </w:rPr>
              <w:t>P-int 0.00000441</w:t>
            </w:r>
          </w:p>
        </w:tc>
      </w:tr>
      <w:tr>
        <w:tc>
          <w:tcPr>
            <w:tcW w:type="dxa" w:w="2493"/>
          </w:tcPr>
          <w:p>
            <w:r>
              <w:rPr>
                <w:sz w:val="16"/>
              </w:rPr>
              <w:t>Ever smoker</w:t>
            </w:r>
          </w:p>
        </w:tc>
        <w:tc>
          <w:tcPr>
            <w:tcW w:type="dxa" w:w="2493"/>
          </w:tcPr>
          <w:p>
            <w:r>
              <w:rPr>
                <w:sz w:val="16"/>
              </w:rPr>
              <w:t>BMI</w:t>
            </w:r>
          </w:p>
        </w:tc>
        <w:tc>
          <w:tcPr>
            <w:tcW w:type="dxa" w:w="2493"/>
          </w:tcPr>
          <w:p>
            <w:r>
              <w:rPr>
                <w:sz w:val="16"/>
              </w:rPr>
              <w:t>1.165 (1.102-1.231)</w:t>
            </w:r>
          </w:p>
        </w:tc>
        <w:tc>
          <w:tcPr>
            <w:tcW w:type="dxa" w:w="2493"/>
          </w:tcPr>
          <w:p>
            <w:r>
              <w:rPr>
                <w:sz w:val="16"/>
              </w:rPr>
              <w:t>P-int 0.257</w:t>
            </w:r>
          </w:p>
        </w:tc>
      </w:tr>
      <w:tr>
        <w:tc>
          <w:tcPr>
            <w:tcW w:type="dxa" w:w="2493"/>
          </w:tcPr>
          <w:p>
            <w:r>
              <w:rPr>
                <w:sz w:val="16"/>
              </w:rPr>
              <w:t>Ever drinker</w:t>
            </w:r>
          </w:p>
        </w:tc>
        <w:tc>
          <w:tcPr>
            <w:tcW w:type="dxa" w:w="2493"/>
          </w:tcPr>
          <w:p>
            <w:r>
              <w:rPr>
                <w:sz w:val="16"/>
              </w:rPr>
              <w:t>BMI</w:t>
            </w:r>
          </w:p>
        </w:tc>
        <w:tc>
          <w:tcPr>
            <w:tcW w:type="dxa" w:w="2493"/>
          </w:tcPr>
          <w:p>
            <w:r>
              <w:rPr>
                <w:sz w:val="16"/>
              </w:rPr>
              <w:t>1.184 (1.124-1.247)</w:t>
            </w:r>
          </w:p>
        </w:tc>
        <w:tc>
          <w:tcPr>
            <w:tcW w:type="dxa" w:w="2493"/>
          </w:tcPr>
          <w:p>
            <w:r>
              <w:rPr>
                <w:sz w:val="16"/>
              </w:rPr>
              <w:t>P-int 0.407</w:t>
            </w:r>
          </w:p>
        </w:tc>
      </w:tr>
      <w:tr>
        <w:tc>
          <w:tcPr>
            <w:tcW w:type="dxa" w:w="2493"/>
          </w:tcPr>
          <w:p>
            <w:r>
              <w:rPr>
                <w:sz w:val="16"/>
              </w:rPr>
              <w:t>Diabetes</w:t>
            </w:r>
          </w:p>
        </w:tc>
        <w:tc>
          <w:tcPr>
            <w:tcW w:type="dxa" w:w="2493"/>
          </w:tcPr>
          <w:p>
            <w:r>
              <w:rPr>
                <w:sz w:val="16"/>
              </w:rPr>
              <w:t>BMI</w:t>
            </w:r>
          </w:p>
        </w:tc>
        <w:tc>
          <w:tcPr>
            <w:tcW w:type="dxa" w:w="2493"/>
          </w:tcPr>
          <w:p>
            <w:r>
              <w:rPr>
                <w:sz w:val="16"/>
              </w:rPr>
              <w:t>1.138 (0.982-1.318)</w:t>
            </w:r>
          </w:p>
        </w:tc>
        <w:tc>
          <w:tcPr>
            <w:tcW w:type="dxa" w:w="2493"/>
          </w:tcPr>
          <w:p>
            <w:r>
              <w:rPr>
                <w:sz w:val="16"/>
              </w:rPr>
              <w:t>P-int 0.35</w:t>
            </w:r>
          </w:p>
        </w:tc>
      </w:tr>
      <w:tr>
        <w:tc>
          <w:tcPr>
            <w:tcW w:type="dxa" w:w="2493"/>
          </w:tcPr>
          <w:p>
            <w:r>
              <w:rPr>
                <w:sz w:val="16"/>
              </w:rPr>
              <w:t>Hypertension</w:t>
            </w:r>
          </w:p>
        </w:tc>
        <w:tc>
          <w:tcPr>
            <w:tcW w:type="dxa" w:w="2493"/>
          </w:tcPr>
          <w:p>
            <w:r>
              <w:rPr>
                <w:sz w:val="16"/>
              </w:rPr>
              <w:t>BMI</w:t>
            </w:r>
          </w:p>
        </w:tc>
        <w:tc>
          <w:tcPr>
            <w:tcW w:type="dxa" w:w="2493"/>
          </w:tcPr>
          <w:p>
            <w:r>
              <w:rPr>
                <w:sz w:val="16"/>
              </w:rPr>
              <w:t>1.127 (1.062-1.196)</w:t>
            </w:r>
          </w:p>
        </w:tc>
        <w:tc>
          <w:tcPr>
            <w:tcW w:type="dxa" w:w="2493"/>
          </w:tcPr>
          <w:p>
            <w:r>
              <w:rPr>
                <w:sz w:val="16"/>
              </w:rPr>
              <w:t>P-int 0.00211</w:t>
            </w:r>
          </w:p>
        </w:tc>
      </w:tr>
      <w:tr>
        <w:tc>
          <w:tcPr>
            <w:tcW w:type="dxa" w:w="2493"/>
          </w:tcPr>
          <w:p>
            <w:r>
              <w:rPr>
                <w:sz w:val="16"/>
              </w:rPr>
              <w:t>C. XGBoost 7-year CVD prediction (external validation)</w:t>
            </w:r>
          </w:p>
        </w:tc>
        <w:tc>
          <w:tcPr>
            <w:tcW w:type="dxa" w:w="2493"/>
          </w:tcPr>
          <w:p>
            <w:r>
              <w:rPr>
                <w:sz w:val="16"/>
              </w:rPr>
            </w:r>
          </w:p>
        </w:tc>
        <w:tc>
          <w:tcPr>
            <w:tcW w:type="dxa" w:w="2493"/>
          </w:tcPr>
          <w:p>
            <w:r>
              <w:rPr>
                <w:sz w:val="16"/>
              </w:rPr>
            </w:r>
          </w:p>
        </w:tc>
        <w:tc>
          <w:tcPr>
            <w:tcW w:type="dxa" w:w="2493"/>
          </w:tcPr>
          <w:p>
            <w:r>
              <w:rPr>
                <w:sz w:val="16"/>
              </w:rPr>
            </w:r>
          </w:p>
        </w:tc>
      </w:tr>
      <w:tr>
        <w:tc>
          <w:tcPr>
            <w:tcW w:type="dxa" w:w="2493"/>
          </w:tcPr>
          <w:p>
            <w:r>
              <w:rPr>
                <w:sz w:val="16"/>
              </w:rPr>
              <w:t>China -&gt; England</w:t>
            </w:r>
          </w:p>
        </w:tc>
        <w:tc>
          <w:tcPr>
            <w:tcW w:type="dxa" w:w="2493"/>
          </w:tcPr>
          <w:p>
            <w:r>
              <w:rPr>
                <w:sz w:val="16"/>
              </w:rPr>
            </w:r>
          </w:p>
        </w:tc>
        <w:tc>
          <w:tcPr>
            <w:tcW w:type="dxa" w:w="2493"/>
          </w:tcPr>
          <w:p>
            <w:r>
              <w:rPr>
                <w:sz w:val="16"/>
              </w:rPr>
              <w:t>C-index 0.623; AUC 0.629</w:t>
            </w:r>
          </w:p>
        </w:tc>
        <w:tc>
          <w:tcPr>
            <w:tcW w:type="dxa" w:w="2493"/>
          </w:tcPr>
          <w:p>
            <w:r>
              <w:rPr>
                <w:sz w:val="16"/>
              </w:rPr>
              <w:t>Brier 0.1367; n=3754</w:t>
            </w:r>
          </w:p>
        </w:tc>
      </w:tr>
      <w:tr>
        <w:tc>
          <w:tcPr>
            <w:tcW w:type="dxa" w:w="2493"/>
          </w:tcPr>
          <w:p>
            <w:r>
              <w:rPr>
                <w:sz w:val="16"/>
              </w:rPr>
              <w:t>England -&gt; China</w:t>
            </w:r>
          </w:p>
        </w:tc>
        <w:tc>
          <w:tcPr>
            <w:tcW w:type="dxa" w:w="2493"/>
          </w:tcPr>
          <w:p>
            <w:r>
              <w:rPr>
                <w:sz w:val="16"/>
              </w:rPr>
            </w:r>
          </w:p>
        </w:tc>
        <w:tc>
          <w:tcPr>
            <w:tcW w:type="dxa" w:w="2493"/>
          </w:tcPr>
          <w:p>
            <w:r>
              <w:rPr>
                <w:sz w:val="16"/>
              </w:rPr>
              <w:t>C-index 0.618; AUC 0.623</w:t>
            </w:r>
          </w:p>
        </w:tc>
        <w:tc>
          <w:tcPr>
            <w:tcW w:type="dxa" w:w="2493"/>
          </w:tcPr>
          <w:p>
            <w:r>
              <w:rPr>
                <w:sz w:val="16"/>
              </w:rPr>
              <w:t>Brier 0.1525; n=10084</w:t>
            </w:r>
          </w:p>
        </w:tc>
      </w:tr>
      <w:tr>
        <w:tc>
          <w:tcPr>
            <w:tcW w:type="dxa" w:w="2493"/>
          </w:tcPr>
          <w:p>
            <w:r>
              <w:rPr>
                <w:sz w:val="16"/>
              </w:rPr>
              <w:t>Combined -&gt; China</w:t>
            </w:r>
          </w:p>
        </w:tc>
        <w:tc>
          <w:tcPr>
            <w:tcW w:type="dxa" w:w="2493"/>
          </w:tcPr>
          <w:p>
            <w:r>
              <w:rPr>
                <w:sz w:val="16"/>
              </w:rPr>
            </w:r>
          </w:p>
        </w:tc>
        <w:tc>
          <w:tcPr>
            <w:tcW w:type="dxa" w:w="2493"/>
          </w:tcPr>
          <w:p>
            <w:r>
              <w:rPr>
                <w:sz w:val="16"/>
              </w:rPr>
              <w:t>C-index 0.656; AUC 0.665</w:t>
            </w:r>
          </w:p>
        </w:tc>
        <w:tc>
          <w:tcPr>
            <w:tcW w:type="dxa" w:w="2493"/>
          </w:tcPr>
          <w:p>
            <w:r>
              <w:rPr>
                <w:sz w:val="16"/>
              </w:rPr>
              <w:t>Brier 0.1456; n=10084</w:t>
            </w:r>
          </w:p>
        </w:tc>
      </w:tr>
      <w:tr>
        <w:tc>
          <w:tcPr>
            <w:tcW w:type="dxa" w:w="2493"/>
          </w:tcPr>
          <w:p>
            <w:r>
              <w:rPr>
                <w:sz w:val="16"/>
              </w:rPr>
              <w:t>Combined -&gt; England</w:t>
            </w:r>
          </w:p>
        </w:tc>
        <w:tc>
          <w:tcPr>
            <w:tcW w:type="dxa" w:w="2493"/>
          </w:tcPr>
          <w:p>
            <w:r>
              <w:rPr>
                <w:sz w:val="16"/>
              </w:rPr>
            </w:r>
          </w:p>
        </w:tc>
        <w:tc>
          <w:tcPr>
            <w:tcW w:type="dxa" w:w="2493"/>
          </w:tcPr>
          <w:p>
            <w:r>
              <w:rPr>
                <w:sz w:val="16"/>
              </w:rPr>
              <w:t>C-index 0.701; AUC 0.712</w:t>
            </w:r>
          </w:p>
        </w:tc>
        <w:tc>
          <w:tcPr>
            <w:tcW w:type="dxa" w:w="2493"/>
          </w:tcPr>
          <w:p>
            <w:r>
              <w:rPr>
                <w:sz w:val="16"/>
              </w:rPr>
              <w:t>Brier 0.1231; n=3754</w:t>
            </w:r>
          </w:p>
        </w:tc>
      </w:tr>
      <w:tr>
        <w:tc>
          <w:tcPr>
            <w:tcW w:type="dxa" w:w="2493"/>
          </w:tcPr>
          <w:p>
            <w:r>
              <w:rPr>
                <w:sz w:val="16"/>
              </w:rPr>
              <w:t>D. Incremental value of adiposity indices for 7-year CVD (nested Cox models, MICE pooled)</w:t>
            </w:r>
          </w:p>
        </w:tc>
        <w:tc>
          <w:tcPr>
            <w:tcW w:type="dxa" w:w="2493"/>
          </w:tcPr>
          <w:p>
            <w:r>
              <w:rPr>
                <w:sz w:val="16"/>
              </w:rPr>
            </w:r>
          </w:p>
        </w:tc>
        <w:tc>
          <w:tcPr>
            <w:tcW w:type="dxa" w:w="2493"/>
          </w:tcPr>
          <w:p>
            <w:r>
              <w:rPr>
                <w:sz w:val="16"/>
              </w:rPr>
            </w:r>
          </w:p>
        </w:tc>
        <w:tc>
          <w:tcPr>
            <w:tcW w:type="dxa" w:w="2493"/>
          </w:tcPr>
          <w:p>
            <w:r>
              <w:rPr>
                <w:sz w:val="16"/>
              </w:rPr>
            </w:r>
          </w:p>
        </w:tc>
      </w:tr>
      <w:tr>
        <w:tc>
          <w:tcPr>
            <w:tcW w:type="dxa" w:w="2493"/>
          </w:tcPr>
          <w:p>
            <w:r>
              <w:rPr>
                <w:sz w:val="16"/>
              </w:rPr>
              <w:t>Base model (conventional risk factors)</w:t>
            </w:r>
          </w:p>
        </w:tc>
        <w:tc>
          <w:tcPr>
            <w:tcW w:type="dxa" w:w="2493"/>
          </w:tcPr>
          <w:p>
            <w:r>
              <w:rPr>
                <w:sz w:val="16"/>
              </w:rPr>
              <w:t>7 adiposity indices / WWI+WC</w:t>
            </w:r>
          </w:p>
        </w:tc>
        <w:tc>
          <w:tcPr>
            <w:tcW w:type="dxa" w:w="2493"/>
          </w:tcPr>
          <w:p>
            <w:r>
              <w:rPr>
                <w:sz w:val="16"/>
              </w:rPr>
              <w:t>C-index 0.631</w:t>
            </w:r>
          </w:p>
        </w:tc>
        <w:tc>
          <w:tcPr>
            <w:tcW w:type="dxa" w:w="2493"/>
          </w:tcPr>
          <w:p>
            <w:r>
              <w:rPr>
                <w:sz w:val="16"/>
              </w:rPr>
              <w:t>reference</w:t>
            </w:r>
          </w:p>
        </w:tc>
      </w:tr>
      <w:tr>
        <w:tc>
          <w:tcPr>
            <w:tcW w:type="dxa" w:w="2493"/>
          </w:tcPr>
          <w:p>
            <w:r>
              <w:rPr>
                <w:sz w:val="16"/>
              </w:rPr>
              <w:t>Base + 7 adiposity indices</w:t>
            </w:r>
          </w:p>
        </w:tc>
        <w:tc>
          <w:tcPr>
            <w:tcW w:type="dxa" w:w="2493"/>
          </w:tcPr>
          <w:p>
            <w:r>
              <w:rPr>
                <w:sz w:val="16"/>
              </w:rPr>
            </w:r>
          </w:p>
        </w:tc>
        <w:tc>
          <w:tcPr>
            <w:tcW w:type="dxa" w:w="2493"/>
          </w:tcPr>
          <w:p>
            <w:r>
              <w:rPr>
                <w:sz w:val="16"/>
              </w:rPr>
              <w:t>0.641 (ΔC +0.010, 95%CI 0.008-0.014)</w:t>
            </w:r>
          </w:p>
        </w:tc>
        <w:tc>
          <w:tcPr>
            <w:tcW w:type="dxa" w:w="2493"/>
          </w:tcPr>
          <w:p>
            <w:r>
              <w:rPr>
                <w:sz w:val="16"/>
              </w:rPr>
              <w:t>NRI 0.070 (0.029-0.107); IDI 0.005 (0.001-0.008)</w:t>
            </w:r>
          </w:p>
        </w:tc>
      </w:tr>
      <w:tr>
        <w:tc>
          <w:tcPr>
            <w:tcW w:type="dxa" w:w="2493"/>
          </w:tcPr>
          <w:p>
            <w:r>
              <w:rPr>
                <w:sz w:val="16"/>
              </w:rPr>
              <w:t>Base + WWI and WC</w:t>
            </w:r>
          </w:p>
        </w:tc>
        <w:tc>
          <w:tcPr>
            <w:tcW w:type="dxa" w:w="2493"/>
          </w:tcPr>
          <w:p>
            <w:r>
              <w:rPr>
                <w:sz w:val="16"/>
              </w:rPr>
            </w:r>
          </w:p>
        </w:tc>
        <w:tc>
          <w:tcPr>
            <w:tcW w:type="dxa" w:w="2493"/>
          </w:tcPr>
          <w:p>
            <w:r>
              <w:rPr>
                <w:sz w:val="16"/>
              </w:rPr>
              <w:t>0.639 (ΔC +0.008, 95%CI 0.006-0.012)</w:t>
            </w:r>
          </w:p>
        </w:tc>
        <w:tc>
          <w:tcPr>
            <w:tcW w:type="dxa" w:w="2493"/>
          </w:tcPr>
          <w:p>
            <w:r>
              <w:rPr>
                <w:sz w:val="16"/>
              </w:rPr>
              <w:t>NRI 0.060 (0.031-0.096); IDI 0.005 (0.001-0.007)</w:t>
            </w:r>
          </w:p>
        </w:tc>
      </w:tr>
    </w:tbl>
    <w:p>
      <w:r>
        <w:br w:type="page"/>
      </w:r>
    </w:p>
    <w:p>
      <w:r>
        <w:rPr>
          <w:b/>
          <w:sz w:val="22"/>
        </w:rPr>
        <w:t>Supplementary Table S14a. Time-dependent AUC (timeROC, inverse-probability-of-censoring weighting; 500 bootstrap replications) of the combined-cohort XGBoost model, by country.</w:t>
      </w:r>
    </w:p>
    <w:tbl>
      <w:tblPr>
        <w:tblStyle w:val="TableGrid"/>
        <w:tblW w:type="auto" w:w="0"/>
        <w:tblLook w:firstColumn="1" w:firstRow="1" w:lastColumn="0" w:lastRow="0" w:noHBand="0" w:noVBand="1" w:val="04A0"/>
      </w:tblPr>
      <w:tblGrid>
        <w:gridCol w:w="3324"/>
        <w:gridCol w:w="3324"/>
        <w:gridCol w:w="3324"/>
      </w:tblGrid>
      <w:tr>
        <w:tc>
          <w:tcPr>
            <w:tcW w:type="dxa" w:w="3324"/>
          </w:tcPr>
          <w:p>
            <w:r>
              <w:rPr>
                <w:b/>
                <w:sz w:val="16"/>
              </w:rPr>
              <w:t>Cohort</w:t>
            </w:r>
          </w:p>
        </w:tc>
        <w:tc>
          <w:tcPr>
            <w:tcW w:type="dxa" w:w="3324"/>
          </w:tcPr>
          <w:p>
            <w:r>
              <w:rPr>
                <w:b/>
                <w:sz w:val="16"/>
              </w:rPr>
              <w:t>Years</w:t>
            </w:r>
          </w:p>
        </w:tc>
        <w:tc>
          <w:tcPr>
            <w:tcW w:type="dxa" w:w="3324"/>
          </w:tcPr>
          <w:p>
            <w:r>
              <w:rPr>
                <w:b/>
                <w:sz w:val="16"/>
              </w:rPr>
              <w:t>AUC (95% CI)</w:t>
            </w:r>
          </w:p>
        </w:tc>
      </w:tr>
      <w:tr>
        <w:tc>
          <w:tcPr>
            <w:tcW w:type="dxa" w:w="3324"/>
          </w:tcPr>
          <w:p>
            <w:r>
              <w:rPr>
                <w:sz w:val="16"/>
              </w:rPr>
              <w:t>China</w:t>
            </w:r>
          </w:p>
        </w:tc>
        <w:tc>
          <w:tcPr>
            <w:tcW w:type="dxa" w:w="3324"/>
          </w:tcPr>
          <w:p>
            <w:r>
              <w:rPr>
                <w:sz w:val="16"/>
              </w:rPr>
              <w:t>2</w:t>
            </w:r>
          </w:p>
        </w:tc>
        <w:tc>
          <w:tcPr>
            <w:tcW w:type="dxa" w:w="3324"/>
          </w:tcPr>
          <w:p>
            <w:r>
              <w:rPr>
                <w:sz w:val="16"/>
              </w:rPr>
              <w:t>0.942 (0.871–0.985)</w:t>
            </w:r>
          </w:p>
        </w:tc>
      </w:tr>
      <w:tr>
        <w:tc>
          <w:tcPr>
            <w:tcW w:type="dxa" w:w="3324"/>
          </w:tcPr>
          <w:p>
            <w:r>
              <w:rPr>
                <w:sz w:val="16"/>
              </w:rPr>
              <w:t>China</w:t>
            </w:r>
          </w:p>
        </w:tc>
        <w:tc>
          <w:tcPr>
            <w:tcW w:type="dxa" w:w="3324"/>
          </w:tcPr>
          <w:p>
            <w:r>
              <w:rPr>
                <w:sz w:val="16"/>
              </w:rPr>
              <w:t>3</w:t>
            </w:r>
          </w:p>
        </w:tc>
        <w:tc>
          <w:tcPr>
            <w:tcW w:type="dxa" w:w="3324"/>
          </w:tcPr>
          <w:p>
            <w:r>
              <w:rPr>
                <w:sz w:val="16"/>
              </w:rPr>
              <w:t>0.685 (0.654–0.712)</w:t>
            </w:r>
          </w:p>
        </w:tc>
      </w:tr>
      <w:tr>
        <w:tc>
          <w:tcPr>
            <w:tcW w:type="dxa" w:w="3324"/>
          </w:tcPr>
          <w:p>
            <w:r>
              <w:rPr>
                <w:sz w:val="16"/>
              </w:rPr>
              <w:t>China</w:t>
            </w:r>
          </w:p>
        </w:tc>
        <w:tc>
          <w:tcPr>
            <w:tcW w:type="dxa" w:w="3324"/>
          </w:tcPr>
          <w:p>
            <w:r>
              <w:rPr>
                <w:sz w:val="16"/>
              </w:rPr>
              <w:t>5</w:t>
            </w:r>
          </w:p>
        </w:tc>
        <w:tc>
          <w:tcPr>
            <w:tcW w:type="dxa" w:w="3324"/>
          </w:tcPr>
          <w:p>
            <w:r>
              <w:rPr>
                <w:sz w:val="16"/>
              </w:rPr>
              <w:t>0.680 (0.661–0.697)</w:t>
            </w:r>
          </w:p>
        </w:tc>
      </w:tr>
      <w:tr>
        <w:tc>
          <w:tcPr>
            <w:tcW w:type="dxa" w:w="3324"/>
          </w:tcPr>
          <w:p>
            <w:r>
              <w:rPr>
                <w:sz w:val="16"/>
              </w:rPr>
              <w:t>England</w:t>
            </w:r>
          </w:p>
        </w:tc>
        <w:tc>
          <w:tcPr>
            <w:tcW w:type="dxa" w:w="3324"/>
          </w:tcPr>
          <w:p>
            <w:r>
              <w:rPr>
                <w:sz w:val="16"/>
              </w:rPr>
              <w:t>2</w:t>
            </w:r>
          </w:p>
        </w:tc>
        <w:tc>
          <w:tcPr>
            <w:tcW w:type="dxa" w:w="3324"/>
          </w:tcPr>
          <w:p>
            <w:r>
              <w:rPr>
                <w:sz w:val="16"/>
              </w:rPr>
              <w:t>0.698 (0.633–0.760)</w:t>
            </w:r>
          </w:p>
        </w:tc>
      </w:tr>
      <w:tr>
        <w:tc>
          <w:tcPr>
            <w:tcW w:type="dxa" w:w="3324"/>
          </w:tcPr>
          <w:p>
            <w:r>
              <w:rPr>
                <w:sz w:val="16"/>
              </w:rPr>
              <w:t>England</w:t>
            </w:r>
          </w:p>
        </w:tc>
        <w:tc>
          <w:tcPr>
            <w:tcW w:type="dxa" w:w="3324"/>
          </w:tcPr>
          <w:p>
            <w:r>
              <w:rPr>
                <w:sz w:val="16"/>
              </w:rPr>
              <w:t>3</w:t>
            </w:r>
          </w:p>
        </w:tc>
        <w:tc>
          <w:tcPr>
            <w:tcW w:type="dxa" w:w="3324"/>
          </w:tcPr>
          <w:p>
            <w:r>
              <w:rPr>
                <w:sz w:val="16"/>
              </w:rPr>
              <w:t>0.744 (0.709–0.780)</w:t>
            </w:r>
          </w:p>
        </w:tc>
      </w:tr>
      <w:tr>
        <w:tc>
          <w:tcPr>
            <w:tcW w:type="dxa" w:w="3324"/>
          </w:tcPr>
          <w:p>
            <w:r>
              <w:rPr>
                <w:sz w:val="16"/>
              </w:rPr>
              <w:t>England</w:t>
            </w:r>
          </w:p>
        </w:tc>
        <w:tc>
          <w:tcPr>
            <w:tcW w:type="dxa" w:w="3324"/>
          </w:tcPr>
          <w:p>
            <w:r>
              <w:rPr>
                <w:sz w:val="16"/>
              </w:rPr>
              <w:t>5</w:t>
            </w:r>
          </w:p>
        </w:tc>
        <w:tc>
          <w:tcPr>
            <w:tcW w:type="dxa" w:w="3324"/>
          </w:tcPr>
          <w:p>
            <w:r>
              <w:rPr>
                <w:sz w:val="16"/>
              </w:rPr>
              <w:t>0.739 (0.712–0.765)</w:t>
            </w:r>
          </w:p>
        </w:tc>
      </w:tr>
    </w:tbl>
    <w:p>
      <w:r>
        <w:br w:type="page"/>
      </w:r>
    </w:p>
    <w:p>
      <w:r>
        <w:rPr>
          <w:b/>
          <w:sz w:val="22"/>
        </w:rPr>
        <w:t>Supplementary Table S14b. Risk-stratified Kaplan–Meier analysis by predicted-risk tertile (combined-cohort model).</w:t>
      </w:r>
    </w:p>
    <w:tbl>
      <w:tblPr>
        <w:tblStyle w:val="TableGrid"/>
        <w:tblW w:type="auto" w:w="0"/>
        <w:tblLook w:firstColumn="1" w:firstRow="1" w:lastColumn="0" w:lastRow="0" w:noHBand="0" w:noVBand="1" w:val="04A0"/>
      </w:tblPr>
      <w:tblGrid>
        <w:gridCol w:w="1662"/>
        <w:gridCol w:w="1662"/>
        <w:gridCol w:w="1662"/>
        <w:gridCol w:w="1662"/>
        <w:gridCol w:w="1662"/>
        <w:gridCol w:w="1662"/>
      </w:tblGrid>
      <w:tr>
        <w:tc>
          <w:tcPr>
            <w:tcW w:type="dxa" w:w="1662"/>
          </w:tcPr>
          <w:p>
            <w:r>
              <w:rPr>
                <w:b/>
                <w:sz w:val="16"/>
              </w:rPr>
              <w:t>Cohort</w:t>
            </w:r>
          </w:p>
        </w:tc>
        <w:tc>
          <w:tcPr>
            <w:tcW w:type="dxa" w:w="1662"/>
          </w:tcPr>
          <w:p>
            <w:r>
              <w:rPr>
                <w:b/>
                <w:sz w:val="16"/>
              </w:rPr>
              <w:t>Tertile</w:t>
            </w:r>
          </w:p>
        </w:tc>
        <w:tc>
          <w:tcPr>
            <w:tcW w:type="dxa" w:w="1662"/>
          </w:tcPr>
          <w:p>
            <w:r>
              <w:rPr>
                <w:b/>
                <w:sz w:val="16"/>
              </w:rPr>
              <w:t>n</w:t>
            </w:r>
          </w:p>
        </w:tc>
        <w:tc>
          <w:tcPr>
            <w:tcW w:type="dxa" w:w="1662"/>
          </w:tcPr>
          <w:p>
            <w:r>
              <w:rPr>
                <w:b/>
                <w:sz w:val="16"/>
              </w:rPr>
              <w:t>Events</w:t>
            </w:r>
          </w:p>
        </w:tc>
        <w:tc>
          <w:tcPr>
            <w:tcW w:type="dxa" w:w="1662"/>
          </w:tcPr>
          <w:p>
            <w:r>
              <w:rPr>
                <w:b/>
                <w:sz w:val="16"/>
              </w:rPr>
              <w:t>HR vs low (95% CI)</w:t>
            </w:r>
          </w:p>
        </w:tc>
        <w:tc>
          <w:tcPr>
            <w:tcW w:type="dxa" w:w="1662"/>
          </w:tcPr>
          <w:p>
            <w:r>
              <w:rPr>
                <w:b/>
                <w:sz w:val="16"/>
              </w:rPr>
              <w:t>Log-rank P</w:t>
            </w:r>
          </w:p>
        </w:tc>
      </w:tr>
      <w:tr>
        <w:tc>
          <w:tcPr>
            <w:tcW w:type="dxa" w:w="1662"/>
          </w:tcPr>
          <w:p>
            <w:r>
              <w:rPr>
                <w:sz w:val="16"/>
              </w:rPr>
              <w:t>China</w:t>
            </w:r>
          </w:p>
        </w:tc>
        <w:tc>
          <w:tcPr>
            <w:tcW w:type="dxa" w:w="1662"/>
          </w:tcPr>
          <w:p>
            <w:r>
              <w:rPr>
                <w:sz w:val="16"/>
              </w:rPr>
              <w:t>Low</w:t>
            </w:r>
          </w:p>
        </w:tc>
        <w:tc>
          <w:tcPr>
            <w:tcW w:type="dxa" w:w="1662"/>
          </w:tcPr>
          <w:p>
            <w:r>
              <w:rPr>
                <w:sz w:val="16"/>
              </w:rPr>
              <w:t>3,361</w:t>
            </w:r>
          </w:p>
        </w:tc>
        <w:tc>
          <w:tcPr>
            <w:tcW w:type="dxa" w:w="1662"/>
          </w:tcPr>
          <w:p>
            <w:r>
              <w:rPr>
                <w:sz w:val="16"/>
              </w:rPr>
              <w:t>321</w:t>
            </w:r>
          </w:p>
        </w:tc>
        <w:tc>
          <w:tcPr>
            <w:tcW w:type="dxa" w:w="1662"/>
          </w:tcPr>
          <w:p>
            <w:r>
              <w:rPr>
                <w:sz w:val="16"/>
              </w:rPr>
              <w:t>1 (reference)</w:t>
            </w:r>
          </w:p>
        </w:tc>
        <w:tc>
          <w:tcPr>
            <w:tcW w:type="dxa" w:w="1662"/>
          </w:tcPr>
          <w:p>
            <w:r>
              <w:rPr>
                <w:sz w:val="16"/>
              </w:rPr>
              <w:t>&lt;1×10⁻¹²⁰</w:t>
            </w:r>
          </w:p>
        </w:tc>
      </w:tr>
      <w:tr>
        <w:tc>
          <w:tcPr>
            <w:tcW w:type="dxa" w:w="1662"/>
          </w:tcPr>
          <w:p>
            <w:r>
              <w:rPr>
                <w:sz w:val="16"/>
              </w:rPr>
              <w:t>China</w:t>
            </w:r>
          </w:p>
        </w:tc>
        <w:tc>
          <w:tcPr>
            <w:tcW w:type="dxa" w:w="1662"/>
          </w:tcPr>
          <w:p>
            <w:r>
              <w:rPr>
                <w:sz w:val="16"/>
              </w:rPr>
              <w:t>Intermediate</w:t>
            </w:r>
          </w:p>
        </w:tc>
        <w:tc>
          <w:tcPr>
            <w:tcW w:type="dxa" w:w="1662"/>
          </w:tcPr>
          <w:p>
            <w:r>
              <w:rPr>
                <w:sz w:val="16"/>
              </w:rPr>
              <w:t>3,361</w:t>
            </w:r>
          </w:p>
        </w:tc>
        <w:tc>
          <w:tcPr>
            <w:tcW w:type="dxa" w:w="1662"/>
          </w:tcPr>
          <w:p>
            <w:r>
              <w:rPr>
                <w:sz w:val="16"/>
              </w:rPr>
              <w:t>499</w:t>
            </w:r>
          </w:p>
        </w:tc>
        <w:tc>
          <w:tcPr>
            <w:tcW w:type="dxa" w:w="1662"/>
          </w:tcPr>
          <w:p>
            <w:r>
              <w:rPr>
                <w:sz w:val="16"/>
              </w:rPr>
              <w:t>1.602 (1.392–1.843)</w:t>
            </w:r>
          </w:p>
        </w:tc>
        <w:tc>
          <w:tcPr>
            <w:tcW w:type="dxa" w:w="1662"/>
          </w:tcPr>
          <w:p>
            <w:r>
              <w:rPr>
                <w:sz w:val="16"/>
              </w:rPr>
            </w:r>
          </w:p>
        </w:tc>
      </w:tr>
      <w:tr>
        <w:tc>
          <w:tcPr>
            <w:tcW w:type="dxa" w:w="1662"/>
          </w:tcPr>
          <w:p>
            <w:r>
              <w:rPr>
                <w:sz w:val="16"/>
              </w:rPr>
              <w:t>China</w:t>
            </w:r>
          </w:p>
        </w:tc>
        <w:tc>
          <w:tcPr>
            <w:tcW w:type="dxa" w:w="1662"/>
          </w:tcPr>
          <w:p>
            <w:r>
              <w:rPr>
                <w:sz w:val="16"/>
              </w:rPr>
              <w:t>High</w:t>
            </w:r>
          </w:p>
        </w:tc>
        <w:tc>
          <w:tcPr>
            <w:tcW w:type="dxa" w:w="1662"/>
          </w:tcPr>
          <w:p>
            <w:r>
              <w:rPr>
                <w:sz w:val="16"/>
              </w:rPr>
              <w:t>3,361</w:t>
            </w:r>
          </w:p>
        </w:tc>
        <w:tc>
          <w:tcPr>
            <w:tcW w:type="dxa" w:w="1662"/>
          </w:tcPr>
          <w:p>
            <w:r>
              <w:rPr>
                <w:sz w:val="16"/>
              </w:rPr>
              <w:t>1,037</w:t>
            </w:r>
          </w:p>
        </w:tc>
        <w:tc>
          <w:tcPr>
            <w:tcW w:type="dxa" w:w="1662"/>
          </w:tcPr>
          <w:p>
            <w:r>
              <w:rPr>
                <w:sz w:val="16"/>
              </w:rPr>
              <w:t>3.676 (3.243–4.166)</w:t>
            </w:r>
          </w:p>
        </w:tc>
        <w:tc>
          <w:tcPr>
            <w:tcW w:type="dxa" w:w="1662"/>
          </w:tcPr>
          <w:p>
            <w:r>
              <w:rPr>
                <w:sz w:val="16"/>
              </w:rPr>
            </w:r>
          </w:p>
        </w:tc>
      </w:tr>
      <w:tr>
        <w:tc>
          <w:tcPr>
            <w:tcW w:type="dxa" w:w="1662"/>
          </w:tcPr>
          <w:p>
            <w:r>
              <w:rPr>
                <w:sz w:val="16"/>
              </w:rPr>
              <w:t>England</w:t>
            </w:r>
          </w:p>
        </w:tc>
        <w:tc>
          <w:tcPr>
            <w:tcW w:type="dxa" w:w="1662"/>
          </w:tcPr>
          <w:p>
            <w:r>
              <w:rPr>
                <w:sz w:val="16"/>
              </w:rPr>
              <w:t>Low</w:t>
            </w:r>
          </w:p>
        </w:tc>
        <w:tc>
          <w:tcPr>
            <w:tcW w:type="dxa" w:w="1662"/>
          </w:tcPr>
          <w:p>
            <w:r>
              <w:rPr>
                <w:sz w:val="16"/>
              </w:rPr>
              <w:t>1,252</w:t>
            </w:r>
          </w:p>
        </w:tc>
        <w:tc>
          <w:tcPr>
            <w:tcW w:type="dxa" w:w="1662"/>
          </w:tcPr>
          <w:p>
            <w:r>
              <w:rPr>
                <w:sz w:val="16"/>
              </w:rPr>
              <w:t>67</w:t>
            </w:r>
          </w:p>
        </w:tc>
        <w:tc>
          <w:tcPr>
            <w:tcW w:type="dxa" w:w="1662"/>
          </w:tcPr>
          <w:p>
            <w:r>
              <w:rPr>
                <w:sz w:val="16"/>
              </w:rPr>
              <w:t>1 (reference)</w:t>
            </w:r>
          </w:p>
        </w:tc>
        <w:tc>
          <w:tcPr>
            <w:tcW w:type="dxa" w:w="1662"/>
          </w:tcPr>
          <w:p>
            <w:r>
              <w:rPr>
                <w:sz w:val="16"/>
              </w:rPr>
              <w:t>&lt;1×10⁻⁷⁰</w:t>
            </w:r>
          </w:p>
        </w:tc>
      </w:tr>
      <w:tr>
        <w:tc>
          <w:tcPr>
            <w:tcW w:type="dxa" w:w="1662"/>
          </w:tcPr>
          <w:p>
            <w:r>
              <w:rPr>
                <w:sz w:val="16"/>
              </w:rPr>
              <w:t>England</w:t>
            </w:r>
          </w:p>
        </w:tc>
        <w:tc>
          <w:tcPr>
            <w:tcW w:type="dxa" w:w="1662"/>
          </w:tcPr>
          <w:p>
            <w:r>
              <w:rPr>
                <w:sz w:val="16"/>
              </w:rPr>
              <w:t>Intermediate</w:t>
            </w:r>
          </w:p>
        </w:tc>
        <w:tc>
          <w:tcPr>
            <w:tcW w:type="dxa" w:w="1662"/>
          </w:tcPr>
          <w:p>
            <w:r>
              <w:rPr>
                <w:sz w:val="16"/>
              </w:rPr>
              <w:t>1,251</w:t>
            </w:r>
          </w:p>
        </w:tc>
        <w:tc>
          <w:tcPr>
            <w:tcW w:type="dxa" w:w="1662"/>
          </w:tcPr>
          <w:p>
            <w:r>
              <w:rPr>
                <w:sz w:val="16"/>
              </w:rPr>
              <w:t>169</w:t>
            </w:r>
          </w:p>
        </w:tc>
        <w:tc>
          <w:tcPr>
            <w:tcW w:type="dxa" w:w="1662"/>
          </w:tcPr>
          <w:p>
            <w:r>
              <w:rPr>
                <w:sz w:val="16"/>
              </w:rPr>
              <w:t>2.656 (2.002–3.525)</w:t>
            </w:r>
          </w:p>
        </w:tc>
        <w:tc>
          <w:tcPr>
            <w:tcW w:type="dxa" w:w="1662"/>
          </w:tcPr>
          <w:p>
            <w:r>
              <w:rPr>
                <w:sz w:val="16"/>
              </w:rPr>
            </w:r>
          </w:p>
        </w:tc>
      </w:tr>
      <w:tr>
        <w:tc>
          <w:tcPr>
            <w:tcW w:type="dxa" w:w="1662"/>
          </w:tcPr>
          <w:p>
            <w:r>
              <w:rPr>
                <w:sz w:val="16"/>
              </w:rPr>
              <w:t>England</w:t>
            </w:r>
          </w:p>
        </w:tc>
        <w:tc>
          <w:tcPr>
            <w:tcW w:type="dxa" w:w="1662"/>
          </w:tcPr>
          <w:p>
            <w:r>
              <w:rPr>
                <w:sz w:val="16"/>
              </w:rPr>
              <w:t>High</w:t>
            </w:r>
          </w:p>
        </w:tc>
        <w:tc>
          <w:tcPr>
            <w:tcW w:type="dxa" w:w="1662"/>
          </w:tcPr>
          <w:p>
            <w:r>
              <w:rPr>
                <w:sz w:val="16"/>
              </w:rPr>
              <w:t>1,251</w:t>
            </w:r>
          </w:p>
        </w:tc>
        <w:tc>
          <w:tcPr>
            <w:tcW w:type="dxa" w:w="1662"/>
          </w:tcPr>
          <w:p>
            <w:r>
              <w:rPr>
                <w:sz w:val="16"/>
              </w:rPr>
              <w:t>342</w:t>
            </w:r>
          </w:p>
        </w:tc>
        <w:tc>
          <w:tcPr>
            <w:tcW w:type="dxa" w:w="1662"/>
          </w:tcPr>
          <w:p>
            <w:r>
              <w:rPr>
                <w:sz w:val="16"/>
              </w:rPr>
              <w:t>5.863 (4.512–7.618)</w:t>
            </w:r>
          </w:p>
        </w:tc>
        <w:tc>
          <w:tcPr>
            <w:tcW w:type="dxa" w:w="1662"/>
          </w:tcPr>
          <w:p>
            <w:r>
              <w:rPr>
                <w:sz w:val="16"/>
              </w:rPr>
            </w:r>
          </w:p>
        </w:tc>
      </w:tr>
    </w:tbl>
    <w:p>
      <w:r>
        <w:br w:type="page"/>
      </w:r>
    </w:p>
    <w:p>
      <w:r>
        <w:rPr>
          <w:b/>
          <w:sz w:val="22"/>
        </w:rPr>
        <w:t>Supplementary Table S14c. Calibration of the combined-cohort model by predicted-risk decile (predicted 7-year risk vs observed Kaplan–Meier risk).</w:t>
      </w:r>
    </w:p>
    <w:tbl>
      <w:tblPr>
        <w:tblStyle w:val="TableGrid"/>
        <w:tblW w:type="auto" w:w="0"/>
        <w:tblLook w:firstColumn="1" w:firstRow="1" w:lastColumn="0" w:lastRow="0" w:noHBand="0" w:noVBand="1" w:val="04A0"/>
      </w:tblPr>
      <w:tblGrid>
        <w:gridCol w:w="1994"/>
        <w:gridCol w:w="1994"/>
        <w:gridCol w:w="1994"/>
        <w:gridCol w:w="1994"/>
        <w:gridCol w:w="1994"/>
      </w:tblGrid>
      <w:tr>
        <w:tc>
          <w:tcPr>
            <w:tcW w:type="dxa" w:w="1994"/>
          </w:tcPr>
          <w:p>
            <w:r>
              <w:rPr>
                <w:b/>
                <w:sz w:val="16"/>
              </w:rPr>
              <w:t>Cohort</w:t>
            </w:r>
          </w:p>
        </w:tc>
        <w:tc>
          <w:tcPr>
            <w:tcW w:type="dxa" w:w="1994"/>
          </w:tcPr>
          <w:p>
            <w:r>
              <w:rPr>
                <w:b/>
                <w:sz w:val="16"/>
              </w:rPr>
              <w:t>Decile</w:t>
            </w:r>
          </w:p>
        </w:tc>
        <w:tc>
          <w:tcPr>
            <w:tcW w:type="dxa" w:w="1994"/>
          </w:tcPr>
          <w:p>
            <w:r>
              <w:rPr>
                <w:b/>
                <w:sz w:val="16"/>
              </w:rPr>
              <w:t>n</w:t>
            </w:r>
          </w:p>
        </w:tc>
        <w:tc>
          <w:tcPr>
            <w:tcW w:type="dxa" w:w="1994"/>
          </w:tcPr>
          <w:p>
            <w:r>
              <w:rPr>
                <w:b/>
                <w:sz w:val="16"/>
              </w:rPr>
              <w:t>Predicted</w:t>
            </w:r>
          </w:p>
        </w:tc>
        <w:tc>
          <w:tcPr>
            <w:tcW w:type="dxa" w:w="1994"/>
          </w:tcPr>
          <w:p>
            <w:r>
              <w:rPr>
                <w:b/>
                <w:sz w:val="16"/>
              </w:rPr>
              <w:t>Observed (95% CI)</w:t>
            </w:r>
          </w:p>
        </w:tc>
      </w:tr>
      <w:tr>
        <w:tc>
          <w:tcPr>
            <w:tcW w:type="dxa" w:w="1994"/>
          </w:tcPr>
          <w:p>
            <w:r>
              <w:rPr>
                <w:sz w:val="16"/>
              </w:rPr>
              <w:t>China</w:t>
            </w:r>
          </w:p>
        </w:tc>
        <w:tc>
          <w:tcPr>
            <w:tcW w:type="dxa" w:w="1994"/>
          </w:tcPr>
          <w:p>
            <w:r>
              <w:rPr>
                <w:sz w:val="16"/>
              </w:rPr>
              <w:t>1</w:t>
            </w:r>
          </w:p>
        </w:tc>
        <w:tc>
          <w:tcPr>
            <w:tcW w:type="dxa" w:w="1994"/>
          </w:tcPr>
          <w:p>
            <w:r>
              <w:rPr>
                <w:sz w:val="16"/>
              </w:rPr>
              <w:t>1,009</w:t>
            </w:r>
          </w:p>
        </w:tc>
        <w:tc>
          <w:tcPr>
            <w:tcW w:type="dxa" w:w="1994"/>
          </w:tcPr>
          <w:p>
            <w:r>
              <w:rPr>
                <w:sz w:val="16"/>
              </w:rPr>
              <w:t>0.089</w:t>
            </w:r>
          </w:p>
        </w:tc>
        <w:tc>
          <w:tcPr>
            <w:tcW w:type="dxa" w:w="1994"/>
          </w:tcPr>
          <w:p>
            <w:r>
              <w:rPr>
                <w:sz w:val="16"/>
              </w:rPr>
              <w:t>0.050 (0.049–0.050)</w:t>
            </w:r>
          </w:p>
        </w:tc>
      </w:tr>
      <w:tr>
        <w:tc>
          <w:tcPr>
            <w:tcW w:type="dxa" w:w="1994"/>
          </w:tcPr>
          <w:p>
            <w:r>
              <w:rPr>
                <w:sz w:val="16"/>
              </w:rPr>
              <w:t>China</w:t>
            </w:r>
          </w:p>
        </w:tc>
        <w:tc>
          <w:tcPr>
            <w:tcW w:type="dxa" w:w="1994"/>
          </w:tcPr>
          <w:p>
            <w:r>
              <w:rPr>
                <w:sz w:val="16"/>
              </w:rPr>
              <w:t>2</w:t>
            </w:r>
          </w:p>
        </w:tc>
        <w:tc>
          <w:tcPr>
            <w:tcW w:type="dxa" w:w="1994"/>
          </w:tcPr>
          <w:p>
            <w:r>
              <w:rPr>
                <w:sz w:val="16"/>
              </w:rPr>
              <w:t>1,008</w:t>
            </w:r>
          </w:p>
        </w:tc>
        <w:tc>
          <w:tcPr>
            <w:tcW w:type="dxa" w:w="1994"/>
          </w:tcPr>
          <w:p>
            <w:r>
              <w:rPr>
                <w:sz w:val="16"/>
              </w:rPr>
              <w:t>0.108</w:t>
            </w:r>
          </w:p>
        </w:tc>
        <w:tc>
          <w:tcPr>
            <w:tcW w:type="dxa" w:w="1994"/>
          </w:tcPr>
          <w:p>
            <w:r>
              <w:rPr>
                <w:sz w:val="16"/>
              </w:rPr>
              <w:t>0.089 (0.088–0.091)</w:t>
            </w:r>
          </w:p>
        </w:tc>
      </w:tr>
      <w:tr>
        <w:tc>
          <w:tcPr>
            <w:tcW w:type="dxa" w:w="1994"/>
          </w:tcPr>
          <w:p>
            <w:r>
              <w:rPr>
                <w:sz w:val="16"/>
              </w:rPr>
              <w:t>China</w:t>
            </w:r>
          </w:p>
        </w:tc>
        <w:tc>
          <w:tcPr>
            <w:tcW w:type="dxa" w:w="1994"/>
          </w:tcPr>
          <w:p>
            <w:r>
              <w:rPr>
                <w:sz w:val="16"/>
              </w:rPr>
              <w:t>3</w:t>
            </w:r>
          </w:p>
        </w:tc>
        <w:tc>
          <w:tcPr>
            <w:tcW w:type="dxa" w:w="1994"/>
          </w:tcPr>
          <w:p>
            <w:r>
              <w:rPr>
                <w:sz w:val="16"/>
              </w:rPr>
              <w:t>1,008</w:t>
            </w:r>
          </w:p>
        </w:tc>
        <w:tc>
          <w:tcPr>
            <w:tcW w:type="dxa" w:w="1994"/>
          </w:tcPr>
          <w:p>
            <w:r>
              <w:rPr>
                <w:sz w:val="16"/>
              </w:rPr>
              <w:t>0.122</w:t>
            </w:r>
          </w:p>
        </w:tc>
        <w:tc>
          <w:tcPr>
            <w:tcW w:type="dxa" w:w="1994"/>
          </w:tcPr>
          <w:p>
            <w:r>
              <w:rPr>
                <w:sz w:val="16"/>
              </w:rPr>
              <w:t>0.130 (0.127–0.133)</w:t>
            </w:r>
          </w:p>
        </w:tc>
      </w:tr>
      <w:tr>
        <w:tc>
          <w:tcPr>
            <w:tcW w:type="dxa" w:w="1994"/>
          </w:tcPr>
          <w:p>
            <w:r>
              <w:rPr>
                <w:sz w:val="16"/>
              </w:rPr>
              <w:t>China</w:t>
            </w:r>
          </w:p>
        </w:tc>
        <w:tc>
          <w:tcPr>
            <w:tcW w:type="dxa" w:w="1994"/>
          </w:tcPr>
          <w:p>
            <w:r>
              <w:rPr>
                <w:sz w:val="16"/>
              </w:rPr>
              <w:t>4</w:t>
            </w:r>
          </w:p>
        </w:tc>
        <w:tc>
          <w:tcPr>
            <w:tcW w:type="dxa" w:w="1994"/>
          </w:tcPr>
          <w:p>
            <w:r>
              <w:rPr>
                <w:sz w:val="16"/>
              </w:rPr>
              <w:t>1,008</w:t>
            </w:r>
          </w:p>
        </w:tc>
        <w:tc>
          <w:tcPr>
            <w:tcW w:type="dxa" w:w="1994"/>
          </w:tcPr>
          <w:p>
            <w:r>
              <w:rPr>
                <w:sz w:val="16"/>
              </w:rPr>
              <w:t>0.134</w:t>
            </w:r>
          </w:p>
        </w:tc>
        <w:tc>
          <w:tcPr>
            <w:tcW w:type="dxa" w:w="1994"/>
          </w:tcPr>
          <w:p>
            <w:r>
              <w:rPr>
                <w:sz w:val="16"/>
              </w:rPr>
              <w:t>0.137 (0.134–0.140)</w:t>
            </w:r>
          </w:p>
        </w:tc>
      </w:tr>
      <w:tr>
        <w:tc>
          <w:tcPr>
            <w:tcW w:type="dxa" w:w="1994"/>
          </w:tcPr>
          <w:p>
            <w:r>
              <w:rPr>
                <w:sz w:val="16"/>
              </w:rPr>
              <w:t>China</w:t>
            </w:r>
          </w:p>
        </w:tc>
        <w:tc>
          <w:tcPr>
            <w:tcW w:type="dxa" w:w="1994"/>
          </w:tcPr>
          <w:p>
            <w:r>
              <w:rPr>
                <w:sz w:val="16"/>
              </w:rPr>
              <w:t>5</w:t>
            </w:r>
          </w:p>
        </w:tc>
        <w:tc>
          <w:tcPr>
            <w:tcW w:type="dxa" w:w="1994"/>
          </w:tcPr>
          <w:p>
            <w:r>
              <w:rPr>
                <w:sz w:val="16"/>
              </w:rPr>
              <w:t>1,009</w:t>
            </w:r>
          </w:p>
        </w:tc>
        <w:tc>
          <w:tcPr>
            <w:tcW w:type="dxa" w:w="1994"/>
          </w:tcPr>
          <w:p>
            <w:r>
              <w:rPr>
                <w:sz w:val="16"/>
              </w:rPr>
              <w:t>0.147</w:t>
            </w:r>
          </w:p>
        </w:tc>
        <w:tc>
          <w:tcPr>
            <w:tcW w:type="dxa" w:w="1994"/>
          </w:tcPr>
          <w:p>
            <w:r>
              <w:rPr>
                <w:sz w:val="16"/>
              </w:rPr>
              <w:t>0.136 (0.133–0.139)</w:t>
            </w:r>
          </w:p>
        </w:tc>
      </w:tr>
      <w:tr>
        <w:tc>
          <w:tcPr>
            <w:tcW w:type="dxa" w:w="1994"/>
          </w:tcPr>
          <w:p>
            <w:r>
              <w:rPr>
                <w:sz w:val="16"/>
              </w:rPr>
              <w:t>China</w:t>
            </w:r>
          </w:p>
        </w:tc>
        <w:tc>
          <w:tcPr>
            <w:tcW w:type="dxa" w:w="1994"/>
          </w:tcPr>
          <w:p>
            <w:r>
              <w:rPr>
                <w:sz w:val="16"/>
              </w:rPr>
              <w:t>6</w:t>
            </w:r>
          </w:p>
        </w:tc>
        <w:tc>
          <w:tcPr>
            <w:tcW w:type="dxa" w:w="1994"/>
          </w:tcPr>
          <w:p>
            <w:r>
              <w:rPr>
                <w:sz w:val="16"/>
              </w:rPr>
              <w:t>1,008</w:t>
            </w:r>
          </w:p>
        </w:tc>
        <w:tc>
          <w:tcPr>
            <w:tcW w:type="dxa" w:w="1994"/>
          </w:tcPr>
          <w:p>
            <w:r>
              <w:rPr>
                <w:sz w:val="16"/>
              </w:rPr>
              <w:t>0.164</w:t>
            </w:r>
          </w:p>
        </w:tc>
        <w:tc>
          <w:tcPr>
            <w:tcW w:type="dxa" w:w="1994"/>
          </w:tcPr>
          <w:p>
            <w:r>
              <w:rPr>
                <w:sz w:val="16"/>
              </w:rPr>
              <w:t>0.158 (0.154–0.161)</w:t>
            </w:r>
          </w:p>
        </w:tc>
      </w:tr>
      <w:tr>
        <w:tc>
          <w:tcPr>
            <w:tcW w:type="dxa" w:w="1994"/>
          </w:tcPr>
          <w:p>
            <w:r>
              <w:rPr>
                <w:sz w:val="16"/>
              </w:rPr>
              <w:t>China</w:t>
            </w:r>
          </w:p>
        </w:tc>
        <w:tc>
          <w:tcPr>
            <w:tcW w:type="dxa" w:w="1994"/>
          </w:tcPr>
          <w:p>
            <w:r>
              <w:rPr>
                <w:sz w:val="16"/>
              </w:rPr>
              <w:t>7</w:t>
            </w:r>
          </w:p>
        </w:tc>
        <w:tc>
          <w:tcPr>
            <w:tcW w:type="dxa" w:w="1994"/>
          </w:tcPr>
          <w:p>
            <w:r>
              <w:rPr>
                <w:sz w:val="16"/>
              </w:rPr>
              <w:t>1,008</w:t>
            </w:r>
          </w:p>
        </w:tc>
        <w:tc>
          <w:tcPr>
            <w:tcW w:type="dxa" w:w="1994"/>
          </w:tcPr>
          <w:p>
            <w:r>
              <w:rPr>
                <w:sz w:val="16"/>
              </w:rPr>
              <w:t>0.183</w:t>
            </w:r>
          </w:p>
        </w:tc>
        <w:tc>
          <w:tcPr>
            <w:tcW w:type="dxa" w:w="1994"/>
          </w:tcPr>
          <w:p>
            <w:r>
              <w:rPr>
                <w:sz w:val="16"/>
              </w:rPr>
              <w:t>0.185 (0.180–0.189)</w:t>
            </w:r>
          </w:p>
        </w:tc>
      </w:tr>
      <w:tr>
        <w:tc>
          <w:tcPr>
            <w:tcW w:type="dxa" w:w="1994"/>
          </w:tcPr>
          <w:p>
            <w:r>
              <w:rPr>
                <w:sz w:val="16"/>
              </w:rPr>
              <w:t>China</w:t>
            </w:r>
          </w:p>
        </w:tc>
        <w:tc>
          <w:tcPr>
            <w:tcW w:type="dxa" w:w="1994"/>
          </w:tcPr>
          <w:p>
            <w:r>
              <w:rPr>
                <w:sz w:val="16"/>
              </w:rPr>
              <w:t>8</w:t>
            </w:r>
          </w:p>
        </w:tc>
        <w:tc>
          <w:tcPr>
            <w:tcW w:type="dxa" w:w="1994"/>
          </w:tcPr>
          <w:p>
            <w:r>
              <w:rPr>
                <w:sz w:val="16"/>
              </w:rPr>
              <w:t>1,008</w:t>
            </w:r>
          </w:p>
        </w:tc>
        <w:tc>
          <w:tcPr>
            <w:tcW w:type="dxa" w:w="1994"/>
          </w:tcPr>
          <w:p>
            <w:r>
              <w:rPr>
                <w:sz w:val="16"/>
              </w:rPr>
              <w:t>0.205</w:t>
            </w:r>
          </w:p>
        </w:tc>
        <w:tc>
          <w:tcPr>
            <w:tcW w:type="dxa" w:w="1994"/>
          </w:tcPr>
          <w:p>
            <w:r>
              <w:rPr>
                <w:sz w:val="16"/>
              </w:rPr>
              <w:t>0.255 (0.248–0.262)</w:t>
            </w:r>
          </w:p>
        </w:tc>
      </w:tr>
      <w:tr>
        <w:tc>
          <w:tcPr>
            <w:tcW w:type="dxa" w:w="1994"/>
          </w:tcPr>
          <w:p>
            <w:r>
              <w:rPr>
                <w:sz w:val="16"/>
              </w:rPr>
              <w:t>China</w:t>
            </w:r>
          </w:p>
        </w:tc>
        <w:tc>
          <w:tcPr>
            <w:tcW w:type="dxa" w:w="1994"/>
          </w:tcPr>
          <w:p>
            <w:r>
              <w:rPr>
                <w:sz w:val="16"/>
              </w:rPr>
              <w:t>9</w:t>
            </w:r>
          </w:p>
        </w:tc>
        <w:tc>
          <w:tcPr>
            <w:tcW w:type="dxa" w:w="1994"/>
          </w:tcPr>
          <w:p>
            <w:r>
              <w:rPr>
                <w:sz w:val="16"/>
              </w:rPr>
              <w:t>1,008</w:t>
            </w:r>
          </w:p>
        </w:tc>
        <w:tc>
          <w:tcPr>
            <w:tcW w:type="dxa" w:w="1994"/>
          </w:tcPr>
          <w:p>
            <w:r>
              <w:rPr>
                <w:sz w:val="16"/>
              </w:rPr>
              <w:t>0.252</w:t>
            </w:r>
          </w:p>
        </w:tc>
        <w:tc>
          <w:tcPr>
            <w:tcW w:type="dxa" w:w="1994"/>
          </w:tcPr>
          <w:p>
            <w:r>
              <w:rPr>
                <w:sz w:val="16"/>
              </w:rPr>
              <w:t>0.290 (0.282–0.298)</w:t>
            </w:r>
          </w:p>
        </w:tc>
      </w:tr>
      <w:tr>
        <w:tc>
          <w:tcPr>
            <w:tcW w:type="dxa" w:w="1994"/>
          </w:tcPr>
          <w:p>
            <w:r>
              <w:rPr>
                <w:sz w:val="16"/>
              </w:rPr>
              <w:t>China</w:t>
            </w:r>
          </w:p>
        </w:tc>
        <w:tc>
          <w:tcPr>
            <w:tcW w:type="dxa" w:w="1994"/>
          </w:tcPr>
          <w:p>
            <w:r>
              <w:rPr>
                <w:sz w:val="16"/>
              </w:rPr>
              <w:t>10</w:t>
            </w:r>
          </w:p>
        </w:tc>
        <w:tc>
          <w:tcPr>
            <w:tcW w:type="dxa" w:w="1994"/>
          </w:tcPr>
          <w:p>
            <w:r>
              <w:rPr>
                <w:sz w:val="16"/>
              </w:rPr>
              <w:t>1,009</w:t>
            </w:r>
          </w:p>
        </w:tc>
        <w:tc>
          <w:tcPr>
            <w:tcW w:type="dxa" w:w="1994"/>
          </w:tcPr>
          <w:p>
            <w:r>
              <w:rPr>
                <w:sz w:val="16"/>
              </w:rPr>
              <w:t>0.337</w:t>
            </w:r>
          </w:p>
        </w:tc>
        <w:tc>
          <w:tcPr>
            <w:tcW w:type="dxa" w:w="1994"/>
          </w:tcPr>
          <w:p>
            <w:r>
              <w:rPr>
                <w:sz w:val="16"/>
              </w:rPr>
              <w:t>0.413 (0.401–0.426)</w:t>
            </w:r>
          </w:p>
        </w:tc>
      </w:tr>
      <w:tr>
        <w:tc>
          <w:tcPr>
            <w:tcW w:type="dxa" w:w="1994"/>
          </w:tcPr>
          <w:p>
            <w:r>
              <w:rPr>
                <w:sz w:val="16"/>
              </w:rPr>
              <w:t>England</w:t>
            </w:r>
          </w:p>
        </w:tc>
        <w:tc>
          <w:tcPr>
            <w:tcW w:type="dxa" w:w="1994"/>
          </w:tcPr>
          <w:p>
            <w:r>
              <w:rPr>
                <w:sz w:val="16"/>
              </w:rPr>
              <w:t>1</w:t>
            </w:r>
          </w:p>
        </w:tc>
        <w:tc>
          <w:tcPr>
            <w:tcW w:type="dxa" w:w="1994"/>
          </w:tcPr>
          <w:p>
            <w:r>
              <w:rPr>
                <w:sz w:val="16"/>
              </w:rPr>
              <w:t>376</w:t>
            </w:r>
          </w:p>
        </w:tc>
        <w:tc>
          <w:tcPr>
            <w:tcW w:type="dxa" w:w="1994"/>
          </w:tcPr>
          <w:p>
            <w:r>
              <w:rPr>
                <w:sz w:val="16"/>
              </w:rPr>
              <w:t>0.095</w:t>
            </w:r>
          </w:p>
        </w:tc>
        <w:tc>
          <w:tcPr>
            <w:tcW w:type="dxa" w:w="1994"/>
          </w:tcPr>
          <w:p>
            <w:r>
              <w:rPr>
                <w:sz w:val="16"/>
              </w:rPr>
              <w:t>0.029 (0.029–0.030)</w:t>
            </w:r>
          </w:p>
        </w:tc>
      </w:tr>
      <w:tr>
        <w:tc>
          <w:tcPr>
            <w:tcW w:type="dxa" w:w="1994"/>
          </w:tcPr>
          <w:p>
            <w:r>
              <w:rPr>
                <w:sz w:val="16"/>
              </w:rPr>
              <w:t>England</w:t>
            </w:r>
          </w:p>
        </w:tc>
        <w:tc>
          <w:tcPr>
            <w:tcW w:type="dxa" w:w="1994"/>
          </w:tcPr>
          <w:p>
            <w:r>
              <w:rPr>
                <w:sz w:val="16"/>
              </w:rPr>
              <w:t>2</w:t>
            </w:r>
          </w:p>
        </w:tc>
        <w:tc>
          <w:tcPr>
            <w:tcW w:type="dxa" w:w="1994"/>
          </w:tcPr>
          <w:p>
            <w:r>
              <w:rPr>
                <w:sz w:val="16"/>
              </w:rPr>
              <w:t>375</w:t>
            </w:r>
          </w:p>
        </w:tc>
        <w:tc>
          <w:tcPr>
            <w:tcW w:type="dxa" w:w="1994"/>
          </w:tcPr>
          <w:p>
            <w:r>
              <w:rPr>
                <w:sz w:val="16"/>
              </w:rPr>
              <w:t>0.116</w:t>
            </w:r>
          </w:p>
        </w:tc>
        <w:tc>
          <w:tcPr>
            <w:tcW w:type="dxa" w:w="1994"/>
          </w:tcPr>
          <w:p>
            <w:r>
              <w:rPr>
                <w:sz w:val="16"/>
              </w:rPr>
              <w:t>0.053 (0.052–0.055)</w:t>
            </w:r>
          </w:p>
        </w:tc>
      </w:tr>
      <w:tr>
        <w:tc>
          <w:tcPr>
            <w:tcW w:type="dxa" w:w="1994"/>
          </w:tcPr>
          <w:p>
            <w:r>
              <w:rPr>
                <w:sz w:val="16"/>
              </w:rPr>
              <w:t>England</w:t>
            </w:r>
          </w:p>
        </w:tc>
        <w:tc>
          <w:tcPr>
            <w:tcW w:type="dxa" w:w="1994"/>
          </w:tcPr>
          <w:p>
            <w:r>
              <w:rPr>
                <w:sz w:val="16"/>
              </w:rPr>
              <w:t>3</w:t>
            </w:r>
          </w:p>
        </w:tc>
        <w:tc>
          <w:tcPr>
            <w:tcW w:type="dxa" w:w="1994"/>
          </w:tcPr>
          <w:p>
            <w:r>
              <w:rPr>
                <w:sz w:val="16"/>
              </w:rPr>
              <w:t>375</w:t>
            </w:r>
          </w:p>
        </w:tc>
        <w:tc>
          <w:tcPr>
            <w:tcW w:type="dxa" w:w="1994"/>
          </w:tcPr>
          <w:p>
            <w:r>
              <w:rPr>
                <w:sz w:val="16"/>
              </w:rPr>
              <w:t>0.133</w:t>
            </w:r>
          </w:p>
        </w:tc>
        <w:tc>
          <w:tcPr>
            <w:tcW w:type="dxa" w:w="1994"/>
          </w:tcPr>
          <w:p>
            <w:r>
              <w:rPr>
                <w:sz w:val="16"/>
              </w:rPr>
              <w:t>0.072 (0.070–0.074)</w:t>
            </w:r>
          </w:p>
        </w:tc>
      </w:tr>
      <w:tr>
        <w:tc>
          <w:tcPr>
            <w:tcW w:type="dxa" w:w="1994"/>
          </w:tcPr>
          <w:p>
            <w:r>
              <w:rPr>
                <w:sz w:val="16"/>
              </w:rPr>
              <w:t>England</w:t>
            </w:r>
          </w:p>
        </w:tc>
        <w:tc>
          <w:tcPr>
            <w:tcW w:type="dxa" w:w="1994"/>
          </w:tcPr>
          <w:p>
            <w:r>
              <w:rPr>
                <w:sz w:val="16"/>
              </w:rPr>
              <w:t>4</w:t>
            </w:r>
          </w:p>
        </w:tc>
        <w:tc>
          <w:tcPr>
            <w:tcW w:type="dxa" w:w="1994"/>
          </w:tcPr>
          <w:p>
            <w:r>
              <w:rPr>
                <w:sz w:val="16"/>
              </w:rPr>
              <w:t>376</w:t>
            </w:r>
          </w:p>
        </w:tc>
        <w:tc>
          <w:tcPr>
            <w:tcW w:type="dxa" w:w="1994"/>
          </w:tcPr>
          <w:p>
            <w:r>
              <w:rPr>
                <w:sz w:val="16"/>
              </w:rPr>
              <w:t>0.150</w:t>
            </w:r>
          </w:p>
        </w:tc>
        <w:tc>
          <w:tcPr>
            <w:tcW w:type="dxa" w:w="1994"/>
          </w:tcPr>
          <w:p>
            <w:r>
              <w:rPr>
                <w:sz w:val="16"/>
              </w:rPr>
              <w:t>0.080 (0.078–0.082)</w:t>
            </w:r>
          </w:p>
        </w:tc>
      </w:tr>
      <w:tr>
        <w:tc>
          <w:tcPr>
            <w:tcW w:type="dxa" w:w="1994"/>
          </w:tcPr>
          <w:p>
            <w:r>
              <w:rPr>
                <w:sz w:val="16"/>
              </w:rPr>
              <w:t>England</w:t>
            </w:r>
          </w:p>
        </w:tc>
        <w:tc>
          <w:tcPr>
            <w:tcW w:type="dxa" w:w="1994"/>
          </w:tcPr>
          <w:p>
            <w:r>
              <w:rPr>
                <w:sz w:val="16"/>
              </w:rPr>
              <w:t>5</w:t>
            </w:r>
          </w:p>
        </w:tc>
        <w:tc>
          <w:tcPr>
            <w:tcW w:type="dxa" w:w="1994"/>
          </w:tcPr>
          <w:p>
            <w:r>
              <w:rPr>
                <w:sz w:val="16"/>
              </w:rPr>
              <w:t>375</w:t>
            </w:r>
          </w:p>
        </w:tc>
        <w:tc>
          <w:tcPr>
            <w:tcW w:type="dxa" w:w="1994"/>
          </w:tcPr>
          <w:p>
            <w:r>
              <w:rPr>
                <w:sz w:val="16"/>
              </w:rPr>
              <w:t>0.168</w:t>
            </w:r>
          </w:p>
        </w:tc>
        <w:tc>
          <w:tcPr>
            <w:tcW w:type="dxa" w:w="1994"/>
          </w:tcPr>
          <w:p>
            <w:r>
              <w:rPr>
                <w:sz w:val="16"/>
              </w:rPr>
              <w:t>0.139 (0.134–0.144)</w:t>
            </w:r>
          </w:p>
        </w:tc>
      </w:tr>
      <w:tr>
        <w:tc>
          <w:tcPr>
            <w:tcW w:type="dxa" w:w="1994"/>
          </w:tcPr>
          <w:p>
            <w:r>
              <w:rPr>
                <w:sz w:val="16"/>
              </w:rPr>
              <w:t>England</w:t>
            </w:r>
          </w:p>
        </w:tc>
        <w:tc>
          <w:tcPr>
            <w:tcW w:type="dxa" w:w="1994"/>
          </w:tcPr>
          <w:p>
            <w:r>
              <w:rPr>
                <w:sz w:val="16"/>
              </w:rPr>
              <w:t>6</w:t>
            </w:r>
          </w:p>
        </w:tc>
        <w:tc>
          <w:tcPr>
            <w:tcW w:type="dxa" w:w="1994"/>
          </w:tcPr>
          <w:p>
            <w:r>
              <w:rPr>
                <w:sz w:val="16"/>
              </w:rPr>
              <w:t>375</w:t>
            </w:r>
          </w:p>
        </w:tc>
        <w:tc>
          <w:tcPr>
            <w:tcW w:type="dxa" w:w="1994"/>
          </w:tcPr>
          <w:p>
            <w:r>
              <w:rPr>
                <w:sz w:val="16"/>
              </w:rPr>
              <w:t>0.184</w:t>
            </w:r>
          </w:p>
        </w:tc>
        <w:tc>
          <w:tcPr>
            <w:tcW w:type="dxa" w:w="1994"/>
          </w:tcPr>
          <w:p>
            <w:r>
              <w:rPr>
                <w:sz w:val="16"/>
              </w:rPr>
              <w:t>0.139 (0.134–0.144)</w:t>
            </w:r>
          </w:p>
        </w:tc>
      </w:tr>
      <w:tr>
        <w:tc>
          <w:tcPr>
            <w:tcW w:type="dxa" w:w="1994"/>
          </w:tcPr>
          <w:p>
            <w:r>
              <w:rPr>
                <w:sz w:val="16"/>
              </w:rPr>
              <w:t>England</w:t>
            </w:r>
          </w:p>
        </w:tc>
        <w:tc>
          <w:tcPr>
            <w:tcW w:type="dxa" w:w="1994"/>
          </w:tcPr>
          <w:p>
            <w:r>
              <w:rPr>
                <w:sz w:val="16"/>
              </w:rPr>
              <w:t>7</w:t>
            </w:r>
          </w:p>
        </w:tc>
        <w:tc>
          <w:tcPr>
            <w:tcW w:type="dxa" w:w="1994"/>
          </w:tcPr>
          <w:p>
            <w:r>
              <w:rPr>
                <w:sz w:val="16"/>
              </w:rPr>
              <w:t>376</w:t>
            </w:r>
          </w:p>
        </w:tc>
        <w:tc>
          <w:tcPr>
            <w:tcW w:type="dxa" w:w="1994"/>
          </w:tcPr>
          <w:p>
            <w:r>
              <w:rPr>
                <w:sz w:val="16"/>
              </w:rPr>
              <w:t>0.202</w:t>
            </w:r>
          </w:p>
        </w:tc>
        <w:tc>
          <w:tcPr>
            <w:tcW w:type="dxa" w:w="1994"/>
          </w:tcPr>
          <w:p>
            <w:r>
              <w:rPr>
                <w:sz w:val="16"/>
              </w:rPr>
              <w:t>0.181 (0.174–0.188)</w:t>
            </w:r>
          </w:p>
        </w:tc>
      </w:tr>
      <w:tr>
        <w:tc>
          <w:tcPr>
            <w:tcW w:type="dxa" w:w="1994"/>
          </w:tcPr>
          <w:p>
            <w:r>
              <w:rPr>
                <w:sz w:val="16"/>
              </w:rPr>
              <w:t>England</w:t>
            </w:r>
          </w:p>
        </w:tc>
        <w:tc>
          <w:tcPr>
            <w:tcW w:type="dxa" w:w="1994"/>
          </w:tcPr>
          <w:p>
            <w:r>
              <w:rPr>
                <w:sz w:val="16"/>
              </w:rPr>
              <w:t>8</w:t>
            </w:r>
          </w:p>
        </w:tc>
        <w:tc>
          <w:tcPr>
            <w:tcW w:type="dxa" w:w="1994"/>
          </w:tcPr>
          <w:p>
            <w:r>
              <w:rPr>
                <w:sz w:val="16"/>
              </w:rPr>
              <w:t>375</w:t>
            </w:r>
          </w:p>
        </w:tc>
        <w:tc>
          <w:tcPr>
            <w:tcW w:type="dxa" w:w="1994"/>
          </w:tcPr>
          <w:p>
            <w:r>
              <w:rPr>
                <w:sz w:val="16"/>
              </w:rPr>
              <w:t>0.229</w:t>
            </w:r>
          </w:p>
        </w:tc>
        <w:tc>
          <w:tcPr>
            <w:tcW w:type="dxa" w:w="1994"/>
          </w:tcPr>
          <w:p>
            <w:r>
              <w:rPr>
                <w:sz w:val="16"/>
              </w:rPr>
              <w:t>0.189 (0.182–0.197)</w:t>
            </w:r>
          </w:p>
        </w:tc>
      </w:tr>
      <w:tr>
        <w:tc>
          <w:tcPr>
            <w:tcW w:type="dxa" w:w="1994"/>
          </w:tcPr>
          <w:p>
            <w:r>
              <w:rPr>
                <w:sz w:val="16"/>
              </w:rPr>
              <w:t>England</w:t>
            </w:r>
          </w:p>
        </w:tc>
        <w:tc>
          <w:tcPr>
            <w:tcW w:type="dxa" w:w="1994"/>
          </w:tcPr>
          <w:p>
            <w:r>
              <w:rPr>
                <w:sz w:val="16"/>
              </w:rPr>
              <w:t>9</w:t>
            </w:r>
          </w:p>
        </w:tc>
        <w:tc>
          <w:tcPr>
            <w:tcW w:type="dxa" w:w="1994"/>
          </w:tcPr>
          <w:p>
            <w:r>
              <w:rPr>
                <w:sz w:val="16"/>
              </w:rPr>
              <w:t>375</w:t>
            </w:r>
          </w:p>
        </w:tc>
        <w:tc>
          <w:tcPr>
            <w:tcW w:type="dxa" w:w="1994"/>
          </w:tcPr>
          <w:p>
            <w:r>
              <w:rPr>
                <w:sz w:val="16"/>
              </w:rPr>
              <w:t>0.273</w:t>
            </w:r>
          </w:p>
        </w:tc>
        <w:tc>
          <w:tcPr>
            <w:tcW w:type="dxa" w:w="1994"/>
          </w:tcPr>
          <w:p>
            <w:r>
              <w:rPr>
                <w:sz w:val="16"/>
              </w:rPr>
              <w:t>0.251 (0.240–0.262)</w:t>
            </w:r>
          </w:p>
        </w:tc>
      </w:tr>
      <w:tr>
        <w:tc>
          <w:tcPr>
            <w:tcW w:type="dxa" w:w="1994"/>
          </w:tcPr>
          <w:p>
            <w:r>
              <w:rPr>
                <w:sz w:val="16"/>
              </w:rPr>
              <w:t>England</w:t>
            </w:r>
          </w:p>
        </w:tc>
        <w:tc>
          <w:tcPr>
            <w:tcW w:type="dxa" w:w="1994"/>
          </w:tcPr>
          <w:p>
            <w:r>
              <w:rPr>
                <w:sz w:val="16"/>
              </w:rPr>
              <w:t>10</w:t>
            </w:r>
          </w:p>
        </w:tc>
        <w:tc>
          <w:tcPr>
            <w:tcW w:type="dxa" w:w="1994"/>
          </w:tcPr>
          <w:p>
            <w:r>
              <w:rPr>
                <w:sz w:val="16"/>
              </w:rPr>
              <w:t>376</w:t>
            </w:r>
          </w:p>
        </w:tc>
        <w:tc>
          <w:tcPr>
            <w:tcW w:type="dxa" w:w="1994"/>
          </w:tcPr>
          <w:p>
            <w:r>
              <w:rPr>
                <w:sz w:val="16"/>
              </w:rPr>
              <w:t>0.343</w:t>
            </w:r>
          </w:p>
        </w:tc>
        <w:tc>
          <w:tcPr>
            <w:tcW w:type="dxa" w:w="1994"/>
          </w:tcPr>
          <w:p>
            <w:r>
              <w:rPr>
                <w:sz w:val="16"/>
              </w:rPr>
              <w:t>0.407 (0.387–0.427)</w:t>
            </w:r>
          </w:p>
        </w:tc>
      </w:tr>
    </w:tbl>
    <w:p>
      <w:r>
        <w:br w:type="page"/>
      </w:r>
    </w:p>
    <w:p>
      <w:r>
        <w:rPr>
          <w:b/>
          <w:sz w:val="22"/>
        </w:rPr>
        <w:t>Supplementary Figure S1.</w:t>
      </w:r>
    </w:p>
    <w:p>
      <w:r>
        <w:drawing>
          <wp:inline xmlns:a="http://schemas.openxmlformats.org/drawingml/2006/main" xmlns:pic="http://schemas.openxmlformats.org/drawingml/2006/picture">
            <wp:extent cx="5669280" cy="3401568"/>
            <wp:docPr id="1" name="Picture 1"/>
            <wp:cNvGraphicFramePr>
              <a:graphicFrameLocks noChangeAspect="1"/>
            </wp:cNvGraphicFramePr>
            <a:graphic>
              <a:graphicData uri="http://schemas.openxmlformats.org/drawingml/2006/picture">
                <pic:pic>
                  <pic:nvPicPr>
                    <pic:cNvPr id="0" name="FigureS1_subgroup_forest.png"/>
                    <pic:cNvPicPr/>
                  </pic:nvPicPr>
                  <pic:blipFill>
                    <a:blip r:embed="rId9"/>
                    <a:stretch>
                      <a:fillRect/>
                    </a:stretch>
                  </pic:blipFill>
                  <pic:spPr>
                    <a:xfrm>
                      <a:off x="0" y="0"/>
                      <a:ext cx="5669280" cy="3401568"/>
                    </a:xfrm>
                    <a:prstGeom prst="rect"/>
                  </pic:spPr>
                </pic:pic>
              </a:graphicData>
            </a:graphic>
          </wp:inline>
        </w:drawing>
      </w:r>
    </w:p>
    <w:p>
      <w:r>
        <w:rPr>
          <w:b w:val="0"/>
          <w:sz w:val="18"/>
        </w:rPr>
        <w:t>Subgroup forest plot of the BMI per-SD association (M4 adjustment) with interaction P values.</w:t>
      </w:r>
    </w:p>
    <w:p>
      <w:r>
        <w:br w:type="page"/>
      </w:r>
    </w:p>
    <w:p>
      <w:r>
        <w:rPr>
          <w:b/>
          <w:sz w:val="22"/>
        </w:rPr>
        <w:t>Supplementary Figure S2.</w:t>
      </w:r>
    </w:p>
    <w:p>
      <w:r>
        <w:drawing>
          <wp:inline xmlns:a="http://schemas.openxmlformats.org/drawingml/2006/main" xmlns:pic="http://schemas.openxmlformats.org/drawingml/2006/picture">
            <wp:extent cx="5669280" cy="2834640"/>
            <wp:docPr id="2" name="Picture 2"/>
            <wp:cNvGraphicFramePr>
              <a:graphicFrameLocks noChangeAspect="1"/>
            </wp:cNvGraphicFramePr>
            <a:graphic>
              <a:graphicData uri="http://schemas.openxmlformats.org/drawingml/2006/picture">
                <pic:pic>
                  <pic:nvPicPr>
                    <pic:cNvPr id="0" name="FigureS2_shap_dependence.png"/>
                    <pic:cNvPicPr/>
                  </pic:nvPicPr>
                  <pic:blipFill>
                    <a:blip r:embed="rId10"/>
                    <a:stretch>
                      <a:fillRect/>
                    </a:stretch>
                  </pic:blipFill>
                  <pic:spPr>
                    <a:xfrm>
                      <a:off x="0" y="0"/>
                      <a:ext cx="5669280" cy="2834640"/>
                    </a:xfrm>
                    <a:prstGeom prst="rect"/>
                  </pic:spPr>
                </pic:pic>
              </a:graphicData>
            </a:graphic>
          </wp:inline>
        </w:drawing>
      </w:r>
    </w:p>
    <w:p>
      <w:r>
        <w:rPr>
          <w:b w:val="0"/>
          <w:sz w:val="18"/>
        </w:rPr>
        <w:t>SHAP dependence plots of the two leading adiposity predictors (WWI, WC), by country, for comparison with the RCS dose–response curves.</w:t>
      </w:r>
    </w:p>
    <w:p>
      <w:r>
        <w:br w:type="page"/>
      </w:r>
    </w:p>
    <w:p>
      <w:r>
        <w:rPr>
          <w:b/>
          <w:sz w:val="22"/>
        </w:rPr>
        <w:t>Supplementary Figure S3.</w:t>
      </w:r>
    </w:p>
    <w:p>
      <w:r>
        <w:drawing>
          <wp:inline xmlns:a="http://schemas.openxmlformats.org/drawingml/2006/main" xmlns:pic="http://schemas.openxmlformats.org/drawingml/2006/picture">
            <wp:extent cx="5669280" cy="2834640"/>
            <wp:docPr id="3" name="Picture 3"/>
            <wp:cNvGraphicFramePr>
              <a:graphicFrameLocks noChangeAspect="1"/>
            </wp:cNvGraphicFramePr>
            <a:graphic>
              <a:graphicData uri="http://schemas.openxmlformats.org/drawingml/2006/picture">
                <pic:pic>
                  <pic:nvPicPr>
                    <pic:cNvPr id="0" name="FigureS3_dca.png"/>
                    <pic:cNvPicPr/>
                  </pic:nvPicPr>
                  <pic:blipFill>
                    <a:blip r:embed="rId11"/>
                    <a:stretch>
                      <a:fillRect/>
                    </a:stretch>
                  </pic:blipFill>
                  <pic:spPr>
                    <a:xfrm>
                      <a:off x="0" y="0"/>
                      <a:ext cx="5669280" cy="2834640"/>
                    </a:xfrm>
                    <a:prstGeom prst="rect"/>
                  </pic:spPr>
                </pic:pic>
              </a:graphicData>
            </a:graphic>
          </wp:inline>
        </w:drawing>
      </w:r>
    </w:p>
    <w:p>
      <w:r>
        <w:rPr>
          <w:b w:val="0"/>
          <w:sz w:val="18"/>
        </w:rPr>
        <w:t>Decision-curve analysis of the combined XGBoost model for 7-year CVD risk, by country (China: model superior across 5–60% thresholds; England: 6–49%; net benefit at a 10% threshold 0.100 and 0.046, respectively).</w:t>
      </w:r>
    </w:p>
    <w:p>
      <w:r>
        <w:br w:type="page"/>
      </w:r>
    </w:p>
    <w:p>
      <w:r>
        <w:rPr>
          <w:b/>
          <w:sz w:val="22"/>
        </w:rPr>
        <w:t>Supplementary Figure S4.</w:t>
      </w:r>
    </w:p>
    <w:p>
      <w:r>
        <w:drawing>
          <wp:inline xmlns:a="http://schemas.openxmlformats.org/drawingml/2006/main" xmlns:pic="http://schemas.openxmlformats.org/drawingml/2006/picture">
            <wp:extent cx="5669280" cy="2864478"/>
            <wp:docPr id="4" name="Picture 4"/>
            <wp:cNvGraphicFramePr>
              <a:graphicFrameLocks noChangeAspect="1"/>
            </wp:cNvGraphicFramePr>
            <a:graphic>
              <a:graphicData uri="http://schemas.openxmlformats.org/drawingml/2006/picture">
                <pic:pic>
                  <pic:nvPicPr>
                    <pic:cNvPr id="0" name="FigureS4_km_stratification.png"/>
                    <pic:cNvPicPr/>
                  </pic:nvPicPr>
                  <pic:blipFill>
                    <a:blip r:embed="rId12"/>
                    <a:stretch>
                      <a:fillRect/>
                    </a:stretch>
                  </pic:blipFill>
                  <pic:spPr>
                    <a:xfrm>
                      <a:off x="0" y="0"/>
                      <a:ext cx="5669280" cy="2864478"/>
                    </a:xfrm>
                    <a:prstGeom prst="rect"/>
                  </pic:spPr>
                </pic:pic>
              </a:graphicData>
            </a:graphic>
          </wp:inline>
        </w:drawing>
      </w:r>
    </w:p>
    <w:p>
      <w:r>
        <w:rPr>
          <w:b w:val="0"/>
          <w:sz w:val="18"/>
        </w:rPr>
        <w:t>Risk-stratified Kaplan–Meier curves. Seven-year CVD-free survival by predicted-risk tertile in China (A) and England (B); numbers at risk shown below each panel. Corresponding hazard ratios in Supplementary Table S14b.</w:t>
      </w:r>
    </w:p>
    <w:p>
      <w:r>
        <w:br w:type="page"/>
      </w:r>
    </w:p>
    <w:p>
      <w:r>
        <w:rPr>
          <w:b/>
          <w:sz w:val="22"/>
        </w:rPr>
        <w:t>Supplementary Figure S5.</w:t>
      </w:r>
    </w:p>
    <w:p>
      <w:r>
        <w:drawing>
          <wp:inline xmlns:a="http://schemas.openxmlformats.org/drawingml/2006/main" xmlns:pic="http://schemas.openxmlformats.org/drawingml/2006/picture">
            <wp:extent cx="5669280" cy="4535424"/>
            <wp:docPr id="5" name="Picture 5"/>
            <wp:cNvGraphicFramePr>
              <a:graphicFrameLocks noChangeAspect="1"/>
            </wp:cNvGraphicFramePr>
            <a:graphic>
              <a:graphicData uri="http://schemas.openxmlformats.org/drawingml/2006/picture">
                <pic:pic>
                  <pic:nvPicPr>
                    <pic:cNvPr id="0" name="FigureS5_calibration_curves.png"/>
                    <pic:cNvPicPr/>
                  </pic:nvPicPr>
                  <pic:blipFill>
                    <a:blip r:embed="rId13"/>
                    <a:stretch>
                      <a:fillRect/>
                    </a:stretch>
                  </pic:blipFill>
                  <pic:spPr>
                    <a:xfrm>
                      <a:off x="0" y="0"/>
                      <a:ext cx="5669280" cy="4535424"/>
                    </a:xfrm>
                    <a:prstGeom prst="rect"/>
                  </pic:spPr>
                </pic:pic>
              </a:graphicData>
            </a:graphic>
          </wp:inline>
        </w:drawing>
      </w:r>
    </w:p>
    <w:p>
      <w:r>
        <w:rPr>
          <w:b w:val="0"/>
          <w:sz w:val="18"/>
        </w:rPr>
        <w:t>Calibration curves. Predicted versus observed (Kaplan–Meier) 7-year CVD risk by decile in China (A) and England (B), with bootstrap 95% confidence bands and the diagonal line of perfect calibration. Corresponding numerical values in Supplementary Table S14c.</w:t>
      </w:r>
    </w:p>
    <w:p>
      <w:r>
        <w:br w:type="page"/>
      </w:r>
    </w:p>
    <w:p>
      <w:r>
        <w:rPr>
          <w:b/>
          <w:sz w:val="22"/>
        </w:rPr>
        <w:t>Supplementary Figure S6.</w:t>
      </w:r>
    </w:p>
    <w:p>
      <w:r>
        <w:drawing>
          <wp:inline xmlns:a="http://schemas.openxmlformats.org/drawingml/2006/main" xmlns:pic="http://schemas.openxmlformats.org/drawingml/2006/picture">
            <wp:extent cx="5669280" cy="2864478"/>
            <wp:docPr id="6" name="Picture 6"/>
            <wp:cNvGraphicFramePr>
              <a:graphicFrameLocks noChangeAspect="1"/>
            </wp:cNvGraphicFramePr>
            <a:graphic>
              <a:graphicData uri="http://schemas.openxmlformats.org/drawingml/2006/picture">
                <pic:pic>
                  <pic:nvPicPr>
                    <pic:cNvPr id="0" name="FigureS6_km_dca.png"/>
                    <pic:cNvPicPr/>
                  </pic:nvPicPr>
                  <pic:blipFill>
                    <a:blip r:embed="rId14"/>
                    <a:stretch>
                      <a:fillRect/>
                    </a:stretch>
                  </pic:blipFill>
                  <pic:spPr>
                    <a:xfrm>
                      <a:off x="0" y="0"/>
                      <a:ext cx="5669280" cy="2864478"/>
                    </a:xfrm>
                    <a:prstGeom prst="rect"/>
                  </pic:spPr>
                </pic:pic>
              </a:graphicData>
            </a:graphic>
          </wp:inline>
        </w:drawing>
      </w:r>
    </w:p>
    <w:p>
      <w:r>
        <w:rPr>
          <w:b w:val="0"/>
          <w:sz w:val="18"/>
        </w:rPr>
        <w:t>Survival decision-curve analysis. Censored (survival) net benefit of the combined-cohort model versus treat-all and treat-none strategies across threshold probabilities in China (A) and England (B). This estimand differs from the binary 7-year decision-curve analysis in Supplementary Figure S3 (e.g., England net benefit at 10% threshold 0.065 here vs 0.046 in Figure S3); both estimands support model net benefit across clinically relevant thresholds.</w:t>
      </w:r>
    </w:p>
    <w:sectPr w:rsidR="00FC693F" w:rsidRPr="0006063C" w:rsidSect="00034616">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