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4DDF60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225" w:lineRule="atLeast"/>
        <w:ind w:left="0" w:right="0" w:firstLine="0"/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2"/>
          <w:szCs w:val="22"/>
        </w:rPr>
      </w:pPr>
      <w:r>
        <w:rPr>
          <w:rStyle w:val="6"/>
          <w:rFonts w:hint="default" w:ascii="Times New Roman" w:hAnsi="Times New Roman" w:eastAsia="Segoe UI" w:cs="Times New Roman"/>
          <w:b/>
          <w:caps w:val="0"/>
          <w:color w:val="0F1115"/>
          <w:spacing w:val="0"/>
          <w:sz w:val="22"/>
          <w:szCs w:val="22"/>
          <w:shd w:val="clear" w:fill="FFFFFF"/>
        </w:rPr>
        <w:t xml:space="preserve">Table </w:t>
      </w:r>
      <w:r>
        <w:rPr>
          <w:rStyle w:val="6"/>
          <w:rFonts w:hint="eastAsia" w:ascii="Times New Roman" w:hAnsi="Times New Roman" w:cs="Times New Roman"/>
          <w:b/>
          <w:caps w:val="0"/>
          <w:color w:val="0F1115"/>
          <w:spacing w:val="0"/>
          <w:sz w:val="22"/>
          <w:szCs w:val="22"/>
          <w:shd w:val="clear" w:fill="FFFFFF"/>
          <w:lang w:val="en-US" w:eastAsia="zh-CN"/>
        </w:rPr>
        <w:t>S3</w:t>
      </w:r>
      <w:r>
        <w:rPr>
          <w:rStyle w:val="6"/>
          <w:rFonts w:hint="default" w:ascii="Times New Roman" w:hAnsi="Times New Roman" w:eastAsia="Segoe UI" w:cs="Times New Roman"/>
          <w:b/>
          <w:caps w:val="0"/>
          <w:color w:val="0F1115"/>
          <w:spacing w:val="0"/>
          <w:sz w:val="22"/>
          <w:szCs w:val="22"/>
          <w:shd w:val="clear" w:fill="FFFFFF"/>
        </w:rPr>
        <w:t>. Distribution of Patients by Genotype and Neuroimaging Group</w:t>
      </w:r>
    </w:p>
    <w:tbl>
      <w:tblPr>
        <w:tblStyle w:val="4"/>
        <w:tblW w:w="1445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60"/>
        <w:gridCol w:w="788"/>
        <w:gridCol w:w="2951"/>
        <w:gridCol w:w="1091"/>
        <w:gridCol w:w="1039"/>
        <w:gridCol w:w="1026"/>
        <w:gridCol w:w="1403"/>
        <w:gridCol w:w="922"/>
        <w:gridCol w:w="4077"/>
      </w:tblGrid>
      <w:tr w14:paraId="16FAC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1160" w:type="dxa"/>
            <w:vMerge w:val="restart"/>
            <w:tcBorders>
              <w:top w:val="single" w:color="auto" w:sz="12" w:space="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F2771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  <w:t>Gene</w:t>
            </w:r>
          </w:p>
        </w:tc>
        <w:tc>
          <w:tcPr>
            <w:tcW w:w="788" w:type="dxa"/>
            <w:vMerge w:val="restart"/>
            <w:tcBorders>
              <w:top w:val="single" w:color="auto" w:sz="12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3B357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  <w:t>Total No.</w:t>
            </w:r>
          </w:p>
        </w:tc>
        <w:tc>
          <w:tcPr>
            <w:tcW w:w="2951" w:type="dxa"/>
            <w:vMerge w:val="restart"/>
            <w:tcBorders>
              <w:top w:val="single" w:color="auto" w:sz="12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A683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  <w:t xml:space="preserve">Key Clinical Findings </w:t>
            </w:r>
          </w:p>
          <w:p w14:paraId="76700A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  <w:t>(Phenotype &amp; Severity)</w:t>
            </w:r>
          </w:p>
        </w:tc>
        <w:tc>
          <w:tcPr>
            <w:tcW w:w="3156" w:type="dxa"/>
            <w:gridSpan w:val="3"/>
            <w:tcBorders>
              <w:top w:val="single" w:color="auto" w:sz="12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59D2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  <w:t>Neuroimaging Group</w:t>
            </w:r>
          </w:p>
          <w:p w14:paraId="372904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  <w:t xml:space="preserve"> [No. (%)]</w:t>
            </w:r>
          </w:p>
        </w:tc>
        <w:tc>
          <w:tcPr>
            <w:tcW w:w="1403" w:type="dxa"/>
            <w:vMerge w:val="restart"/>
            <w:tcBorders>
              <w:top w:val="single" w:color="auto" w:sz="12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F78F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  <w:t>Spearman’s ρ*</w:t>
            </w:r>
          </w:p>
        </w:tc>
        <w:tc>
          <w:tcPr>
            <w:tcW w:w="922" w:type="dxa"/>
            <w:vMerge w:val="restart"/>
            <w:tcBorders>
              <w:top w:val="single" w:color="auto" w:sz="12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0B61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  <w:t>P</w:t>
            </w:r>
          </w:p>
        </w:tc>
        <w:tc>
          <w:tcPr>
            <w:tcW w:w="4077" w:type="dxa"/>
            <w:vMerge w:val="restart"/>
            <w:tcBorders>
              <w:top w:val="single" w:color="auto" w:sz="12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5892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  <w:t>Characteristic Clinical-Imaging Association Pattern</w:t>
            </w:r>
          </w:p>
        </w:tc>
      </w:tr>
      <w:tr w14:paraId="75B4A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1160" w:type="dxa"/>
            <w:vMerge w:val="continue"/>
            <w:tcBorders>
              <w:bottom w:val="single" w:color="auto" w:sz="4" w:space="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8917C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788" w:type="dxa"/>
            <w:vMerge w:val="continue"/>
            <w:tcBorders>
              <w:bottom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719D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951" w:type="dxa"/>
            <w:vMerge w:val="continue"/>
            <w:tcBorders>
              <w:bottom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70D7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091" w:type="dxa"/>
            <w:tcBorders>
              <w:bottom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A7C3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  <w:t>Group 1</w:t>
            </w:r>
          </w:p>
        </w:tc>
        <w:tc>
          <w:tcPr>
            <w:tcW w:w="1039" w:type="dxa"/>
            <w:tcBorders>
              <w:bottom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04F7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  <w:t>Group 2</w:t>
            </w:r>
          </w:p>
        </w:tc>
        <w:tc>
          <w:tcPr>
            <w:tcW w:w="1026" w:type="dxa"/>
            <w:tcBorders>
              <w:bottom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5118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  <w:t>Group 3</w:t>
            </w:r>
          </w:p>
        </w:tc>
        <w:tc>
          <w:tcPr>
            <w:tcW w:w="1403" w:type="dxa"/>
            <w:vMerge w:val="continue"/>
            <w:tcBorders>
              <w:bottom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7466582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922" w:type="dxa"/>
            <w:vMerge w:val="continue"/>
            <w:tcBorders>
              <w:bottom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7F4E7E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4077" w:type="dxa"/>
            <w:vMerge w:val="continue"/>
            <w:tcBorders>
              <w:bottom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0DC9C4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b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2334C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60" w:type="dxa"/>
            <w:tcBorders>
              <w:top w:val="single" w:color="auto" w:sz="4" w:space="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0465D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POMG</w:t>
            </w:r>
            <w:r>
              <w:rPr>
                <w:rFonts w:hint="eastAsia" w:ascii="Times New Roman" w:hAnsi="Times New Roman" w:eastAsia="Segoe UI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Segoe UI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T1</w:t>
            </w:r>
          </w:p>
        </w:tc>
        <w:tc>
          <w:tcPr>
            <w:tcW w:w="788" w:type="dxa"/>
            <w:tcBorders>
              <w:top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07F51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12</w:t>
            </w:r>
          </w:p>
        </w:tc>
        <w:tc>
          <w:tcPr>
            <w:tcW w:w="2951" w:type="dxa"/>
            <w:tcBorders>
              <w:top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045F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• MEB (9/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): All Type A.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• LGMD (1/1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): Type C.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• CMD-MR (2/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2): Type B.</w:t>
            </w:r>
          </w:p>
        </w:tc>
        <w:tc>
          <w:tcPr>
            <w:tcW w:w="1091" w:type="dxa"/>
            <w:tcBorders>
              <w:top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4AFD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10 (83.3%)</w:t>
            </w:r>
          </w:p>
        </w:tc>
        <w:tc>
          <w:tcPr>
            <w:tcW w:w="1039" w:type="dxa"/>
            <w:tcBorders>
              <w:top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F3F6D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 (8.3%)</w:t>
            </w:r>
          </w:p>
        </w:tc>
        <w:tc>
          <w:tcPr>
            <w:tcW w:w="1026" w:type="dxa"/>
            <w:tcBorders>
              <w:top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C232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 (8.3%)</w:t>
            </w:r>
          </w:p>
        </w:tc>
        <w:tc>
          <w:tcPr>
            <w:tcW w:w="1403" w:type="dxa"/>
            <w:tcBorders>
              <w:top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33D732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817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**</w:t>
            </w:r>
          </w:p>
        </w:tc>
        <w:tc>
          <w:tcPr>
            <w:tcW w:w="922" w:type="dxa"/>
            <w:tcBorders>
              <w:top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6232F50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0.0012</w:t>
            </w:r>
          </w:p>
        </w:tc>
        <w:tc>
          <w:tcPr>
            <w:tcW w:w="4077" w:type="dxa"/>
            <w:tcBorders>
              <w:top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4015D1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High consistency with a clear spectrum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: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 Severe MEB strictly corresponded to Group 1, and mild LGMD to Group 3. CMD-MR showed variability (Groups 1 &amp; 2).</w:t>
            </w:r>
          </w:p>
        </w:tc>
      </w:tr>
      <w:tr w14:paraId="24F48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60" w:type="dxa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B59B53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</w:pPr>
            <w:bookmarkStart w:id="0" w:name="_GoBack" w:colFirst="6" w:colLast="7"/>
            <w:r>
              <w:rPr>
                <w:rFonts w:hint="default" w:ascii="Times New Roman" w:hAnsi="Times New Roman" w:eastAsia="Segoe UI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ISPD</w:t>
            </w:r>
          </w:p>
        </w:tc>
        <w:tc>
          <w:tcPr>
            <w:tcW w:w="788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CFE4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2951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6650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• MEB (2/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): Type A.</w:t>
            </w:r>
          </w:p>
          <w:p w14:paraId="36427C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• CMD (3/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): Type B.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• CMD-MR (2/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): Type B.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br w:type="textWrapping"/>
            </w:r>
          </w:p>
        </w:tc>
        <w:tc>
          <w:tcPr>
            <w:tcW w:w="1091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50B7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3 (42.9%)</w:t>
            </w:r>
          </w:p>
        </w:tc>
        <w:tc>
          <w:tcPr>
            <w:tcW w:w="1039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81F4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4 (57.1%)</w:t>
            </w:r>
          </w:p>
        </w:tc>
        <w:tc>
          <w:tcPr>
            <w:tcW w:w="1026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89F4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0</w:t>
            </w:r>
          </w:p>
          <w:p w14:paraId="1562F21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(0%)</w:t>
            </w:r>
          </w:p>
        </w:tc>
        <w:tc>
          <w:tcPr>
            <w:tcW w:w="1403" w:type="dxa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042922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0.091</w:t>
            </w:r>
          </w:p>
        </w:tc>
        <w:tc>
          <w:tcPr>
            <w:tcW w:w="922" w:type="dxa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3BFF2D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0.8457</w:t>
            </w:r>
          </w:p>
        </w:tc>
        <w:tc>
          <w:tcPr>
            <w:tcW w:w="4077" w:type="dxa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2E77F71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The presence and severity of intellectual disability (ID) were key factors. Severe ID (language assessment classified as A or B) was associated with Group 1, while milder ID (language assessment classified as C) was associated with Group 2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.</w:t>
            </w:r>
          </w:p>
        </w:tc>
      </w:tr>
      <w:tr w14:paraId="6918C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60" w:type="dxa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F3F7E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FKRP</w:t>
            </w:r>
          </w:p>
        </w:tc>
        <w:tc>
          <w:tcPr>
            <w:tcW w:w="788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F0649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2951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9DF2A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 xml:space="preserve">• 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CMD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 xml:space="preserve"> (1/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 xml:space="preserve">): Type 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B.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• CMD-MR (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): Type B.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• LGMD (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): Type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C.</w:t>
            </w:r>
          </w:p>
        </w:tc>
        <w:tc>
          <w:tcPr>
            <w:tcW w:w="1091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4165C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 (20.0%)</w:t>
            </w:r>
          </w:p>
        </w:tc>
        <w:tc>
          <w:tcPr>
            <w:tcW w:w="1039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E764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 (20.0%)</w:t>
            </w:r>
          </w:p>
        </w:tc>
        <w:tc>
          <w:tcPr>
            <w:tcW w:w="1026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7D51E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3 (60.0%)</w:t>
            </w:r>
          </w:p>
        </w:tc>
        <w:tc>
          <w:tcPr>
            <w:tcW w:w="1403" w:type="dxa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48CA18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395</w:t>
            </w:r>
          </w:p>
        </w:tc>
        <w:tc>
          <w:tcPr>
            <w:tcW w:w="922" w:type="dxa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7066C78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0.5101</w:t>
            </w:r>
          </w:p>
        </w:tc>
        <w:tc>
          <w:tcPr>
            <w:tcW w:w="4077" w:type="dxa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09F238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Broad phenotypic heterogeneity. The same clinical phenotype was distributed across different imaging groups.</w:t>
            </w:r>
          </w:p>
        </w:tc>
      </w:tr>
      <w:tr w14:paraId="76528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60" w:type="dxa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5B6EB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i/>
                <w:iCs/>
                <w:kern w:val="0"/>
                <w:sz w:val="22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/>
                <w:iCs/>
                <w:kern w:val="0"/>
                <w:sz w:val="22"/>
                <w:szCs w:val="21"/>
                <w:lang w:val="en-US" w:eastAsia="zh-CN" w:bidi="ar"/>
              </w:rPr>
              <w:t>POMT1</w:t>
            </w:r>
          </w:p>
        </w:tc>
        <w:tc>
          <w:tcPr>
            <w:tcW w:w="788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ECA1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>6</w:t>
            </w:r>
          </w:p>
        </w:tc>
        <w:tc>
          <w:tcPr>
            <w:tcW w:w="2951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5252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 xml:space="preserve">• 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>WWS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 xml:space="preserve"> (1/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 xml:space="preserve">): Type 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>.</w:t>
            </w:r>
          </w:p>
          <w:p w14:paraId="6DA0CE0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>• CMD-MR (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>): Type B.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>• LGMD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>-MR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>): Type C.</w:t>
            </w:r>
          </w:p>
        </w:tc>
        <w:tc>
          <w:tcPr>
            <w:tcW w:w="1091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0FF1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 xml:space="preserve">0 </w:t>
            </w:r>
          </w:p>
          <w:p w14:paraId="7CCA0A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>(0%)</w:t>
            </w:r>
          </w:p>
        </w:tc>
        <w:tc>
          <w:tcPr>
            <w:tcW w:w="1039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41A1A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>3 (50.0%)</w:t>
            </w:r>
          </w:p>
        </w:tc>
        <w:tc>
          <w:tcPr>
            <w:tcW w:w="1026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57E8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>3 (50.0%)</w:t>
            </w:r>
          </w:p>
        </w:tc>
        <w:tc>
          <w:tcPr>
            <w:tcW w:w="1403" w:type="dxa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4EE643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577</w:t>
            </w:r>
          </w:p>
        </w:tc>
        <w:tc>
          <w:tcPr>
            <w:tcW w:w="922" w:type="dxa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48D91F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0.2302</w:t>
            </w:r>
          </w:p>
        </w:tc>
        <w:tc>
          <w:tcPr>
            <w:tcW w:w="4077" w:type="dxa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706ADD7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>Functional-structural dissociation. All patients had ID, yet imaging findings were relatively mild. Notably, the most severe clinical phenotype (WWS) was in Group 2.</w:t>
            </w:r>
          </w:p>
        </w:tc>
      </w:tr>
      <w:tr w14:paraId="4A1D9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60" w:type="dxa"/>
            <w:tcBorders>
              <w:bottom w:val="single" w:color="auto" w:sz="4" w:space="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20E56F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FKTN</w:t>
            </w:r>
          </w:p>
        </w:tc>
        <w:tc>
          <w:tcPr>
            <w:tcW w:w="788" w:type="dxa"/>
            <w:tcBorders>
              <w:bottom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1880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2951" w:type="dxa"/>
            <w:tcBorders>
              <w:bottom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6152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•FCMD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): Type A.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•LGMD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-MR (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1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): Type C.</w:t>
            </w:r>
          </w:p>
        </w:tc>
        <w:tc>
          <w:tcPr>
            <w:tcW w:w="1091" w:type="dxa"/>
            <w:tcBorders>
              <w:bottom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9ADC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3 (75.0%)</w:t>
            </w:r>
          </w:p>
        </w:tc>
        <w:tc>
          <w:tcPr>
            <w:tcW w:w="1039" w:type="dxa"/>
            <w:tcBorders>
              <w:bottom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3098A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 xml:space="preserve">0 </w:t>
            </w:r>
          </w:p>
          <w:p w14:paraId="0D4E367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(0%)</w:t>
            </w:r>
          </w:p>
        </w:tc>
        <w:tc>
          <w:tcPr>
            <w:tcW w:w="1026" w:type="dxa"/>
            <w:tcBorders>
              <w:bottom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6A89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 (25.0%)</w:t>
            </w:r>
          </w:p>
        </w:tc>
        <w:tc>
          <w:tcPr>
            <w:tcW w:w="1403" w:type="dxa"/>
            <w:tcBorders>
              <w:bottom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4A4935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1.00**</w:t>
            </w:r>
          </w:p>
        </w:tc>
        <w:tc>
          <w:tcPr>
            <w:tcW w:w="922" w:type="dxa"/>
            <w:tcBorders>
              <w:bottom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2D52DC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&lt;0.0001</w:t>
            </w:r>
          </w:p>
        </w:tc>
        <w:tc>
          <w:tcPr>
            <w:tcW w:w="4077" w:type="dxa"/>
            <w:tcBorders>
              <w:bottom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548D92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Bipolar, perfect consistency. Severe FCMD perfectly matched Group 1; mild LGMD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 xml:space="preserve">-MR 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matched Group 3.</w:t>
            </w:r>
          </w:p>
        </w:tc>
      </w:tr>
      <w:bookmarkEnd w:id="0"/>
      <w:tr w14:paraId="4F2F9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60" w:type="dxa"/>
            <w:tcBorders>
              <w:top w:val="single" w:color="auto" w:sz="4" w:space="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77D36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B3GALNT2</w:t>
            </w:r>
          </w:p>
        </w:tc>
        <w:tc>
          <w:tcPr>
            <w:tcW w:w="788" w:type="dxa"/>
            <w:tcBorders>
              <w:top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1589D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2951" w:type="dxa"/>
            <w:tcBorders>
              <w:top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F1E4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• Both cases: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MEB,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 Type A (severe).</w:t>
            </w:r>
          </w:p>
        </w:tc>
        <w:tc>
          <w:tcPr>
            <w:tcW w:w="1091" w:type="dxa"/>
            <w:tcBorders>
              <w:top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B80A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2 (100%)</w:t>
            </w:r>
          </w:p>
        </w:tc>
        <w:tc>
          <w:tcPr>
            <w:tcW w:w="1039" w:type="dxa"/>
            <w:tcBorders>
              <w:top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2271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0</w:t>
            </w:r>
          </w:p>
          <w:p w14:paraId="3DB05ED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(0%)</w:t>
            </w:r>
          </w:p>
        </w:tc>
        <w:tc>
          <w:tcPr>
            <w:tcW w:w="1026" w:type="dxa"/>
            <w:tcBorders>
              <w:top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1BC7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 xml:space="preserve">0 </w:t>
            </w:r>
          </w:p>
          <w:p w14:paraId="313CAF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(0%)</w:t>
            </w:r>
          </w:p>
        </w:tc>
        <w:tc>
          <w:tcPr>
            <w:tcW w:w="1403" w:type="dxa"/>
            <w:tcBorders>
              <w:top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37FCF3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  <w:tc>
          <w:tcPr>
            <w:tcW w:w="922" w:type="dxa"/>
            <w:tcBorders>
              <w:top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5F77142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4077" w:type="dxa"/>
            <w:tcBorders>
              <w:top w:val="single" w:color="auto" w:sz="4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0ECC9A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The severe phenotype was strictly associated with Group 1.</w:t>
            </w:r>
          </w:p>
        </w:tc>
      </w:tr>
      <w:tr w14:paraId="035F2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60" w:type="dxa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92CB1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POMT2</w:t>
            </w:r>
          </w:p>
        </w:tc>
        <w:tc>
          <w:tcPr>
            <w:tcW w:w="788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B776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2951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30AC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 xml:space="preserve">• Both cases had 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 xml:space="preserve">ntellectual 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isability.</w:t>
            </w:r>
          </w:p>
        </w:tc>
        <w:tc>
          <w:tcPr>
            <w:tcW w:w="1091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B94C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0 (0%)</w:t>
            </w:r>
          </w:p>
        </w:tc>
        <w:tc>
          <w:tcPr>
            <w:tcW w:w="1039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28F74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0 (0%)</w:t>
            </w:r>
          </w:p>
        </w:tc>
        <w:tc>
          <w:tcPr>
            <w:tcW w:w="1026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FA137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2 (100%)</w:t>
            </w:r>
          </w:p>
        </w:tc>
        <w:tc>
          <w:tcPr>
            <w:tcW w:w="1403" w:type="dxa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1962AC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N/A</w:t>
            </w:r>
          </w:p>
        </w:tc>
        <w:tc>
          <w:tcPr>
            <w:tcW w:w="922" w:type="dxa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731239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4077" w:type="dxa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04465D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ID with mild imaging changes. Both cases had ID but were in Group 3.</w:t>
            </w:r>
          </w:p>
        </w:tc>
      </w:tr>
      <w:tr w14:paraId="533E7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60" w:type="dxa"/>
            <w:tcBorders>
              <w:bottom w:val="single" w:color="auto" w:sz="12" w:space="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FB6F6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Total</w:t>
            </w:r>
          </w:p>
        </w:tc>
        <w:tc>
          <w:tcPr>
            <w:tcW w:w="788" w:type="dxa"/>
            <w:tcBorders>
              <w:bottom w:val="single" w:color="auto" w:sz="12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BBC7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38</w:t>
            </w:r>
          </w:p>
        </w:tc>
        <w:tc>
          <w:tcPr>
            <w:tcW w:w="2951" w:type="dxa"/>
            <w:tcBorders>
              <w:bottom w:val="single" w:color="auto" w:sz="12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0827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Key Clinical Findings (Phenotype &amp; Severity)</w:t>
            </w:r>
          </w:p>
        </w:tc>
        <w:tc>
          <w:tcPr>
            <w:tcW w:w="1091" w:type="dxa"/>
            <w:tcBorders>
              <w:bottom w:val="single" w:color="auto" w:sz="12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356A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19 (50.0%)</w:t>
            </w:r>
          </w:p>
        </w:tc>
        <w:tc>
          <w:tcPr>
            <w:tcW w:w="1039" w:type="dxa"/>
            <w:tcBorders>
              <w:bottom w:val="single" w:color="auto" w:sz="12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15578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9 (23.7%)</w:t>
            </w:r>
          </w:p>
        </w:tc>
        <w:tc>
          <w:tcPr>
            <w:tcW w:w="1026" w:type="dxa"/>
            <w:tcBorders>
              <w:bottom w:val="single" w:color="auto" w:sz="12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9869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10 (26.3%)</w:t>
            </w:r>
          </w:p>
        </w:tc>
        <w:tc>
          <w:tcPr>
            <w:tcW w:w="1403" w:type="dxa"/>
            <w:tcBorders>
              <w:bottom w:val="single" w:color="auto" w:sz="12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2DCF98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756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**</w:t>
            </w:r>
          </w:p>
        </w:tc>
        <w:tc>
          <w:tcPr>
            <w:tcW w:w="922" w:type="dxa"/>
            <w:tcBorders>
              <w:bottom w:val="single" w:color="auto" w:sz="12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1D92B24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&lt;0.0001</w:t>
            </w:r>
          </w:p>
        </w:tc>
        <w:tc>
          <w:tcPr>
            <w:tcW w:w="4077" w:type="dxa"/>
            <w:tcBorders>
              <w:bottom w:val="single" w:color="auto" w:sz="12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566BB31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</w:p>
        </w:tc>
      </w:tr>
    </w:tbl>
    <w:p w14:paraId="59530D29">
      <w:pPr>
        <w:keepNext w:val="0"/>
        <w:keepLines w:val="0"/>
        <w:widowControl/>
        <w:suppressLineNumbers w:val="0"/>
        <w:spacing w:line="188" w:lineRule="atLeast"/>
        <w:jc w:val="left"/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Table Notes:</w:t>
      </w:r>
    </w:p>
    <w:p w14:paraId="3CAA89D9">
      <w:pPr>
        <w:keepNext w:val="0"/>
        <w:keepLines w:val="0"/>
        <w:widowControl/>
        <w:suppressLineNumbers w:val="0"/>
        <w:spacing w:line="188" w:lineRule="atLeast"/>
        <w:jc w:val="left"/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Neuroimaging Groups: Group 1: Most severe brain structural abnormalities; Group 2: Intermediate abnormalities; Group 3: Mildest/minimal abnormalities.</w:t>
      </w:r>
    </w:p>
    <w:p w14:paraId="10CA676A">
      <w:pPr>
        <w:keepNext w:val="0"/>
        <w:keepLines w:val="0"/>
        <w:widowControl/>
        <w:suppressLineNumbers w:val="0"/>
        <w:spacing w:line="188" w:lineRule="atLeast"/>
        <w:jc w:val="left"/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Clinical Severity Types: Type A (most severe), Type B (intermediate), Type C (mildest)</w:t>
      </w:r>
    </w:p>
    <w:p w14:paraId="4CD5D28E">
      <w:pPr>
        <w:keepNext w:val="0"/>
        <w:keepLines w:val="0"/>
        <w:widowControl/>
        <w:suppressLineNumbers w:val="0"/>
        <w:spacing w:line="188" w:lineRule="atLeast"/>
        <w:jc w:val="left"/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>Abbreviations: CMD: Congenital Muscular Dystrophy; LGMD: Limb-Girdle Muscular Dystrophy; MEB: Muscle-Eye-Brain disease; WWS: Walker-Warburg Syndrome; FCMD: Fukuyama CMD;</w:t>
      </w:r>
      <w:r>
        <w:rPr>
          <w:rFonts w:hint="eastAsia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eastAsia" w:ascii="Times New Roman" w:hAnsi="Times New Roman"/>
          <w:lang w:eastAsia="zh-CN"/>
        </w:rPr>
        <w:t>CMD</w:t>
      </w:r>
      <w:r>
        <w:rPr>
          <w:rFonts w:ascii="Times New Roman" w:hAnsi="Times New Roman"/>
        </w:rPr>
        <w:t>, congenital muscular dystrophy</w:t>
      </w:r>
      <w:r>
        <w:rPr>
          <w:rFonts w:hint="eastAsia" w:ascii="Times New Roman" w:hAnsi="Times New Roman"/>
          <w:lang w:val="en-US" w:eastAsia="zh-CN"/>
        </w:rPr>
        <w:t xml:space="preserve"> without mental retardation</w:t>
      </w:r>
      <w:r>
        <w:rPr>
          <w:rFonts w:ascii="Times New Roman" w:hAnsi="Times New Roman"/>
        </w:rPr>
        <w:t>; CMD</w:t>
      </w:r>
      <w:r>
        <w:rPr>
          <w:rFonts w:hint="eastAsia" w:ascii="Times New Roman" w:hAnsi="Times New Roman"/>
          <w:lang w:val="en-US" w:eastAsia="zh-CN"/>
        </w:rPr>
        <w:t>-</w:t>
      </w:r>
      <w:r>
        <w:rPr>
          <w:rFonts w:ascii="Times New Roman" w:hAnsi="Times New Roman"/>
        </w:rPr>
        <w:t>MR, congenital muscular dystrophy with mental retardation</w:t>
      </w:r>
      <w:r>
        <w:rPr>
          <w:rFonts w:hint="eastAsia" w:ascii="Times New Roman" w:hAnsi="Times New Roman"/>
          <w:lang w:val="en-US" w:eastAsia="zh-CN"/>
        </w:rPr>
        <w:t>,</w:t>
      </w:r>
      <w:r>
        <w:rPr>
          <w:rFonts w:hint="eastAsia" w:ascii="Times New Roman" w:hAnsi="Times New Roman"/>
        </w:rPr>
        <w:t xml:space="preserve"> </w:t>
      </w:r>
      <w:r>
        <w:rPr>
          <w:rFonts w:hint="eastAsia" w:ascii="Times New Roman" w:hAnsi="Times New Roman"/>
          <w:lang w:eastAsia="zh-CN"/>
        </w:rPr>
        <w:t>LGMD</w:t>
      </w:r>
      <w:r>
        <w:rPr>
          <w:rFonts w:hint="eastAsia" w:ascii="Times New Roman" w:hAnsi="Times New Roman"/>
        </w:rPr>
        <w:t>, limb-girdle muscular dystrophy</w:t>
      </w:r>
      <w:r>
        <w:rPr>
          <w:rFonts w:hint="eastAsia" w:ascii="Times New Roman" w:hAnsi="Times New Roman"/>
          <w:lang w:val="en-US" w:eastAsia="zh-CN"/>
        </w:rPr>
        <w:t xml:space="preserve"> without mental retardation</w:t>
      </w:r>
      <w:r>
        <w:rPr>
          <w:rFonts w:hint="eastAsia" w:ascii="Times New Roman" w:hAnsi="Times New Roman"/>
        </w:rPr>
        <w:t>; LGMD</w:t>
      </w:r>
      <w:r>
        <w:rPr>
          <w:rFonts w:hint="eastAsia" w:ascii="Times New Roman" w:hAnsi="Times New Roman"/>
          <w:lang w:val="en-US" w:eastAsia="zh-CN"/>
        </w:rPr>
        <w:t>-MR</w:t>
      </w:r>
      <w:r>
        <w:rPr>
          <w:rFonts w:hint="eastAsia" w:ascii="Times New Roman" w:hAnsi="Times New Roman"/>
        </w:rPr>
        <w:t xml:space="preserve">, limb-girdle muscular dystrophy with </w:t>
      </w:r>
      <w:r>
        <w:rPr>
          <w:rFonts w:hint="eastAsia" w:ascii="Times New Roman" w:hAnsi="Times New Roman"/>
          <w:lang w:val="en-US" w:eastAsia="zh-CN"/>
        </w:rPr>
        <w:t>mental retardation;</w:t>
      </w:r>
      <w:r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  <w:t xml:space="preserve"> ID: Intellectual Disability.</w:t>
      </w:r>
    </w:p>
    <w:p w14:paraId="45386A7D">
      <w:pPr>
        <w:keepNext w:val="0"/>
        <w:keepLines w:val="0"/>
        <w:widowControl/>
        <w:suppressLineNumbers w:val="0"/>
        <w:spacing w:line="188" w:lineRule="atLeast"/>
        <w:jc w:val="left"/>
        <w:rPr>
          <w:rFonts w:hint="default" w:ascii="Times New Roman" w:hAnsi="Times New Roman" w:eastAsia="Segoe UI" w:cs="Times New Roman"/>
          <w:kern w:val="0"/>
          <w:sz w:val="22"/>
          <w:szCs w:val="22"/>
          <w:lang w:val="en-US" w:eastAsia="zh-CN" w:bidi="ar"/>
        </w:rPr>
      </w:pPr>
    </w:p>
    <w:p w14:paraId="3AE2A77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D725A3"/>
    <w:rsid w:val="04115E30"/>
    <w:rsid w:val="0A173A74"/>
    <w:rsid w:val="0D713BDF"/>
    <w:rsid w:val="10696A81"/>
    <w:rsid w:val="15EE7D7F"/>
    <w:rsid w:val="1A996BA6"/>
    <w:rsid w:val="1ED85A70"/>
    <w:rsid w:val="23D16DD0"/>
    <w:rsid w:val="26AF744D"/>
    <w:rsid w:val="27EA18BA"/>
    <w:rsid w:val="2B5529B0"/>
    <w:rsid w:val="2C4B162F"/>
    <w:rsid w:val="2CF96358"/>
    <w:rsid w:val="30D725A3"/>
    <w:rsid w:val="31F16E37"/>
    <w:rsid w:val="32ED17CB"/>
    <w:rsid w:val="379E53BD"/>
    <w:rsid w:val="3A8859AA"/>
    <w:rsid w:val="3C6127A9"/>
    <w:rsid w:val="3C890AAE"/>
    <w:rsid w:val="407451A1"/>
    <w:rsid w:val="424B0183"/>
    <w:rsid w:val="45A739D2"/>
    <w:rsid w:val="469446D6"/>
    <w:rsid w:val="492F36E7"/>
    <w:rsid w:val="4AD351BA"/>
    <w:rsid w:val="4B1769E8"/>
    <w:rsid w:val="4D8A1B69"/>
    <w:rsid w:val="4ECF7A46"/>
    <w:rsid w:val="4EEC05F8"/>
    <w:rsid w:val="51F37EF0"/>
    <w:rsid w:val="523302EE"/>
    <w:rsid w:val="59EE5898"/>
    <w:rsid w:val="5CB00D05"/>
    <w:rsid w:val="5D213B63"/>
    <w:rsid w:val="5DDE3802"/>
    <w:rsid w:val="5F4B136B"/>
    <w:rsid w:val="5FF4730D"/>
    <w:rsid w:val="636649C5"/>
    <w:rsid w:val="63E31B72"/>
    <w:rsid w:val="63F71F10"/>
    <w:rsid w:val="64281C7B"/>
    <w:rsid w:val="646507D9"/>
    <w:rsid w:val="64762F71"/>
    <w:rsid w:val="684626D0"/>
    <w:rsid w:val="6CB57E24"/>
    <w:rsid w:val="6DBE185C"/>
    <w:rsid w:val="6EE175F6"/>
    <w:rsid w:val="72930C07"/>
    <w:rsid w:val="732B52E4"/>
    <w:rsid w:val="7B551150"/>
    <w:rsid w:val="7E2C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390</Words>
  <Characters>2025</Characters>
  <Lines>0</Lines>
  <Paragraphs>0</Paragraphs>
  <TotalTime>12</TotalTime>
  <ScaleCrop>false</ScaleCrop>
  <LinksUpToDate>false</LinksUpToDate>
  <CharactersWithSpaces>2320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2026-01-14T06:55:00Z</dcterms:created>
  <dc:creator>宋丹羽</dc:creator>
  <cp:lastModifiedBy>宋丹羽</cp:lastModifiedBy>
  <dcterms:modified xsi:type="dcterms:W3CDTF">2026-03-06T15:23:46Z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651249490C0E404AA751D7669F0C5EF5_13</vt:lpwstr>
  </property>
  <property fmtid="{D5CDD505-2E9C-101B-9397-08002B2CF9AE}" pid="4" name="KSOTemplateDocerSaveRecord">
    <vt:lpwstr>eyJoZGlkIjoiZGE1MzQ2YjM5ZDY2ZTFhMDY0ZWY1YzgyYTFhZGE0Y2UiLCJ1c2VySWQiOiIzMjM3NDQyNjUifQ==</vt:lpwstr>
  </property>
</Properties>
</file>