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82269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 xml:space="preserve">Table </w:t>
      </w:r>
      <w:r>
        <w:rPr>
          <w:rFonts w:hint="eastAsia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S2</w:t>
      </w:r>
      <w:bookmarkStart w:id="0" w:name="_GoBack"/>
      <w:bookmarkEnd w:id="0"/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. Association Between Disease Classification/Clinical Phenotype and Neuroimaging Groups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82"/>
        <w:gridCol w:w="1449"/>
        <w:gridCol w:w="1489"/>
        <w:gridCol w:w="988"/>
        <w:gridCol w:w="2697"/>
      </w:tblGrid>
      <w:tr w14:paraId="0C801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682" w:type="dxa"/>
            <w:tcBorders>
              <w:top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442D79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Analysis Category</w:t>
            </w:r>
          </w:p>
        </w:tc>
        <w:tc>
          <w:tcPr>
            <w:tcW w:w="1449" w:type="dxa"/>
            <w:tcBorders>
              <w:top w:val="nil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DEF8D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Statistical Method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2E2E4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Coefficient / Value</w:t>
            </w:r>
          </w:p>
        </w:tc>
        <w:tc>
          <w:tcPr>
            <w:tcW w:w="988" w:type="dxa"/>
            <w:tcBorders>
              <w:top w:val="nil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4FCCD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P-value</w:t>
            </w:r>
          </w:p>
        </w:tc>
        <w:tc>
          <w:tcPr>
            <w:tcW w:w="2697" w:type="dxa"/>
            <w:tcBorders>
              <w:top w:val="nil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0AD7F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Interpretation</w:t>
            </w:r>
          </w:p>
        </w:tc>
      </w:tr>
      <w:tr w14:paraId="5C5D5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82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914AFE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CMD vs. LGMD vs. Imaging Group</w:t>
            </w:r>
          </w:p>
        </w:tc>
        <w:tc>
          <w:tcPr>
            <w:tcW w:w="1449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DF722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Point-biserial correlation</w:t>
            </w:r>
          </w:p>
        </w:tc>
        <w:tc>
          <w:tcPr>
            <w:tcW w:w="1489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3F5F95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r_pb = -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0.551</w:t>
            </w:r>
          </w:p>
        </w:tc>
        <w:tc>
          <w:tcPr>
            <w:tcW w:w="988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D3A62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&lt; 0.0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2697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ECCAFA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A moderate negative correlation. CMD diagnosis is associated with more severe imaging groups (Group 1), while LGMD is associated with milder groups (Groups 2/3).</w:t>
            </w:r>
          </w:p>
        </w:tc>
      </w:tr>
      <w:tr w14:paraId="1991A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82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FA1B89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Clinical Severity Type (A/B/C) vs. Imaging Group (1/2/3)</w:t>
            </w:r>
          </w:p>
        </w:tc>
        <w:tc>
          <w:tcPr>
            <w:tcW w:w="1449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6F868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Spearman's rank correlation</w:t>
            </w:r>
          </w:p>
        </w:tc>
        <w:tc>
          <w:tcPr>
            <w:tcW w:w="1489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ADABD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ρ = 0.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756</w:t>
            </w:r>
          </w:p>
        </w:tc>
        <w:tc>
          <w:tcPr>
            <w:tcW w:w="988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8A552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&lt; 0.001</w:t>
            </w:r>
          </w:p>
        </w:tc>
        <w:tc>
          <w:tcPr>
            <w:tcW w:w="2697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6F6738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A significant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strong positive correlation between clinical and imaging severity.</w:t>
            </w:r>
          </w:p>
        </w:tc>
      </w:tr>
      <w:tr w14:paraId="7C613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82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2E5D0E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Clinical Type vs. Imaging Group (Consistency)</w:t>
            </w:r>
          </w:p>
        </w:tc>
        <w:tc>
          <w:tcPr>
            <w:tcW w:w="1449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894F4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Weighted Kappa</w:t>
            </w:r>
          </w:p>
        </w:tc>
        <w:tc>
          <w:tcPr>
            <w:tcW w:w="1489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1075F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κ = 0.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623</w:t>
            </w:r>
          </w:p>
        </w:tc>
        <w:tc>
          <w:tcPr>
            <w:tcW w:w="988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BDEB7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-</w:t>
            </w:r>
          </w:p>
        </w:tc>
        <w:tc>
          <w:tcPr>
            <w:tcW w:w="2697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92CA8C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Substantial agreement in classification between clinical and imaging assessments.</w:t>
            </w:r>
          </w:p>
        </w:tc>
      </w:tr>
      <w:tr w14:paraId="25A2F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82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B515681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Distribution of Key Phenotypes</w:t>
            </w:r>
          </w:p>
        </w:tc>
        <w:tc>
          <w:tcPr>
            <w:tcW w:w="1449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19792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Descriptive Analysis</w:t>
            </w:r>
          </w:p>
        </w:tc>
        <w:tc>
          <w:tcPr>
            <w:tcW w:w="1489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5D957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-</w:t>
            </w:r>
          </w:p>
        </w:tc>
        <w:tc>
          <w:tcPr>
            <w:tcW w:w="988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981DE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-</w:t>
            </w:r>
          </w:p>
        </w:tc>
        <w:tc>
          <w:tcPr>
            <w:tcW w:w="2697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2E970C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See detailed breakdown below:</w:t>
            </w:r>
          </w:p>
        </w:tc>
      </w:tr>
    </w:tbl>
    <w:p w14:paraId="71B38524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Breakdown of Key Phenotype Distribution Across Imaging Groups:</w:t>
      </w:r>
    </w:p>
    <w:p w14:paraId="021963F3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</w:p>
    <w:p w14:paraId="509C3972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MEB (n=1</w:t>
      </w:r>
      <w:r>
        <w:rPr>
          <w:rFonts w:hint="eastAsia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3</w:t>
      </w: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): 9</w:t>
      </w:r>
      <w:r>
        <w:rPr>
          <w:rFonts w:hint="eastAsia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2.3</w:t>
      </w: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% (1</w:t>
      </w:r>
      <w:r>
        <w:rPr>
          <w:rFonts w:hint="default" w:ascii="Times New Roman" w:hAnsi="Times New Roman" w:eastAsia="Segoe UI" w:cs="Times New Roman"/>
          <w:kern w:val="0"/>
          <w:sz w:val="22"/>
          <w:szCs w:val="22"/>
          <w:lang w:eastAsia="zh-CN" w:bidi="ar"/>
        </w:rPr>
        <w:t>2</w:t>
      </w: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/1</w:t>
      </w:r>
      <w:r>
        <w:rPr>
          <w:rFonts w:hint="eastAsia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3</w:t>
      </w: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) in Group 1. Highly predictive of severe imaging.</w:t>
      </w:r>
    </w:p>
    <w:p w14:paraId="3FECCC05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FCMD (n=3): 100% (3/3) in Group 1. Perfectly predictive.</w:t>
      </w:r>
    </w:p>
    <w:p w14:paraId="69A96EFC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CMD-MR (n=1</w:t>
      </w:r>
      <w:r>
        <w:rPr>
          <w:rFonts w:hint="eastAsia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1</w:t>
      </w: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): Distributed across all groups (Group 1: 3</w:t>
      </w:r>
      <w:r>
        <w:rPr>
          <w:rFonts w:hint="eastAsia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6</w:t>
      </w: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.</w:t>
      </w:r>
      <w:r>
        <w:rPr>
          <w:rFonts w:hint="eastAsia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4</w:t>
      </w: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 xml:space="preserve">%, Group 2: </w:t>
      </w:r>
      <w:r>
        <w:rPr>
          <w:rFonts w:hint="eastAsia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27.3</w:t>
      </w: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%, Group 3: 3</w:t>
      </w:r>
      <w:r>
        <w:rPr>
          <w:rFonts w:hint="eastAsia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6</w:t>
      </w: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.</w:t>
      </w:r>
      <w:r>
        <w:rPr>
          <w:rFonts w:hint="eastAsia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4</w:t>
      </w: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%). The primary source of heterogeneity.</w:t>
      </w:r>
    </w:p>
    <w:p w14:paraId="686F094C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LGMD (</w:t>
      </w:r>
      <w:r>
        <w:rPr>
          <w:rFonts w:hint="eastAsia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 xml:space="preserve">with or without MR, </w:t>
      </w: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n=6): 83.3% (5/6) in Group 3. Highly predictive of mild imaging</w:t>
      </w:r>
      <w:r>
        <w:rPr>
          <w:rFonts w:hint="eastAsia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.</w:t>
      </w:r>
    </w:p>
    <w:p w14:paraId="13D4DDBF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WWS (n=1): Presented in Group 2, demonstrating a clinico-imaging dissociation (most severe clinical type, intermediate imaging).</w:t>
      </w:r>
    </w:p>
    <w:p w14:paraId="61C2BFD3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</w:p>
    <w:p w14:paraId="7F4551F4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4A3B91"/>
    <w:rsid w:val="05FD4E02"/>
    <w:rsid w:val="09DF42DA"/>
    <w:rsid w:val="0CA20C26"/>
    <w:rsid w:val="0EB9334C"/>
    <w:rsid w:val="1B457AC6"/>
    <w:rsid w:val="1E780B2E"/>
    <w:rsid w:val="2BCC070B"/>
    <w:rsid w:val="311F752F"/>
    <w:rsid w:val="33E47E62"/>
    <w:rsid w:val="3E263682"/>
    <w:rsid w:val="4205365D"/>
    <w:rsid w:val="462F0301"/>
    <w:rsid w:val="46DA3884"/>
    <w:rsid w:val="49935043"/>
    <w:rsid w:val="4BB040B9"/>
    <w:rsid w:val="4C873D14"/>
    <w:rsid w:val="553B5C6B"/>
    <w:rsid w:val="59826D2C"/>
    <w:rsid w:val="5ED15115"/>
    <w:rsid w:val="5F1B2B11"/>
    <w:rsid w:val="621D3B81"/>
    <w:rsid w:val="6E2434B3"/>
    <w:rsid w:val="6E7E7084"/>
    <w:rsid w:val="785A5472"/>
    <w:rsid w:val="7A8B6668"/>
    <w:rsid w:val="7AB64FDB"/>
    <w:rsid w:val="7B2E10E2"/>
    <w:rsid w:val="7E4A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1195</Characters>
  <Lines>0</Lines>
  <Paragraphs>0</Paragraphs>
  <TotalTime>4</TotalTime>
  <ScaleCrop>false</ScaleCrop>
  <LinksUpToDate>false</LinksUpToDate>
  <CharactersWithSpaces>1359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2026-01-14T07:43:00Z</dcterms:created>
  <dc:creator>宋丹羽</dc:creator>
  <cp:lastModifiedBy>宋丹羽</cp:lastModifiedBy>
  <dcterms:modified xsi:type="dcterms:W3CDTF">2026-10-09T13:05:55Z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AE9358D69C2E423B97FEB197030F00E4_13</vt:lpwstr>
  </property>
  <property fmtid="{D5CDD505-2E9C-101B-9397-08002B2CF9AE}" pid="4" name="KSOTemplateDocerSaveRecord">
    <vt:lpwstr>eyJoZGlkIjoiZGE1MzQ2YjM5ZDY2ZTFhMDY0ZWY1YzgyYTFhZGE0Y2UiLCJ1c2VySWQiOiIzMjM3NDQyNjUifQ==</vt:lpwstr>
  </property>
</Properties>
</file>