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75B44" w:rsidRPr="00A201E0" w:rsidRDefault="00F75B44" w:rsidP="00E90BB9">
      <w:pPr>
        <w:rPr>
          <w:b/>
          <w:sz w:val="24"/>
        </w:rPr>
      </w:pPr>
    </w:p>
    <w:p w:rsidR="00F75B44" w:rsidRDefault="00F75B44" w:rsidP="00E90BB9">
      <w:pPr>
        <w:rPr>
          <w:b/>
          <w:sz w:val="24"/>
        </w:rPr>
      </w:pPr>
      <w:r w:rsidRPr="00A201E0">
        <w:rPr>
          <w:b/>
          <w:sz w:val="24"/>
        </w:rPr>
        <w:t>SegMed: a 3D Slicer module for standardized PMCT segmentation of lower-limb long-bone diaphysis</w:t>
      </w:r>
    </w:p>
    <w:p w:rsidR="00E90BB9" w:rsidRPr="00A201E0" w:rsidRDefault="00E90BB9" w:rsidP="00E90BB9">
      <w:pPr>
        <w:rPr>
          <w:sz w:val="22"/>
        </w:rPr>
      </w:pPr>
    </w:p>
    <w:p w:rsidR="00F75B44" w:rsidRPr="00A201E0" w:rsidRDefault="00F75B44" w:rsidP="00E90BB9">
      <w:pPr>
        <w:pStyle w:val="Paragraphedeliste"/>
        <w:numPr>
          <w:ilvl w:val="0"/>
          <w:numId w:val="11"/>
        </w:numPr>
        <w:rPr>
          <w:b/>
          <w:sz w:val="24"/>
        </w:rPr>
      </w:pPr>
      <w:r w:rsidRPr="00A201E0">
        <w:rPr>
          <w:b/>
          <w:sz w:val="24"/>
        </w:rPr>
        <w:t xml:space="preserve">Purpose of the module </w:t>
      </w:r>
    </w:p>
    <w:p w:rsidR="00F75B44" w:rsidRPr="00F75B44" w:rsidRDefault="00F75B44" w:rsidP="00E90BB9">
      <w:pPr>
        <w:pStyle w:val="Paragraphedeliste"/>
        <w:rPr>
          <w:b/>
        </w:rPr>
      </w:pPr>
    </w:p>
    <w:p w:rsidR="00DF03F3" w:rsidRDefault="00A201E0" w:rsidP="00E90BB9">
      <w:r>
        <w:t>SegMed is a Python-based 3D Slicer module designed for standardized segmentation and metric extraction from post mortem computed tomography (PMCT) data of lower-limb long bones. In its current version, the module is intended primarily for femoral and tibial diaphyseal workflows. It combines expert-guided diaphyseal extraction, anatomical alignment, Hounsfield unit (HU)-based medullary segmentation, optional peridiaphyseal soft-tissue analysis and structured export of imaging-derived variables.</w:t>
      </w:r>
    </w:p>
    <w:p w:rsidR="00DF03F3" w:rsidRDefault="00A201E0" w:rsidP="00E90BB9">
      <w:r>
        <w:t>SegMed is not designed to provide diagnostic conclusions, cause-of-death assessment, post mortem interval estimation or autonomous medico-legal decision-making. All outputs must be reviewed by an experienced operator and interpreted in the context of the case.</w:t>
      </w:r>
    </w:p>
    <w:p w:rsidR="00F75B44" w:rsidRDefault="00F75B44" w:rsidP="00E90BB9"/>
    <w:p w:rsidR="00F75B44" w:rsidRPr="00F75B44" w:rsidRDefault="00F75B44" w:rsidP="00E90BB9">
      <w:pPr>
        <w:pStyle w:val="Paragraphedeliste"/>
        <w:numPr>
          <w:ilvl w:val="1"/>
          <w:numId w:val="11"/>
        </w:numPr>
        <w:rPr>
          <w:b/>
        </w:rPr>
      </w:pPr>
      <w:r w:rsidRPr="00F75B44">
        <w:rPr>
          <w:b/>
        </w:rPr>
        <w:t>Software environment and code access</w:t>
      </w:r>
    </w:p>
    <w:p w:rsidR="00DF03F3" w:rsidRDefault="00A201E0" w:rsidP="00E90BB9">
      <w:r>
        <w:t>This guide accompanies the supplied source code declaring SegMed 3.2.3</w:t>
      </w:r>
      <w:r w:rsidR="006F1D52">
        <w:rPr>
          <w:strike/>
        </w:rPr>
        <w:t xml:space="preserve"> </w:t>
      </w:r>
    </w:p>
    <w:p w:rsidR="00DF03F3" w:rsidRDefault="00A201E0" w:rsidP="00E90BB9">
      <w:r>
        <w:t>Tested environment for the current development build: 3D Slicer 5.12.1 on 64-bit Windows 11 Pro. Record the exact Slicer version/revision and operating-system version used for each study. Slicer is available for Windows, macOS and Linux; compatibility outside the tested environment should be verified before research use.</w:t>
      </w:r>
    </w:p>
    <w:p w:rsidR="00E90BB9" w:rsidRDefault="00E90BB9" w:rsidP="00E90BB9"/>
    <w:p w:rsidR="00A201E0" w:rsidRPr="00A201E0" w:rsidRDefault="00A201E0" w:rsidP="00E90BB9">
      <w:pPr>
        <w:pStyle w:val="Paragraphedeliste"/>
        <w:numPr>
          <w:ilvl w:val="1"/>
          <w:numId w:val="11"/>
        </w:numPr>
        <w:rPr>
          <w:b/>
        </w:rPr>
      </w:pPr>
      <w:r w:rsidRPr="00A201E0">
        <w:rPr>
          <w:b/>
        </w:rPr>
        <w:t>Installation</w:t>
      </w:r>
    </w:p>
    <w:p w:rsidR="00DF03F3" w:rsidRDefault="00A201E0" w:rsidP="00E90BB9">
      <w:r>
        <w:t>Manual installation from source: extract the complete distribution into a local directory. Keep SegMed.py beside the SegMedLib subdirectory, containing __init__.py, analyzer.py, extractor.py, anatomical_constraints.py, physical.py and peridiaphyseal.py. In 3D Slicer, open Edit &gt; Application Settings &gt; Modules &gt; Additional module paths, add the directory containing SegMed.py, then restart Slicer and select SegMed under Forensic Medicine.</w:t>
      </w:r>
    </w:p>
    <w:p w:rsidR="00DF03F3" w:rsidRDefault="00A201E0" w:rsidP="00E90BB9">
      <w:r>
        <w:t>Run SegMed inside the Slicer Python environment. NumPy, SciPy and SimpleITK are required; Matplotlib is used for plot exports. The code attempts to install SimpleITK 2.3.1 if it is missing, and to install Matplotlib when needed. These installations require network access and permission to modify the Slicer Python environment.</w:t>
      </w:r>
    </w:p>
    <w:p w:rsidR="00DF03F3" w:rsidRDefault="00A201E0" w:rsidP="00E90BB9">
      <w:r>
        <w:t>Extension Manager installation: if SegMed is listed for the installed Slicer version, open View &gt; Extensions Manager, install SegMed and restart Slicer. If no compatible catalogue entry is available, use the manual source installation described above.</w:t>
      </w:r>
    </w:p>
    <w:p w:rsidR="006F1D52" w:rsidRDefault="006F1D52" w:rsidP="00E90BB9"/>
    <w:p w:rsidR="00A201E0" w:rsidRPr="00A201E0" w:rsidRDefault="00A201E0" w:rsidP="00E90BB9">
      <w:pPr>
        <w:pStyle w:val="Paragraphedeliste"/>
        <w:numPr>
          <w:ilvl w:val="0"/>
          <w:numId w:val="11"/>
        </w:numPr>
        <w:rPr>
          <w:b/>
          <w:sz w:val="24"/>
        </w:rPr>
      </w:pPr>
      <w:r w:rsidRPr="00A201E0">
        <w:rPr>
          <w:b/>
          <w:sz w:val="24"/>
        </w:rPr>
        <w:t xml:space="preserve">Required input data </w:t>
      </w:r>
    </w:p>
    <w:p w:rsidR="00DF03F3" w:rsidRDefault="00A201E0" w:rsidP="00E90BB9">
      <w:r>
        <w:t>SegMed requires a PMCT volume loaded into 3D Slicer. The target femoral or tibial diaphysis should be clearly visible and sufficiently separated from adjacent bones. For disarticulated, commingled or bulk-scanned skeletal remains, prior manual cropping or separate scanning may be necessary if other bones overlap or contact the target diaphysis.</w:t>
      </w:r>
    </w:p>
    <w:p w:rsidR="00DF03F3" w:rsidRDefault="00A201E0" w:rsidP="00E90BB9">
      <w:r>
        <w:t>The module is best suited to computed tomography (CT) datasets with adequate cortical preservation and sufficient contrast between cortical bone and surrounding structures. Poor cortical preservation, extensive fragmentation, severe taphonomic alteration or low CT contrast may compromise seed-based extraction and long-axis estimation.</w:t>
      </w:r>
    </w:p>
    <w:p w:rsidR="00A201E0" w:rsidRPr="00A201E0" w:rsidRDefault="00A201E0" w:rsidP="00E90BB9">
      <w:pPr>
        <w:pStyle w:val="Paragraphedeliste"/>
        <w:numPr>
          <w:ilvl w:val="1"/>
          <w:numId w:val="11"/>
        </w:numPr>
        <w:rPr>
          <w:b/>
        </w:rPr>
      </w:pPr>
      <w:r w:rsidRPr="00A201E0">
        <w:rPr>
          <w:b/>
        </w:rPr>
        <w:t>Accepted input formats</w:t>
      </w:r>
    </w:p>
    <w:p w:rsidR="00DF03F3" w:rsidRDefault="00A201E0" w:rsidP="00E90BB9">
      <w:r>
        <w:t>SegMed accepts a three-dimensional scalar CT volume already loaded into Slicer (vtkMRMLScalarVolumeNode). Import DICOM CT series through the DICOM browser; load NRRD (.nrrd, .nhdr), NIfTI-1 (.nii, .nii.gz) or MetaImage (.mha, .mhd) through Add Data. These are Slicer import formats, not independent SegMed readers. The extraction/analysis workflow exchanges NIfTI masks internally; the mask file selector accepts .nii and .nii.gz. Preserve HU values and spatial geometry, including spacing in millimetres, origin and orientation, and retain acquisition metadata.</w:t>
      </w:r>
    </w:p>
    <w:p w:rsidR="00A201E0" w:rsidRPr="00A201E0" w:rsidRDefault="00A201E0" w:rsidP="00E90BB9">
      <w:pPr>
        <w:rPr>
          <w:b/>
        </w:rPr>
      </w:pPr>
    </w:p>
    <w:p w:rsidR="00A201E0" w:rsidRPr="00A201E0" w:rsidRDefault="00A201E0" w:rsidP="00E90BB9">
      <w:pPr>
        <w:pStyle w:val="Paragraphedeliste"/>
        <w:numPr>
          <w:ilvl w:val="1"/>
          <w:numId w:val="11"/>
        </w:numPr>
        <w:rPr>
          <w:b/>
        </w:rPr>
      </w:pPr>
      <w:r w:rsidRPr="00A201E0">
        <w:rPr>
          <w:b/>
        </w:rPr>
        <w:t>Spatial sampling and reconstruction</w:t>
      </w:r>
    </w:p>
    <w:p w:rsidR="00DF03F3" w:rsidRDefault="00A201E0" w:rsidP="00E90BB9">
      <w:r>
        <w:t>Prefer thin, contiguous sections and near-isotropic native sampling. A practical acquisition target is an in-plane voxel spacing of 1 mm or less and a reconstructed slice thickness of 1 mm or less, with a slice increment no greater than the thickness and no gaps. Record native and resampled spacing. Upsampling cannot recover detail lost in thick sections. These targets are recommendations, not validated SegMed acceptance limits.</w:t>
      </w:r>
    </w:p>
    <w:p w:rsidR="00DF03F3" w:rsidRDefault="00A201E0" w:rsidP="00E90BB9">
      <w:r>
        <w:t>For HU-based compartment quantification, a consistent standard or soft-tissue reconstruction kernel is a practical starting point. Sharp bone kernels may help cortical inspection but increase noise and edge effects, which can change HU classification. Record the manufacturer-specific kernel name and iterative reconstruction settings, and assess comparability before combining results from different kernels.</w:t>
      </w:r>
    </w:p>
    <w:p w:rsidR="00A201E0" w:rsidRDefault="00A201E0" w:rsidP="00E90BB9"/>
    <w:p w:rsidR="00A201E0" w:rsidRPr="00A201E0" w:rsidRDefault="00A201E0" w:rsidP="00E90BB9">
      <w:pPr>
        <w:pStyle w:val="Paragraphedeliste"/>
        <w:numPr>
          <w:ilvl w:val="1"/>
          <w:numId w:val="11"/>
        </w:numPr>
        <w:rPr>
          <w:b/>
        </w:rPr>
      </w:pPr>
      <w:r w:rsidRPr="00A201E0">
        <w:rPr>
          <w:b/>
        </w:rPr>
        <w:t>Memory and storage requirements</w:t>
      </w:r>
    </w:p>
    <w:p w:rsidR="00DF03F3" w:rsidRDefault="00A201E0" w:rsidP="00E90BB9">
      <w:r>
        <w:t>Plan RAM from the uncompressed voxel data, rather than the compressed file size. Slicer recommends approximately ten times the loaded data size as a general memory allowance. For example, 512 × 512 × 2,000 voxels at 16 bits occupy about 1 GiB before masks, temporary arrays and resampling. For large PMCT volumes, 32 GB RAM is a practical starting configuration; very large datasets or multiple open volumes may require 64 GB or more. These are capacity-planning recommendations, not a measured SegMed minimum.</w:t>
      </w:r>
    </w:p>
    <w:p w:rsidR="00DF03F3" w:rsidRDefault="00A201E0" w:rsidP="00E90BB9">
      <w:r>
        <w:t>If memory is limited, crop unnecessary anatomy before extraction while retaining the target bone, the landmarks needed to define its length and enough surrounding tissue for the selected peridiaphyseal margin. Ensure sufficient free space in both output and temporary directories for aligned volumes, masks and exports.</w:t>
      </w:r>
    </w:p>
    <w:p w:rsidR="00DF03F3" w:rsidRDefault="00A201E0" w:rsidP="00E90BB9">
      <w:r>
        <w:t>Slicer references: data loading, application settings, extensions and system requirements.</w:t>
      </w:r>
    </w:p>
    <w:p w:rsidR="00A201E0" w:rsidRDefault="00A201E0" w:rsidP="00E90BB9"/>
    <w:p w:rsidR="00A201E0" w:rsidRPr="00A201E0" w:rsidRDefault="00A201E0" w:rsidP="00E90BB9">
      <w:pPr>
        <w:pStyle w:val="Paragraphedeliste"/>
        <w:numPr>
          <w:ilvl w:val="0"/>
          <w:numId w:val="11"/>
        </w:numPr>
        <w:rPr>
          <w:b/>
          <w:sz w:val="24"/>
        </w:rPr>
      </w:pPr>
      <w:r w:rsidRPr="00A201E0">
        <w:rPr>
          <w:b/>
          <w:sz w:val="24"/>
        </w:rPr>
        <w:t>General workflow</w:t>
      </w:r>
    </w:p>
    <w:p w:rsidR="00DF03F3" w:rsidRDefault="00A201E0" w:rsidP="00E90BB9">
      <w:r>
        <w:t>The SegMed interface is organized into four main tabs:</w:t>
      </w:r>
    </w:p>
    <w:p w:rsidR="00A201E0" w:rsidRDefault="00A201E0" w:rsidP="00E90BB9"/>
    <w:p w:rsidR="00A201E0" w:rsidRPr="00A201E0" w:rsidRDefault="00A201E0" w:rsidP="00E90BB9">
      <w:pPr>
        <w:pStyle w:val="Paragraphedeliste"/>
        <w:numPr>
          <w:ilvl w:val="0"/>
          <w:numId w:val="12"/>
        </w:numPr>
        <w:rPr>
          <w:b/>
        </w:rPr>
      </w:pPr>
      <w:r w:rsidRPr="00A201E0">
        <w:rPr>
          <w:b/>
        </w:rPr>
        <w:t>Extraction</w:t>
      </w:r>
    </w:p>
    <w:p w:rsidR="00DF03F3" w:rsidRDefault="00A201E0" w:rsidP="00E90BB9">
      <w:r>
        <w:t>Semi-automatic extraction of the target diaphysis from an expert-defined cortical seed point.</w:t>
      </w:r>
    </w:p>
    <w:p w:rsidR="00A201E0" w:rsidRDefault="00A201E0" w:rsidP="00E90BB9"/>
    <w:p w:rsidR="00A201E0" w:rsidRPr="00A201E0" w:rsidRDefault="00A201E0" w:rsidP="00E90BB9">
      <w:pPr>
        <w:pStyle w:val="Paragraphedeliste"/>
        <w:numPr>
          <w:ilvl w:val="0"/>
          <w:numId w:val="12"/>
        </w:numPr>
        <w:rPr>
          <w:b/>
        </w:rPr>
      </w:pPr>
      <w:r w:rsidRPr="00A201E0">
        <w:rPr>
          <w:b/>
        </w:rPr>
        <w:t>Medullary analysis</w:t>
      </w:r>
    </w:p>
    <w:p w:rsidR="00DF03F3" w:rsidRDefault="00A201E0" w:rsidP="00E90BB9">
      <w:r>
        <w:t>HU-based segmentation of the medullary region and computation of compartment metrics.</w:t>
      </w:r>
    </w:p>
    <w:p w:rsidR="00A201E0" w:rsidRDefault="00A201E0" w:rsidP="00E90BB9"/>
    <w:p w:rsidR="00A201E0" w:rsidRPr="00A201E0" w:rsidRDefault="00A201E0" w:rsidP="00E90BB9">
      <w:pPr>
        <w:pStyle w:val="Paragraphedeliste"/>
        <w:numPr>
          <w:ilvl w:val="0"/>
          <w:numId w:val="12"/>
        </w:numPr>
        <w:rPr>
          <w:b/>
        </w:rPr>
      </w:pPr>
      <w:r w:rsidRPr="00A201E0">
        <w:rPr>
          <w:b/>
        </w:rPr>
        <w:t>Peridiaphyseal soft-tissue analysis</w:t>
      </w:r>
    </w:p>
    <w:p w:rsidR="00DF03F3" w:rsidRDefault="00A201E0" w:rsidP="00E90BB9">
      <w:r>
        <w:t>Optional quantification of a reproducible soft-tissue sleeve around the same aligned diaphyseal segment.</w:t>
      </w:r>
    </w:p>
    <w:p w:rsidR="00A201E0" w:rsidRDefault="00A201E0" w:rsidP="00E90BB9"/>
    <w:p w:rsidR="00A201E0" w:rsidRPr="00A201E0" w:rsidRDefault="00A201E0" w:rsidP="00E90BB9">
      <w:pPr>
        <w:pStyle w:val="Paragraphedeliste"/>
        <w:numPr>
          <w:ilvl w:val="0"/>
          <w:numId w:val="12"/>
        </w:numPr>
        <w:rPr>
          <w:b/>
        </w:rPr>
      </w:pPr>
      <w:r w:rsidRPr="00A201E0">
        <w:rPr>
          <w:b/>
        </w:rPr>
        <w:t>Export</w:t>
      </w:r>
    </w:p>
    <w:p w:rsidR="00DF03F3" w:rsidRDefault="00A201E0" w:rsidP="00E90BB9">
      <w:r>
        <w:t>Generation of quality-control masks, tabular outputs, metadata and analysis-ready files.</w:t>
      </w:r>
    </w:p>
    <w:p w:rsidR="00DF03F3" w:rsidRDefault="00A201E0" w:rsidP="00E90BB9">
      <w:r>
        <w:t>The workflow should be performed in this order.</w:t>
      </w:r>
    </w:p>
    <w:p w:rsidR="00A201E0" w:rsidRDefault="00A201E0" w:rsidP="00E90BB9"/>
    <w:p w:rsidR="00A201E0" w:rsidRPr="00A201E0" w:rsidRDefault="00A201E0" w:rsidP="00E90BB9">
      <w:pPr>
        <w:pStyle w:val="Paragraphedeliste"/>
        <w:numPr>
          <w:ilvl w:val="0"/>
          <w:numId w:val="12"/>
        </w:numPr>
        <w:rPr>
          <w:b/>
        </w:rPr>
      </w:pPr>
      <w:r w:rsidRPr="00A201E0">
        <w:rPr>
          <w:b/>
        </w:rPr>
        <w:t>Step 1 – Diaphyseal extraction</w:t>
      </w:r>
    </w:p>
    <w:p w:rsidR="00DF03F3" w:rsidRDefault="00A201E0" w:rsidP="00E90BB9">
      <w:r>
        <w:t>First, load the CT volume into 3D Slicer and open the SegMed module. In the Extraction tab, select the CT volume, specify the bone type and laterality, and enter the case identifier.</w:t>
      </w:r>
    </w:p>
    <w:p w:rsidR="00DF03F3" w:rsidRDefault="00A201E0" w:rsidP="00E90BB9">
      <w:r>
        <w:t>The operator then activates the seed-point mode and places a seed point on the cortical bone of the target femur or tibia. The seed point should be placed on clearly visible cortical bone, avoiding trabecular regions, fragmented areas, adjacent bones, metallic artefacts or zones affected by severe taphonomic alteration.</w:t>
      </w:r>
    </w:p>
    <w:p w:rsidR="00DF03F3" w:rsidRDefault="00A201E0" w:rsidP="00E90BB9">
      <w:r>
        <w:t>SegMed isolates the connected cortical component from the seed using a strict cortical window of 700–2500 HU, then estimates the long axis by principal component analysis (PCA). Requested anatomical ratios guide the diaphyseal limits; a hybrid method also considers the cortical cross-sectional profile and can refine the axis from the shaft. Therefore, the applied limits may differ from the requested ratios even without a manual adjustment.</w:t>
      </w:r>
    </w:p>
    <w:p w:rsidR="00DF03F3" w:rsidRDefault="00A201E0" w:rsidP="00E90BB9">
      <w:r>
        <w:t>Default anatomical cutoff ratios, measured from the proximal end as fractions of the estimated whole-bone length:</w:t>
      </w:r>
    </w:p>
    <w:tbl>
      <w:tblPr>
        <w:tblStyle w:val="Grilledutableau"/>
        <w:tblW w:w="0" w:type="auto"/>
        <w:tblLook w:val="04A0" w:firstRow="1" w:lastRow="0" w:firstColumn="1" w:lastColumn="0" w:noHBand="0" w:noVBand="1"/>
      </w:tblPr>
      <w:tblGrid>
        <w:gridCol w:w="3309"/>
        <w:gridCol w:w="3309"/>
        <w:gridCol w:w="3308"/>
      </w:tblGrid>
      <w:tr w:rsidR="00DF03F3">
        <w:trPr>
          <w:tblHeader/>
        </w:trPr>
        <w:tc>
          <w:tcPr>
            <w:tcW w:w="3312" w:type="dxa"/>
          </w:tcPr>
          <w:p w:rsidR="00DF03F3" w:rsidRDefault="00A201E0" w:rsidP="00E90BB9">
            <w:pPr>
              <w:spacing w:after="0"/>
            </w:pPr>
            <w:r>
              <w:rPr>
                <w:b/>
                <w:sz w:val="18"/>
              </w:rPr>
              <w:t>Bone</w:t>
            </w:r>
          </w:p>
        </w:tc>
        <w:tc>
          <w:tcPr>
            <w:tcW w:w="3312" w:type="dxa"/>
          </w:tcPr>
          <w:p w:rsidR="00DF03F3" w:rsidRDefault="00A201E0" w:rsidP="00E90BB9">
            <w:pPr>
              <w:spacing w:after="0"/>
            </w:pPr>
            <w:r>
              <w:rPr>
                <w:b/>
                <w:sz w:val="18"/>
              </w:rPr>
              <w:t>Proximal cutoff</w:t>
            </w:r>
          </w:p>
        </w:tc>
        <w:tc>
          <w:tcPr>
            <w:tcW w:w="3312" w:type="dxa"/>
          </w:tcPr>
          <w:p w:rsidR="00DF03F3" w:rsidRDefault="00A201E0" w:rsidP="00E90BB9">
            <w:pPr>
              <w:spacing w:after="0"/>
            </w:pPr>
            <w:r>
              <w:rPr>
                <w:b/>
                <w:sz w:val="18"/>
              </w:rPr>
              <w:t>Distal cutoff</w:t>
            </w:r>
          </w:p>
        </w:tc>
      </w:tr>
      <w:tr w:rsidR="00DF03F3">
        <w:tc>
          <w:tcPr>
            <w:tcW w:w="3312" w:type="dxa"/>
          </w:tcPr>
          <w:p w:rsidR="00DF03F3" w:rsidRDefault="00A201E0" w:rsidP="00E90BB9">
            <w:pPr>
              <w:spacing w:after="0"/>
            </w:pPr>
            <w:r>
              <w:rPr>
                <w:sz w:val="18"/>
              </w:rPr>
              <w:t>Femur</w:t>
            </w:r>
          </w:p>
        </w:tc>
        <w:tc>
          <w:tcPr>
            <w:tcW w:w="3312" w:type="dxa"/>
          </w:tcPr>
          <w:p w:rsidR="00DF03F3" w:rsidRDefault="00A201E0" w:rsidP="00E90BB9">
            <w:pPr>
              <w:spacing w:after="0"/>
            </w:pPr>
            <w:r>
              <w:rPr>
                <w:sz w:val="18"/>
              </w:rPr>
              <w:t>0.18 (18%)</w:t>
            </w:r>
          </w:p>
        </w:tc>
        <w:tc>
          <w:tcPr>
            <w:tcW w:w="3312" w:type="dxa"/>
          </w:tcPr>
          <w:p w:rsidR="00DF03F3" w:rsidRDefault="00A201E0" w:rsidP="00E90BB9">
            <w:pPr>
              <w:spacing w:after="0"/>
            </w:pPr>
            <w:r>
              <w:rPr>
                <w:sz w:val="18"/>
              </w:rPr>
              <w:t>0.82 (82%)</w:t>
            </w:r>
          </w:p>
        </w:tc>
      </w:tr>
      <w:tr w:rsidR="00DF03F3">
        <w:tc>
          <w:tcPr>
            <w:tcW w:w="3312" w:type="dxa"/>
          </w:tcPr>
          <w:p w:rsidR="00DF03F3" w:rsidRDefault="00A201E0" w:rsidP="00E90BB9">
            <w:pPr>
              <w:spacing w:after="0"/>
            </w:pPr>
            <w:r>
              <w:rPr>
                <w:sz w:val="18"/>
              </w:rPr>
              <w:t>Tibia</w:t>
            </w:r>
          </w:p>
        </w:tc>
        <w:tc>
          <w:tcPr>
            <w:tcW w:w="3312" w:type="dxa"/>
          </w:tcPr>
          <w:p w:rsidR="00DF03F3" w:rsidRDefault="00A201E0" w:rsidP="00E90BB9">
            <w:pPr>
              <w:spacing w:after="0"/>
            </w:pPr>
            <w:r>
              <w:rPr>
                <w:sz w:val="18"/>
              </w:rPr>
              <w:t>0.20 (20%)</w:t>
            </w:r>
          </w:p>
        </w:tc>
        <w:tc>
          <w:tcPr>
            <w:tcW w:w="3312" w:type="dxa"/>
          </w:tcPr>
          <w:p w:rsidR="00DF03F3" w:rsidRDefault="00A201E0" w:rsidP="00E90BB9">
            <w:pPr>
              <w:spacing w:after="0"/>
            </w:pPr>
            <w:r>
              <w:rPr>
                <w:sz w:val="18"/>
              </w:rPr>
              <w:t>0.80 (80%)</w:t>
            </w:r>
          </w:p>
        </w:tc>
      </w:tr>
      <w:tr w:rsidR="00DF03F3">
        <w:tc>
          <w:tcPr>
            <w:tcW w:w="3312" w:type="dxa"/>
          </w:tcPr>
          <w:p w:rsidR="00DF03F3" w:rsidRDefault="00A201E0" w:rsidP="00E90BB9">
            <w:pPr>
              <w:spacing w:after="0"/>
            </w:pPr>
            <w:r>
              <w:rPr>
                <w:sz w:val="18"/>
              </w:rPr>
              <w:t>Fibula — preliminary</w:t>
            </w:r>
          </w:p>
        </w:tc>
        <w:tc>
          <w:tcPr>
            <w:tcW w:w="3312" w:type="dxa"/>
          </w:tcPr>
          <w:p w:rsidR="00DF03F3" w:rsidRDefault="00A201E0" w:rsidP="00E90BB9">
            <w:pPr>
              <w:spacing w:after="0"/>
            </w:pPr>
            <w:r>
              <w:rPr>
                <w:sz w:val="18"/>
              </w:rPr>
              <w:t>0.15 (15%)</w:t>
            </w:r>
          </w:p>
        </w:tc>
        <w:tc>
          <w:tcPr>
            <w:tcW w:w="3312" w:type="dxa"/>
          </w:tcPr>
          <w:p w:rsidR="00DF03F3" w:rsidRDefault="00A201E0" w:rsidP="00E90BB9">
            <w:pPr>
              <w:spacing w:after="0"/>
            </w:pPr>
            <w:r>
              <w:rPr>
                <w:sz w:val="18"/>
              </w:rPr>
              <w:t>0.85 (85%)</w:t>
            </w:r>
          </w:p>
        </w:tc>
      </w:tr>
    </w:tbl>
    <w:p w:rsidR="00DF03F3" w:rsidRDefault="00A201E0" w:rsidP="00E90BB9">
      <w:r>
        <w:t>Ratios are dimensionless. Interface adjustment ranges are 0.05–0.40 proximally and 0.60–0.95 distally, in steps of 0.01. Diaphyseal mask dilation defaults to 1.5 mm (interface: 0–5 mm, step 0.5 mm); it is a morphological expansion, not the medullary endosteal-shell thickness. The export records requested_proximal_ratio/requested_distal_ratio and the applied proximal_ratio/distal_ratio, together with proximal_cut_mm, distal_cut_mm, diaphysis_length_mm and dilation_mm.</w:t>
      </w:r>
    </w:p>
    <w:p w:rsidR="00DF03F3" w:rsidRDefault="00A201E0" w:rsidP="00E90BB9">
      <w:r>
        <w:t>Check proximal–distal and anterior–posterior orientation on the aligned CT before analysis. SegMed records orientation metadata including aligned_prox_is_z_plus and, when available, automatic AP-orientation reliability/confidence fields. Low-confidence automatic orientation is not a failure by itself but requires visual verification. When necessary, use the named distal, proximal, posterior and anterior reference points to impose a manual anatomical frame. Directional profiles and gravity-related indices require anatomically reliable orientation.</w:t>
      </w:r>
    </w:p>
    <w:p w:rsidR="00DF03F3" w:rsidRDefault="00A201E0" w:rsidP="00E90BB9">
      <w:r>
        <w:t>At the end of this step, the operator should visually inspect the extracted diaphyseal mask and the aligned CT output. If the mask includes adjacent bones, misses part of the cortical shaft, or fails to represent the target diaphysis, the extraction should be repeated after adjusting the seed point, anatomical limits or input volume.</w:t>
      </w:r>
    </w:p>
    <w:p w:rsidR="00A201E0" w:rsidRPr="00A201E0" w:rsidRDefault="00A201E0" w:rsidP="00E90BB9">
      <w:pPr>
        <w:rPr>
          <w:b/>
          <w:sz w:val="24"/>
        </w:rPr>
      </w:pPr>
    </w:p>
    <w:p w:rsidR="00A201E0" w:rsidRPr="00A201E0" w:rsidRDefault="00A201E0" w:rsidP="00E90BB9">
      <w:pPr>
        <w:pStyle w:val="Paragraphedeliste"/>
        <w:numPr>
          <w:ilvl w:val="0"/>
          <w:numId w:val="11"/>
        </w:numPr>
        <w:rPr>
          <w:b/>
          <w:sz w:val="24"/>
        </w:rPr>
      </w:pPr>
      <w:r w:rsidRPr="00A201E0">
        <w:rPr>
          <w:b/>
          <w:sz w:val="24"/>
        </w:rPr>
        <w:t>Step 2 – Medullary compartment analysis</w:t>
      </w:r>
    </w:p>
    <w:p w:rsidR="00DF03F3" w:rsidRDefault="00A201E0" w:rsidP="00E90BB9">
      <w:r>
        <w:t>Once the diaphysis has been extracted and aligned, the Medullary analysis tab is used to segment the internal diaphyseal region. SegMed applies HU-based thresholds to classify voxels into descriptive CT attenuation classes.</w:t>
      </w:r>
    </w:p>
    <w:p w:rsidR="00DF03F3" w:rsidRDefault="00A201E0" w:rsidP="00E90BB9">
      <w:r>
        <w:t>The default medullary classes and nominal HU windows, before component cleanup, are:</w:t>
      </w:r>
    </w:p>
    <w:tbl>
      <w:tblPr>
        <w:tblStyle w:val="Grilledutableau"/>
        <w:tblW w:w="0" w:type="auto"/>
        <w:tblLook w:val="04A0" w:firstRow="1" w:lastRow="0" w:firstColumn="1" w:lastColumn="0" w:noHBand="0" w:noVBand="1"/>
      </w:tblPr>
      <w:tblGrid>
        <w:gridCol w:w="3309"/>
        <w:gridCol w:w="3308"/>
        <w:gridCol w:w="3309"/>
      </w:tblGrid>
      <w:tr w:rsidR="00DF03F3">
        <w:trPr>
          <w:tblHeader/>
        </w:trPr>
        <w:tc>
          <w:tcPr>
            <w:tcW w:w="3312" w:type="dxa"/>
          </w:tcPr>
          <w:p w:rsidR="00DF03F3" w:rsidRDefault="00A201E0" w:rsidP="00E90BB9">
            <w:pPr>
              <w:spacing w:after="0"/>
            </w:pPr>
            <w:r>
              <w:rPr>
                <w:b/>
                <w:sz w:val="18"/>
              </w:rPr>
              <w:t>SegMed output</w:t>
            </w:r>
          </w:p>
        </w:tc>
        <w:tc>
          <w:tcPr>
            <w:tcW w:w="3312" w:type="dxa"/>
          </w:tcPr>
          <w:p w:rsidR="00DF03F3" w:rsidRDefault="00A201E0" w:rsidP="00E90BB9">
            <w:pPr>
              <w:spacing w:after="0"/>
            </w:pPr>
            <w:r>
              <w:rPr>
                <w:b/>
                <w:sz w:val="18"/>
              </w:rPr>
              <w:t>Default HU range</w:t>
            </w:r>
          </w:p>
        </w:tc>
        <w:tc>
          <w:tcPr>
            <w:tcW w:w="3312" w:type="dxa"/>
          </w:tcPr>
          <w:p w:rsidR="00DF03F3" w:rsidRDefault="00A201E0" w:rsidP="00E90BB9">
            <w:pPr>
              <w:spacing w:after="0"/>
            </w:pPr>
            <w:r>
              <w:rPr>
                <w:b/>
                <w:sz w:val="18"/>
              </w:rPr>
              <w:t>Operational definition</w:t>
            </w:r>
          </w:p>
        </w:tc>
      </w:tr>
      <w:tr w:rsidR="00DF03F3">
        <w:tc>
          <w:tcPr>
            <w:tcW w:w="3312" w:type="dxa"/>
          </w:tcPr>
          <w:p w:rsidR="00DF03F3" w:rsidRDefault="00A201E0" w:rsidP="00E90BB9">
            <w:pPr>
              <w:spacing w:after="0"/>
            </w:pPr>
            <w:r>
              <w:rPr>
                <w:sz w:val="18"/>
              </w:rPr>
              <w:t>Total gas</w:t>
            </w:r>
          </w:p>
        </w:tc>
        <w:tc>
          <w:tcPr>
            <w:tcW w:w="3312" w:type="dxa"/>
          </w:tcPr>
          <w:p w:rsidR="00DF03F3" w:rsidRDefault="00A201E0" w:rsidP="00E90BB9">
            <w:pPr>
              <w:spacing w:after="0"/>
            </w:pPr>
            <w:r>
              <w:rPr>
                <w:sz w:val="18"/>
              </w:rPr>
              <w:t>−1000 to −350</w:t>
            </w:r>
          </w:p>
        </w:tc>
        <w:tc>
          <w:tcPr>
            <w:tcW w:w="3312" w:type="dxa"/>
          </w:tcPr>
          <w:p w:rsidR="00DF03F3" w:rsidRDefault="00A201E0" w:rsidP="00E90BB9">
            <w:pPr>
              <w:spacing w:after="0"/>
            </w:pPr>
            <w:r>
              <w:rPr>
                <w:sz w:val="18"/>
              </w:rPr>
              <w:t>Union of retained pure and mixed gas; an aggregate, not an additional compartment.</w:t>
            </w:r>
          </w:p>
        </w:tc>
      </w:tr>
      <w:tr w:rsidR="00DF03F3">
        <w:tc>
          <w:tcPr>
            <w:tcW w:w="3312" w:type="dxa"/>
          </w:tcPr>
          <w:p w:rsidR="00DF03F3" w:rsidRDefault="00A201E0" w:rsidP="00E90BB9">
            <w:pPr>
              <w:spacing w:after="0"/>
            </w:pPr>
            <w:r>
              <w:rPr>
                <w:sz w:val="18"/>
              </w:rPr>
              <w:t>Pure gas</w:t>
            </w:r>
          </w:p>
        </w:tc>
        <w:tc>
          <w:tcPr>
            <w:tcW w:w="3312" w:type="dxa"/>
          </w:tcPr>
          <w:p w:rsidR="00DF03F3" w:rsidRDefault="00A201E0" w:rsidP="00E90BB9">
            <w:pPr>
              <w:spacing w:after="0"/>
            </w:pPr>
            <w:r>
              <w:rPr>
                <w:sz w:val="18"/>
              </w:rPr>
              <w:t>−1000 to −700</w:t>
            </w:r>
          </w:p>
        </w:tc>
        <w:tc>
          <w:tcPr>
            <w:tcW w:w="3312" w:type="dxa"/>
          </w:tcPr>
          <w:p w:rsidR="00DF03F3" w:rsidRDefault="00A201E0" w:rsidP="00E90BB9">
            <w:pPr>
              <w:spacing w:after="0"/>
            </w:pPr>
            <w:r>
              <w:rPr>
                <w:sz w:val="18"/>
              </w:rPr>
              <w:t>Lower-attenuation gas subclass; the medullary split value belongs to this class.</w:t>
            </w:r>
          </w:p>
        </w:tc>
      </w:tr>
      <w:tr w:rsidR="00DF03F3">
        <w:tc>
          <w:tcPr>
            <w:tcW w:w="3312" w:type="dxa"/>
          </w:tcPr>
          <w:p w:rsidR="00DF03F3" w:rsidRDefault="00A201E0" w:rsidP="00E90BB9">
            <w:pPr>
              <w:spacing w:after="0"/>
            </w:pPr>
            <w:r>
              <w:rPr>
                <w:sz w:val="18"/>
              </w:rPr>
              <w:t>Gas mixed/aerated content</w:t>
            </w:r>
          </w:p>
        </w:tc>
        <w:tc>
          <w:tcPr>
            <w:tcW w:w="3312" w:type="dxa"/>
          </w:tcPr>
          <w:p w:rsidR="00DF03F3" w:rsidRDefault="00A201E0" w:rsidP="00E90BB9">
            <w:pPr>
              <w:spacing w:after="0"/>
            </w:pPr>
            <w:r>
              <w:rPr>
                <w:sz w:val="18"/>
              </w:rPr>
              <w:t>&gt; −700 to −350</w:t>
            </w:r>
          </w:p>
        </w:tc>
        <w:tc>
          <w:tcPr>
            <w:tcW w:w="3312" w:type="dxa"/>
          </w:tcPr>
          <w:p w:rsidR="00DF03F3" w:rsidRDefault="00A201E0" w:rsidP="00E90BB9">
            <w:pPr>
              <w:spacing w:after="0"/>
            </w:pPr>
            <w:r>
              <w:rPr>
                <w:sz w:val="18"/>
              </w:rPr>
              <w:t>Higher-attenuation gas subclass (integer HU: −699 to −350).</w:t>
            </w:r>
          </w:p>
        </w:tc>
      </w:tr>
      <w:tr w:rsidR="00DF03F3">
        <w:tc>
          <w:tcPr>
            <w:tcW w:w="3312" w:type="dxa"/>
          </w:tcPr>
          <w:p w:rsidR="00DF03F3" w:rsidRDefault="00A201E0" w:rsidP="00E90BB9">
            <w:pPr>
              <w:spacing w:after="0"/>
            </w:pPr>
            <w:r>
              <w:rPr>
                <w:sz w:val="18"/>
              </w:rPr>
              <w:t>Fat-like content</w:t>
            </w:r>
          </w:p>
        </w:tc>
        <w:tc>
          <w:tcPr>
            <w:tcW w:w="3312" w:type="dxa"/>
          </w:tcPr>
          <w:p w:rsidR="00DF03F3" w:rsidRDefault="00A201E0" w:rsidP="00E90BB9">
            <w:pPr>
              <w:spacing w:after="0"/>
            </w:pPr>
            <w:r>
              <w:rPr>
                <w:sz w:val="18"/>
              </w:rPr>
              <w:t>−200 to −30</w:t>
            </w:r>
          </w:p>
        </w:tc>
        <w:tc>
          <w:tcPr>
            <w:tcW w:w="3312" w:type="dxa"/>
          </w:tcPr>
          <w:p w:rsidR="00DF03F3" w:rsidRDefault="00A201E0" w:rsidP="00E90BB9">
            <w:pPr>
              <w:spacing w:after="0"/>
            </w:pPr>
            <w:r>
              <w:rPr>
                <w:sz w:val="18"/>
              </w:rPr>
              <w:t>Threshold-assigned fat-compatible content.</w:t>
            </w:r>
          </w:p>
        </w:tc>
      </w:tr>
      <w:tr w:rsidR="00DF03F3">
        <w:tc>
          <w:tcPr>
            <w:tcW w:w="3312" w:type="dxa"/>
          </w:tcPr>
          <w:p w:rsidR="00DF03F3" w:rsidRDefault="00A201E0" w:rsidP="00E90BB9">
            <w:pPr>
              <w:spacing w:after="0"/>
            </w:pPr>
            <w:r>
              <w:rPr>
                <w:sz w:val="18"/>
              </w:rPr>
              <w:t>Fluid-like content</w:t>
            </w:r>
          </w:p>
        </w:tc>
        <w:tc>
          <w:tcPr>
            <w:tcW w:w="3312" w:type="dxa"/>
          </w:tcPr>
          <w:p w:rsidR="00DF03F3" w:rsidRDefault="00A201E0" w:rsidP="00E90BB9">
            <w:pPr>
              <w:spacing w:after="0"/>
            </w:pPr>
            <w:r>
              <w:rPr>
                <w:sz w:val="18"/>
              </w:rPr>
              <w:t>−5 to 20</w:t>
            </w:r>
          </w:p>
        </w:tc>
        <w:tc>
          <w:tcPr>
            <w:tcW w:w="3312" w:type="dxa"/>
          </w:tcPr>
          <w:p w:rsidR="00DF03F3" w:rsidRDefault="00A201E0" w:rsidP="00E90BB9">
            <w:pPr>
              <w:spacing w:after="0"/>
            </w:pPr>
            <w:r>
              <w:rPr>
                <w:sz w:val="18"/>
              </w:rPr>
              <w:t>Threshold-assigned fluid-compatible content.</w:t>
            </w:r>
          </w:p>
        </w:tc>
      </w:tr>
      <w:tr w:rsidR="00DF03F3">
        <w:tc>
          <w:tcPr>
            <w:tcW w:w="3312" w:type="dxa"/>
          </w:tcPr>
          <w:p w:rsidR="00DF03F3" w:rsidRDefault="00A201E0" w:rsidP="00E90BB9">
            <w:pPr>
              <w:spacing w:after="0"/>
            </w:pPr>
            <w:r>
              <w:rPr>
                <w:sz w:val="18"/>
              </w:rPr>
              <w:t>Intermediate-density material</w:t>
            </w:r>
          </w:p>
        </w:tc>
        <w:tc>
          <w:tcPr>
            <w:tcW w:w="3312" w:type="dxa"/>
          </w:tcPr>
          <w:p w:rsidR="00DF03F3" w:rsidRDefault="00A201E0" w:rsidP="00E90BB9">
            <w:pPr>
              <w:spacing w:after="0"/>
            </w:pPr>
            <w:r>
              <w:rPr>
                <w:sz w:val="18"/>
              </w:rPr>
              <w:t>21 to 300</w:t>
            </w:r>
          </w:p>
        </w:tc>
        <w:tc>
          <w:tcPr>
            <w:tcW w:w="3312" w:type="dxa"/>
          </w:tcPr>
          <w:p w:rsidR="00DF03F3" w:rsidRDefault="00A201E0" w:rsidP="00E90BB9">
            <w:pPr>
              <w:spacing w:after="0"/>
            </w:pPr>
            <w:r>
              <w:rPr>
                <w:sz w:val="18"/>
              </w:rPr>
              <w:t>Threshold-assigned intermediate attenuation, after debris assignment.</w:t>
            </w:r>
          </w:p>
        </w:tc>
      </w:tr>
      <w:tr w:rsidR="00DF03F3">
        <w:tc>
          <w:tcPr>
            <w:tcW w:w="3312" w:type="dxa"/>
          </w:tcPr>
          <w:p w:rsidR="00DF03F3" w:rsidRDefault="00A201E0" w:rsidP="00E90BB9">
            <w:pPr>
              <w:spacing w:after="0"/>
            </w:pPr>
            <w:r>
              <w:rPr>
                <w:sz w:val="18"/>
              </w:rPr>
              <w:t>Debris-like material</w:t>
            </w:r>
          </w:p>
        </w:tc>
        <w:tc>
          <w:tcPr>
            <w:tcW w:w="3312" w:type="dxa"/>
          </w:tcPr>
          <w:p w:rsidR="00DF03F3" w:rsidRDefault="00A201E0" w:rsidP="00E90BB9">
            <w:pPr>
              <w:spacing w:after="0"/>
            </w:pPr>
            <w:r>
              <w:rPr>
                <w:sz w:val="18"/>
              </w:rPr>
              <w:t>301 to 1200</w:t>
            </w:r>
          </w:p>
        </w:tc>
        <w:tc>
          <w:tcPr>
            <w:tcW w:w="3312" w:type="dxa"/>
          </w:tcPr>
          <w:p w:rsidR="00DF03F3" w:rsidRDefault="00A201E0" w:rsidP="00E90BB9">
            <w:pPr>
              <w:spacing w:after="0"/>
            </w:pPr>
            <w:r>
              <w:rPr>
                <w:sz w:val="18"/>
              </w:rPr>
              <w:t>Higher attenuation within the cavity; an exploratory descriptive class.</w:t>
            </w:r>
          </w:p>
        </w:tc>
      </w:tr>
      <w:tr w:rsidR="00DF03F3">
        <w:tc>
          <w:tcPr>
            <w:tcW w:w="3312" w:type="dxa"/>
          </w:tcPr>
          <w:p w:rsidR="00DF03F3" w:rsidRDefault="00A201E0" w:rsidP="00E90BB9">
            <w:pPr>
              <w:spacing w:after="0"/>
            </w:pPr>
            <w:r>
              <w:rPr>
                <w:sz w:val="18"/>
              </w:rPr>
              <w:t>Residual medullary content</w:t>
            </w:r>
          </w:p>
        </w:tc>
        <w:tc>
          <w:tcPr>
            <w:tcW w:w="3312" w:type="dxa"/>
          </w:tcPr>
          <w:p w:rsidR="00DF03F3" w:rsidRDefault="00A201E0" w:rsidP="00E90BB9">
            <w:pPr>
              <w:spacing w:after="0"/>
            </w:pPr>
            <w:r>
              <w:rPr>
                <w:sz w:val="18"/>
              </w:rPr>
              <w:t>No fixed HU window</w:t>
            </w:r>
          </w:p>
        </w:tc>
        <w:tc>
          <w:tcPr>
            <w:tcW w:w="3312" w:type="dxa"/>
          </w:tcPr>
          <w:p w:rsidR="00DF03F3" w:rsidRDefault="00A201E0" w:rsidP="00E90BB9">
            <w:pPr>
              <w:spacing w:after="0"/>
            </w:pPr>
            <w:r>
              <w:rPr>
                <w:sz w:val="18"/>
              </w:rPr>
              <w:t>Cavity voxels remaining after all assignments and cleanup.</w:t>
            </w:r>
          </w:p>
        </w:tc>
      </w:tr>
      <w:tr w:rsidR="00DF03F3">
        <w:tc>
          <w:tcPr>
            <w:tcW w:w="3312" w:type="dxa"/>
          </w:tcPr>
          <w:p w:rsidR="00DF03F3" w:rsidRDefault="00A201E0" w:rsidP="00E90BB9">
            <w:pPr>
              <w:spacing w:after="0"/>
            </w:pPr>
            <w:r>
              <w:rPr>
                <w:sz w:val="18"/>
              </w:rPr>
              <w:t>Endosteal-adjacent shell</w:t>
            </w:r>
          </w:p>
        </w:tc>
        <w:tc>
          <w:tcPr>
            <w:tcW w:w="3312" w:type="dxa"/>
          </w:tcPr>
          <w:p w:rsidR="00DF03F3" w:rsidRDefault="00A201E0" w:rsidP="00E90BB9">
            <w:pPr>
              <w:spacing w:after="0"/>
            </w:pPr>
            <w:r>
              <w:rPr>
                <w:sz w:val="18"/>
              </w:rPr>
              <w:t>Geometric; 0.60 mm</w:t>
            </w:r>
          </w:p>
        </w:tc>
        <w:tc>
          <w:tcPr>
            <w:tcW w:w="3312" w:type="dxa"/>
          </w:tcPr>
          <w:p w:rsidR="00DF03F3" w:rsidRDefault="00A201E0" w:rsidP="00E90BB9">
            <w:pPr>
              <w:spacing w:after="0"/>
            </w:pPr>
            <w:r>
              <w:rPr>
                <w:sz w:val="18"/>
              </w:rPr>
              <w:t>Inner cortical shell adjacent to the cavity, excluding terminal caps; not a histological endosteum segmentation.</w:t>
            </w:r>
          </w:p>
        </w:tc>
      </w:tr>
    </w:tbl>
    <w:p w:rsidR="00DF03F3" w:rsidRDefault="00A201E0" w:rsidP="00E90BB9">
      <w:r>
        <w:t>Except for the mixed-gas lower bound, HU endpoints are inclusive. The medullary cavity is constructed separately from a bone lower threshold of 350 HU (interface: 100–2000 HU), sealing radius 3.2 mm (0.5–10 mm), terminal cap thickness 4.0 mm (0.5–15 mm) and endosteal shell 0.60 mm (0.1–5 mm). These geometric settings are distinct from the extraction cortical window and dilation.</w:t>
      </w:r>
    </w:p>
    <w:p w:rsidR="00DF03F3" w:rsidRDefault="00A201E0" w:rsidP="00E90BB9">
      <w:r>
        <w:t>These classes are CT attenuation-based outputs, not direct anatomical or histological tissue labels. Their interpretation must remain descriptive.</w:t>
      </w:r>
    </w:p>
    <w:p w:rsidR="00DF03F3" w:rsidRDefault="00A201E0" w:rsidP="00E90BB9">
      <w:r>
        <w:t>Voxel assignment proceeds within the remaining cavity in this order: pure gas → mixed gas → terminal gas cleanup → fat-like → fluid-like → debris-like → intermediate-density → residual. Each threshold step retains connected components of at least 5 mm³ and removes their voxels from the remaining mask. Gas components touching either of the first/last two cavity slices and spanning no more than three axial slices are removed from gas and returned to the remaining mask.</w:t>
      </w:r>
    </w:p>
    <w:p w:rsidR="00DF03F3" w:rsidRDefault="00A201E0" w:rsidP="00E90BB9">
      <w:r>
        <w:t>Residual content therefore includes HU gaps and values outside the selected windows, small components rejected by cleanup, and rejected terminal gas. It is not synonymous with the 21–300 HU intermediate-density class. Total gas equals pure + mixed gas after cleanup; do not add total gas to its two subclasses when summing compartment volumes.</w:t>
      </w:r>
    </w:p>
    <w:p w:rsidR="00DF03F3" w:rsidRDefault="00A201E0" w:rsidP="00E90BB9">
      <w:r>
        <w:t>For medullary analysis, each lower bound must be strictly below its upper bound, the gas split must lie strictly inside the total-gas window, and the windows must satisfy gas high &lt; fat low, fat high &lt; fluid low, fluid high &lt; intermediate low, and intermediate high &lt; debris low. Equal adjacent bounds are rejected. The validation raises ValueError before medullary segmentation starts; the interface displays “SegMed analysis error:” followed by the reason.</w:t>
      </w:r>
    </w:p>
    <w:p w:rsidR="00DF03F3" w:rsidRDefault="00A201E0" w:rsidP="00E90BB9">
      <w:r>
        <w:t>Examples of the exact reasons: “Invalid thresholds: fatLow must be &lt; fatHigh”; “Invalid gas split: gasSplit(-350.0) must be inside Gas total range (-1000..-350).”; “Overlapping HU ranges: sepHigh(301) &gt;= debLow(301). Intermediate density must end below Debris begins.”</w:t>
      </w:r>
    </w:p>
    <w:p w:rsidR="00DF03F3" w:rsidRDefault="00A201E0" w:rsidP="00E90BB9">
      <w:r>
        <w:t>After running the analysis, the operator should review the segmentation masks, HU summaries and compartment distributions. Particular attention should be paid to artefacts, incomplete field of view, cortical discontinuities, metallic objects and contamination by adjacent structures.</w:t>
      </w:r>
    </w:p>
    <w:p w:rsidR="00A201E0" w:rsidRDefault="00A201E0" w:rsidP="00E90BB9"/>
    <w:p w:rsidR="00A201E0" w:rsidRDefault="00A201E0" w:rsidP="00E90BB9">
      <w:pPr>
        <w:pStyle w:val="Paragraphedeliste"/>
        <w:numPr>
          <w:ilvl w:val="0"/>
          <w:numId w:val="11"/>
        </w:numPr>
        <w:rPr>
          <w:b/>
          <w:sz w:val="24"/>
        </w:rPr>
      </w:pPr>
      <w:r w:rsidRPr="00A201E0">
        <w:rPr>
          <w:b/>
          <w:sz w:val="24"/>
        </w:rPr>
        <w:t>Step 3 – Optional peridiaphyseal soft-tissue analysis</w:t>
      </w:r>
    </w:p>
    <w:p w:rsidR="00E90BB9" w:rsidRPr="00A201E0" w:rsidRDefault="00E90BB9" w:rsidP="00E90BB9">
      <w:pPr>
        <w:pStyle w:val="Paragraphedeliste"/>
        <w:rPr>
          <w:b/>
          <w:sz w:val="24"/>
        </w:rPr>
      </w:pPr>
    </w:p>
    <w:p w:rsidR="00DF03F3" w:rsidRDefault="00A201E0" w:rsidP="00E90BB9">
      <w:r>
        <w:t>The optional peridiaphyseal analysis measures a sleeve outside the target-bone mask over the same aligned diaphyseal Z extent. The radial margin is a physical Euclidean distance from the bone-mask boundary in each transverse slice. Its interface default is 160 mm (adjustable from 10 to 400 mm, step 10 mm). Direct calls to the analysis function default to 100 mm unless a value is supplied.</w:t>
      </w:r>
    </w:p>
    <w:p w:rsidR="00DF03F3" w:rsidRDefault="00A201E0" w:rsidP="00E90BB9">
      <w:r>
        <w:t>The interface re-exports a wider context CT from the original volume, using context margin = max(radial margin + 40 mm, 1.25 × radial margin, 140 mm): the 160 mm default gives 200 mm of context. In SegMed 3.2.3, peridiaphyseal analysis requires this freshly exported wide-context CT and its corresponding full mask. If either export fails or is incomplete, the peridiaphyseal analysis is cancelled rather than falling back to a potentially tightly cropped aligned CT. Review peri_context_auto_exported, peri_context_source, peri_context_margin_mm and the field-of-view QC variables in the exported metrics.</w:t>
      </w:r>
    </w:p>
    <w:p w:rsidR="00DF03F3" w:rsidRDefault="00A201E0" w:rsidP="00E90BB9">
      <w:r>
        <w:t>Default peridiaphyseal windows are pure gas [−1000, −700), mixed gas [−700, −350], fat [−200, −30], fluid [−5, 20], muscle-like [21, 100] and dense-soft-like [101, 300] HU. Here −700 HU belongs to mixed gas, whereas it belongs to pure gas in medullary analysis. The independent broad muscle-compatible window [−29, 150] HU overlaps narrow classes by design and must not be added to them. Remaining ROI voxels form the other/QC class; this is not medullary debris.</w:t>
      </w:r>
    </w:p>
    <w:p w:rsidR="00DF03F3" w:rsidRDefault="00A201E0" w:rsidP="00E90BB9">
      <w:r>
        <w:t>Three interface safeguards are enabled by default. They are geometric/HU heuristics and require visual review of the exported masks:</w:t>
      </w:r>
    </w:p>
    <w:p w:rsidR="00A201E0" w:rsidRDefault="00A201E0" w:rsidP="00E90BB9"/>
    <w:p w:rsidR="00A201E0" w:rsidRDefault="00A201E0" w:rsidP="00E90BB9"/>
    <w:p w:rsidR="00E90BB9" w:rsidRDefault="00E90BB9" w:rsidP="00E90BB9"/>
    <w:p w:rsidR="00E90BB9" w:rsidRDefault="00E90BB9" w:rsidP="00E90BB9"/>
    <w:p w:rsidR="00E90BB9" w:rsidRDefault="00E90BB9" w:rsidP="00E90BB9"/>
    <w:p w:rsidR="00A201E0" w:rsidRDefault="00A201E0" w:rsidP="00E90BB9"/>
    <w:p w:rsidR="00A201E0" w:rsidRDefault="00A201E0" w:rsidP="00E90BB9"/>
    <w:p w:rsidR="00A201E0" w:rsidRDefault="00A201E0" w:rsidP="00E90BB9"/>
    <w:p w:rsidR="00A201E0" w:rsidRDefault="00A201E0" w:rsidP="00E90BB9"/>
    <w:tbl>
      <w:tblPr>
        <w:tblStyle w:val="Grilledutableau"/>
        <w:tblW w:w="0" w:type="auto"/>
        <w:tblLook w:val="04A0" w:firstRow="1" w:lastRow="0" w:firstColumn="1" w:lastColumn="0" w:noHBand="0" w:noVBand="1"/>
      </w:tblPr>
      <w:tblGrid>
        <w:gridCol w:w="4963"/>
        <w:gridCol w:w="4963"/>
      </w:tblGrid>
      <w:tr w:rsidR="00DF03F3">
        <w:trPr>
          <w:tblHeader/>
        </w:trPr>
        <w:tc>
          <w:tcPr>
            <w:tcW w:w="4968" w:type="dxa"/>
          </w:tcPr>
          <w:p w:rsidR="00DF03F3" w:rsidRDefault="00A201E0" w:rsidP="00E90BB9">
            <w:pPr>
              <w:spacing w:after="0"/>
            </w:pPr>
            <w:r>
              <w:rPr>
                <w:b/>
                <w:sz w:val="18"/>
              </w:rPr>
              <w:t>Safeguard</w:t>
            </w:r>
          </w:p>
        </w:tc>
        <w:tc>
          <w:tcPr>
            <w:tcW w:w="4968" w:type="dxa"/>
          </w:tcPr>
          <w:p w:rsidR="00DF03F3" w:rsidRDefault="00A201E0" w:rsidP="00E90BB9">
            <w:pPr>
              <w:spacing w:after="0"/>
            </w:pPr>
            <w:r>
              <w:rPr>
                <w:b/>
                <w:sz w:val="18"/>
              </w:rPr>
              <w:t>Implemented rule</w:t>
            </w:r>
          </w:p>
        </w:tc>
      </w:tr>
      <w:tr w:rsidR="00DF03F3">
        <w:tc>
          <w:tcPr>
            <w:tcW w:w="4968" w:type="dxa"/>
          </w:tcPr>
          <w:p w:rsidR="00DF03F3" w:rsidRDefault="00A201E0" w:rsidP="00E90BB9">
            <w:pPr>
              <w:spacing w:after="0"/>
            </w:pPr>
            <w:r>
              <w:rPr>
                <w:sz w:val="18"/>
              </w:rPr>
              <w:t>Body component / table or support</w:t>
            </w:r>
          </w:p>
        </w:tc>
        <w:tc>
          <w:tcPr>
            <w:tcW w:w="4968" w:type="dxa"/>
          </w:tcPr>
          <w:p w:rsidR="00DF03F3" w:rsidRDefault="00A201E0" w:rsidP="00E90BB9">
            <w:pPr>
              <w:spacing w:after="0"/>
            </w:pPr>
            <w:r>
              <w:rPr>
                <w:sz w:val="18"/>
              </w:rPr>
              <w:t>Per slice, retain plausible body voxels (HU &gt; −500 and ≤ 320), open contacts by approximately 3 mm and remove components &lt; 200 mm². Keep components intersecting an 8 mm guard around the target bone; otherwise choose the component with the nearest centroid. Recover the contour by dilation/light closing. Unselected plausible-body pixels are labelled excluded support; this is not anatomical identification of the table.</w:t>
            </w:r>
          </w:p>
        </w:tc>
      </w:tr>
      <w:tr w:rsidR="00DF03F3">
        <w:tc>
          <w:tcPr>
            <w:tcW w:w="4968" w:type="dxa"/>
          </w:tcPr>
          <w:p w:rsidR="00DF03F3" w:rsidRDefault="00A201E0" w:rsidP="00E90BB9">
            <w:pPr>
              <w:spacing w:after="0"/>
            </w:pPr>
            <w:r>
              <w:rPr>
                <w:sz w:val="18"/>
              </w:rPr>
              <w:t>Target limb / contralateral limb</w:t>
            </w:r>
          </w:p>
        </w:tc>
        <w:tc>
          <w:tcPr>
            <w:tcW w:w="4968" w:type="dxa"/>
          </w:tcPr>
          <w:p w:rsidR="00DF03F3" w:rsidRDefault="00A201E0" w:rsidP="00E90BB9">
            <w:pPr>
              <w:spacing w:after="0"/>
            </w:pPr>
            <w:r>
              <w:rPr>
                <w:sz w:val="18"/>
              </w:rPr>
              <w:t>Detect non-target bone at ≥ 350 HU, outside a two-pixel target guard, keeping components ≥ 25 mm². Retain tissue voxels no farther from the target-limb bone seed than from competing bone seeds (tolerance 0 mm). Without competing bone, no distance partition is applied.</w:t>
            </w:r>
          </w:p>
        </w:tc>
      </w:tr>
      <w:tr w:rsidR="00DF03F3">
        <w:tc>
          <w:tcPr>
            <w:tcW w:w="4968" w:type="dxa"/>
          </w:tcPr>
          <w:p w:rsidR="00DF03F3" w:rsidRDefault="00A201E0" w:rsidP="00E90BB9">
            <w:pPr>
              <w:spacing w:after="0"/>
            </w:pPr>
            <w:r>
              <w:rPr>
                <w:sz w:val="18"/>
              </w:rPr>
              <w:t>Tibia–fibula companion bone</w:t>
            </w:r>
          </w:p>
        </w:tc>
        <w:tc>
          <w:tcPr>
            <w:tcW w:w="4968" w:type="dxa"/>
          </w:tcPr>
          <w:p w:rsidR="00DF03F3" w:rsidRDefault="00A201E0" w:rsidP="00E90BB9">
            <w:pPr>
              <w:spacing w:after="0"/>
            </w:pPr>
            <w:r>
              <w:rPr>
                <w:sz w:val="18"/>
              </w:rPr>
              <w:t>For tibia/fibula targets, components within 55 mm of the target bone are treated as companions (interface: 10–120 mm, step 5 mm). They are excluded from tissue measurements and joined to the target seed for limb-domain assignment, so they do not compete for same-leg tissue. Identification relies on proximity, not a verified anatomical label.</w:t>
            </w:r>
          </w:p>
        </w:tc>
      </w:tr>
    </w:tbl>
    <w:p w:rsidR="00DF03F3" w:rsidRDefault="00A201E0" w:rsidP="00E90BB9">
      <w:r>
        <w:t>Inspect Peridiaphyseal_t</w:t>
      </w:r>
      <w:r w:rsidR="009353E7">
        <w:t xml:space="preserve">arget_body_component_mask.nrrd, </w:t>
      </w:r>
      <w:r>
        <w:t>Peridiaphyseal_excluded_scanner_table_or_support_mask.nrrd, Peridiaphyseal_excluded_other_limb_mask.nrrd and Peridiaphyseal_companion_bone_ignored_for_limb_isolation_mask.nrrd. Confirm that the selected companion is the ipsilateral paired bone. qc_fov_truncated indicates retained body touching a transverse image edge; qc_margin_likely_too_small is set when &gt; 5% of ROI voxels occupy the outer 2% of the radial margin. These flags prompt review, not automatic rejection.</w:t>
      </w:r>
    </w:p>
    <w:p w:rsidR="00DF03F3" w:rsidRDefault="00A201E0" w:rsidP="00E90BB9">
      <w:r>
        <w:t>Body-envelope handling: the body HU range is used to generate a contour seed, not as a final voxel-by-voxel exclusion rule. After support separation, enclosed holes are filled using eight-connected background connectivity, so internal gas pockets can be retained within the selected body/limb envelope even when their HU values fall below the body_low_hu seed threshold. The body_low_hu/body_high_hu settings therefore control contour seeding and support separation, whereas final peridiaphyseal tissue classes are measured inside the resulting geometric envelope. Visual review of the exported body/support masks remains required.</w:t>
      </w:r>
    </w:p>
    <w:p w:rsidR="00DF03F3" w:rsidRDefault="00A201E0" w:rsidP="00E90BB9">
      <w:r>
        <w:t>Peridiaphyseal threshold validation checks that all configured HU values are finite, that each interval has a lower bound strictly below its upper bound, that the gas split lies strictly inside the total-gas interval, and that the narrow classes remain ordered without overlap: gas high &lt; fat low, fat high &lt; fluid low, fluid high &lt; muscle low, and muscle high &lt; dense-soft low. The broad muscle-compatible interval remains intentionally independent and may overlap the narrow classes. Invalid configurations are rejected before measurement. Example rejection: “Invalid HU classes: fluid_high_hu must be &lt; muscle_low_hu.”</w:t>
      </w:r>
    </w:p>
    <w:p w:rsidR="00A201E0" w:rsidRDefault="00A201E0" w:rsidP="00E90BB9"/>
    <w:p w:rsidR="00A201E0" w:rsidRPr="00A201E0" w:rsidRDefault="00A201E0" w:rsidP="00E90BB9">
      <w:pPr>
        <w:pStyle w:val="Paragraphedeliste"/>
        <w:numPr>
          <w:ilvl w:val="0"/>
          <w:numId w:val="11"/>
        </w:numPr>
        <w:rPr>
          <w:b/>
          <w:sz w:val="24"/>
        </w:rPr>
      </w:pPr>
      <w:r w:rsidRPr="00A201E0">
        <w:rPr>
          <w:b/>
          <w:sz w:val="24"/>
        </w:rPr>
        <w:t>Exported filed</w:t>
      </w:r>
    </w:p>
    <w:p w:rsidR="00DF03F3" w:rsidRDefault="00A201E0" w:rsidP="00E90BB9">
      <w:r>
        <w:t>Outputs are stored in the extraction directory and separate medullary/peridiaphyseal run directories. The principal filename families below correspond to the supplied code; CSV and XLSX are paired unless otherwise specified.</w:t>
      </w:r>
    </w:p>
    <w:tbl>
      <w:tblPr>
        <w:tblStyle w:val="Grilledutableau"/>
        <w:tblW w:w="0" w:type="auto"/>
        <w:tblLook w:val="04A0" w:firstRow="1" w:lastRow="0" w:firstColumn="1" w:lastColumn="0" w:noHBand="0" w:noVBand="1"/>
      </w:tblPr>
      <w:tblGrid>
        <w:gridCol w:w="4965"/>
        <w:gridCol w:w="4961"/>
      </w:tblGrid>
      <w:tr w:rsidR="00DF03F3">
        <w:trPr>
          <w:tblHeader/>
        </w:trPr>
        <w:tc>
          <w:tcPr>
            <w:tcW w:w="4968" w:type="dxa"/>
          </w:tcPr>
          <w:p w:rsidR="00DF03F3" w:rsidRDefault="00A201E0" w:rsidP="00E90BB9">
            <w:pPr>
              <w:spacing w:after="0"/>
            </w:pPr>
            <w:r>
              <w:rPr>
                <w:b/>
                <w:sz w:val="18"/>
              </w:rPr>
              <w:t>File / filename family</w:t>
            </w:r>
          </w:p>
        </w:tc>
        <w:tc>
          <w:tcPr>
            <w:tcW w:w="4968" w:type="dxa"/>
          </w:tcPr>
          <w:p w:rsidR="00DF03F3" w:rsidRDefault="00A201E0" w:rsidP="00E90BB9">
            <w:pPr>
              <w:spacing w:after="0"/>
            </w:pPr>
            <w:r>
              <w:rPr>
                <w:b/>
                <w:sz w:val="18"/>
              </w:rPr>
              <w:t>Content</w:t>
            </w:r>
          </w:p>
        </w:tc>
      </w:tr>
      <w:tr w:rsidR="00DF03F3">
        <w:tc>
          <w:tcPr>
            <w:tcW w:w="4968" w:type="dxa"/>
          </w:tcPr>
          <w:p w:rsidR="00DF03F3" w:rsidRDefault="00A201E0" w:rsidP="00E90BB9">
            <w:pPr>
              <w:spacing w:after="0"/>
            </w:pPr>
            <w:r>
              <w:rPr>
                <w:sz w:val="18"/>
              </w:rPr>
              <w:t>&lt;case&gt;_&lt;bone&gt;_&lt;side&gt;_diaphysis_mask.nii.gz</w:t>
            </w:r>
          </w:p>
        </w:tc>
        <w:tc>
          <w:tcPr>
            <w:tcW w:w="4968" w:type="dxa"/>
          </w:tcPr>
          <w:p w:rsidR="00DF03F3" w:rsidRDefault="00A201E0" w:rsidP="00E90BB9">
            <w:pPr>
              <w:spacing w:after="0"/>
            </w:pPr>
            <w:r>
              <w:rPr>
                <w:sz w:val="18"/>
              </w:rPr>
              <w:t>Extraction mask in source geometry. The aligned stem is &lt;case&gt;_&lt;bone&gt;_&lt;side&gt;_diaphysis.</w:t>
            </w:r>
          </w:p>
        </w:tc>
      </w:tr>
    </w:tbl>
    <w:p w:rsidR="00DF03F3" w:rsidRDefault="00A201E0" w:rsidP="00E90BB9">
      <w:r>
        <w:t>&lt;stem&gt;_aligned_ct.nii.gz</w:t>
      </w:r>
    </w:p>
    <w:p w:rsidR="00DF03F3" w:rsidRDefault="00A201E0" w:rsidP="00E90BB9">
      <w:r>
        <w:t>&lt;stem&gt;_aligned_ct_unmasked.nii.gz</w:t>
      </w:r>
    </w:p>
    <w:p w:rsidR="00DF03F3" w:rsidRDefault="00A201E0" w:rsidP="00E90BB9">
      <w:r>
        <w:t>&lt;stem&gt;_aligned_fullmask.nii.gz</w:t>
      </w:r>
    </w:p>
    <w:p w:rsidR="00DF03F3" w:rsidRDefault="00A201E0" w:rsidP="00E90BB9">
      <w:r>
        <w:t>&lt;stem&gt;_aligned_tube_mask.nii.gz</w:t>
      </w:r>
    </w:p>
    <w:p w:rsidR="00DF03F3" w:rsidRDefault="00A201E0" w:rsidP="00E90BB9">
      <w:r>
        <w:t>&lt;stem&gt;_orientation_mask.nii.gz</w:t>
      </w:r>
      <w:r>
        <w:tab/>
        <w:t>Aligned masked CT, context CT, full mask, tube mask and optional orientation mask. Manual reorientation uses _manual_named_ct.nii.gz, _manual_named_ct_unmasked.nii.gz and _manual_named_fullmask.nii.gz.</w:t>
      </w:r>
    </w:p>
    <w:p w:rsidR="00DF03F3" w:rsidRDefault="00A201E0" w:rsidP="00E90BB9">
      <w:r>
        <w:t>&lt;segment&gt;.nrrd</w:t>
      </w:r>
    </w:p>
    <w:tbl>
      <w:tblPr>
        <w:tblStyle w:val="Grilledutableau"/>
        <w:tblW w:w="0" w:type="auto"/>
        <w:tblLook w:val="04A0" w:firstRow="1" w:lastRow="0" w:firstColumn="1" w:lastColumn="0" w:noHBand="0" w:noVBand="1"/>
      </w:tblPr>
      <w:tblGrid>
        <w:gridCol w:w="4965"/>
        <w:gridCol w:w="4961"/>
      </w:tblGrid>
      <w:tr w:rsidR="00DF03F3">
        <w:trPr>
          <w:tblHeader/>
        </w:trPr>
        <w:tc>
          <w:tcPr>
            <w:tcW w:w="4968" w:type="dxa"/>
          </w:tcPr>
          <w:p w:rsidR="00DF03F3" w:rsidRDefault="00A201E0" w:rsidP="00E90BB9">
            <w:pPr>
              <w:spacing w:after="0"/>
            </w:pPr>
            <w:r>
              <w:rPr>
                <w:b/>
                <w:sz w:val="18"/>
              </w:rPr>
              <w:t>CT_masked_used_by_SegMed.nrrd</w:t>
            </w:r>
          </w:p>
        </w:tc>
        <w:tc>
          <w:tcPr>
            <w:tcW w:w="4968" w:type="dxa"/>
          </w:tcPr>
          <w:p w:rsidR="00DF03F3" w:rsidRDefault="00A201E0" w:rsidP="00E90BB9">
            <w:pPr>
              <w:spacing w:after="0"/>
            </w:pPr>
            <w:r>
              <w:rPr>
                <w:b/>
                <w:sz w:val="18"/>
              </w:rPr>
              <w:t>Displayed non-empty segment masks (for example Cortical.nrrd, Endoste.nrrd, Gas_pure.nrrd) and the optional CT actually used for HU classification.</w:t>
            </w:r>
          </w:p>
        </w:tc>
      </w:tr>
      <w:tr w:rsidR="00DF03F3">
        <w:tc>
          <w:tcPr>
            <w:tcW w:w="4968" w:type="dxa"/>
          </w:tcPr>
          <w:p w:rsidR="00DF03F3" w:rsidRDefault="00A201E0" w:rsidP="00E90BB9">
            <w:pPr>
              <w:spacing w:after="0"/>
            </w:pPr>
            <w:r>
              <w:rPr>
                <w:sz w:val="18"/>
              </w:rPr>
              <w:t>Stats.csv/.xlsx</w:t>
            </w:r>
          </w:p>
        </w:tc>
        <w:tc>
          <w:tcPr>
            <w:tcW w:w="4968" w:type="dxa"/>
          </w:tcPr>
          <w:p w:rsidR="00DF03F3" w:rsidRDefault="00A201E0" w:rsidP="00E90BB9">
            <w:pPr>
              <w:spacing w:after="0"/>
            </w:pPr>
            <w:r>
              <w:rPr>
                <w:sz w:val="18"/>
              </w:rPr>
              <w:t>Columns: name, volume_mm3, centerX_mm, centerY_mm, centerZ_mm, voxels; includes the MedullaryCavity row.</w:t>
            </w:r>
          </w:p>
        </w:tc>
      </w:tr>
      <w:tr w:rsidR="00DF03F3">
        <w:tc>
          <w:tcPr>
            <w:tcW w:w="4968" w:type="dxa"/>
          </w:tcPr>
          <w:p w:rsidR="00DF03F3" w:rsidRDefault="00A201E0" w:rsidP="00E90BB9">
            <w:pPr>
              <w:spacing w:after="0"/>
            </w:pPr>
            <w:r>
              <w:rPr>
                <w:sz w:val="18"/>
              </w:rPr>
              <w:t>HU_stats_by_segment_long.csv/.xlsx</w:t>
            </w:r>
          </w:p>
        </w:tc>
        <w:tc>
          <w:tcPr>
            <w:tcW w:w="4968" w:type="dxa"/>
          </w:tcPr>
          <w:p w:rsidR="00DF03F3" w:rsidRDefault="00A201E0" w:rsidP="00E90BB9">
            <w:pPr>
              <w:spacing w:after="0"/>
            </w:pPr>
            <w:r>
              <w:rPr>
                <w:sz w:val="18"/>
              </w:rPr>
              <w:t>Columns: segment, n_vox, HU_mean, HU_median, HU_q25, HU_q75, HU_p05, HU_p95, HU_min, HU_max. Empty classes have no HU row.</w:t>
            </w:r>
          </w:p>
        </w:tc>
      </w:tr>
    </w:tbl>
    <w:p w:rsidR="00DF03F3" w:rsidRDefault="00A201E0" w:rsidP="00E90BB9">
      <w:r>
        <w:t>Volumetric_fractions.csv/.xlsx</w:t>
      </w:r>
    </w:p>
    <w:p w:rsidR="00DF03F3" w:rsidRDefault="00A201E0" w:rsidP="00E90BB9">
      <w:r>
        <w:t>Overlap_missing_qc.csv/.xlsx</w:t>
      </w:r>
      <w:r>
        <w:tab/>
        <w:t>Compartment volumes/fractions (§7.1). QC columns include cavity_vox, union_vox, missing_vox, overlap_vox, missing_frac, overlap_frac and their flags.</w:t>
      </w:r>
    </w:p>
    <w:p w:rsidR="00DF03F3" w:rsidRDefault="00A201E0" w:rsidP="00E90BB9">
      <w:r>
        <w:t>Gradients_summary.csv/.xlsx</w:t>
      </w:r>
    </w:p>
    <w:p w:rsidR="00DF03F3" w:rsidRDefault="00A201E0" w:rsidP="00E90BB9">
      <w:r>
        <w:t>Longitudinal_profiles.csv/.xlsx/.json</w:t>
      </w:r>
    </w:p>
    <w:tbl>
      <w:tblPr>
        <w:tblStyle w:val="Grilledutableau"/>
        <w:tblW w:w="0" w:type="auto"/>
        <w:tblLook w:val="04A0" w:firstRow="1" w:lastRow="0" w:firstColumn="1" w:lastColumn="0" w:noHBand="0" w:noVBand="1"/>
      </w:tblPr>
      <w:tblGrid>
        <w:gridCol w:w="4965"/>
        <w:gridCol w:w="4961"/>
      </w:tblGrid>
      <w:tr w:rsidR="00DF03F3">
        <w:trPr>
          <w:tblHeader/>
        </w:trPr>
        <w:tc>
          <w:tcPr>
            <w:tcW w:w="4968" w:type="dxa"/>
          </w:tcPr>
          <w:p w:rsidR="00DF03F3" w:rsidRDefault="00A201E0" w:rsidP="00E90BB9">
            <w:pPr>
              <w:spacing w:after="0"/>
            </w:pPr>
            <w:r>
              <w:rPr>
                <w:b/>
                <w:sz w:val="18"/>
              </w:rPr>
              <w:t>Longitudinal_plot.png</w:t>
            </w:r>
          </w:p>
        </w:tc>
        <w:tc>
          <w:tcPr>
            <w:tcW w:w="4968" w:type="dxa"/>
          </w:tcPr>
          <w:p w:rsidR="00DF03F3" w:rsidRDefault="00A201E0" w:rsidP="00E90BB9">
            <w:pPr>
              <w:spacing w:after="0"/>
            </w:pPr>
            <w:r>
              <w:rPr>
                <w:b/>
                <w:sz w:val="18"/>
              </w:rPr>
              <w:t>Scalar longitudinal summaries, binwise CSV/XLSX profiles, JSON containing gradient summaries and arrays, and the profile plot (§7.2).</w:t>
            </w:r>
          </w:p>
        </w:tc>
      </w:tr>
      <w:tr w:rsidR="00DF03F3">
        <w:tc>
          <w:tcPr>
            <w:tcW w:w="4968" w:type="dxa"/>
          </w:tcPr>
          <w:p w:rsidR="00DF03F3" w:rsidRDefault="00A201E0" w:rsidP="00E90BB9">
            <w:pPr>
              <w:spacing w:after="0"/>
            </w:pPr>
            <w:r>
              <w:rPr>
                <w:sz w:val="18"/>
              </w:rPr>
              <w:t>Cavity_histogram.csv/.xlsx/.json/.png</w:t>
            </w:r>
          </w:p>
        </w:tc>
        <w:tc>
          <w:tcPr>
            <w:tcW w:w="4968" w:type="dxa"/>
          </w:tcPr>
          <w:p w:rsidR="00DF03F3" w:rsidRDefault="00A201E0" w:rsidP="00E90BB9">
            <w:pPr>
              <w:spacing w:after="0"/>
            </w:pPr>
            <w:r>
              <w:rPr>
                <w:sz w:val="18"/>
              </w:rPr>
              <w:t>Cavity HU histogram and peak summaries; default bin width 10 HU.</w:t>
            </w:r>
          </w:p>
        </w:tc>
      </w:tr>
    </w:tbl>
    <w:p w:rsidR="00DF03F3" w:rsidRPr="00F75B44" w:rsidRDefault="00A201E0" w:rsidP="00E90BB9">
      <w:pPr>
        <w:rPr>
          <w:lang w:val="fr-FR"/>
        </w:rPr>
      </w:pPr>
      <w:r w:rsidRPr="00F75B44">
        <w:rPr>
          <w:lang w:val="fr-FR"/>
        </w:rPr>
        <w:t>Indices_ICL_IHL_ERT.csv/.xlsx</w:t>
      </w:r>
    </w:p>
    <w:p w:rsidR="00DF03F3" w:rsidRDefault="00A201E0" w:rsidP="00E90BB9">
      <w:r>
        <w:t>Indices_gravity_by_material.csv/.xlsx</w:t>
      </w:r>
      <w:r>
        <w:tab/>
        <w:t>Main-component and per-material exploratory indices (§7.3).</w:t>
      </w:r>
    </w:p>
    <w:p w:rsidR="00DF03F3" w:rsidRDefault="00A201E0" w:rsidP="00E90BB9">
      <w:r>
        <w:t>Case_metadata.csv/.xlsx</w:t>
      </w:r>
    </w:p>
    <w:p w:rsidR="00DF03F3" w:rsidRDefault="00A201E0" w:rsidP="00E90BB9">
      <w:r>
        <w:t>Master_row.csv/.xlsx</w:t>
      </w:r>
    </w:p>
    <w:p w:rsidR="00DF03F3" w:rsidRDefault="00A201E0" w:rsidP="00E90BB9">
      <w:r>
        <w:t>SegMed_run_manifest_pre.json</w:t>
      </w:r>
    </w:p>
    <w:tbl>
      <w:tblPr>
        <w:tblStyle w:val="Grilledutableau"/>
        <w:tblW w:w="0" w:type="auto"/>
        <w:tblLook w:val="04A0" w:firstRow="1" w:lastRow="0" w:firstColumn="1" w:lastColumn="0" w:noHBand="0" w:noVBand="1"/>
      </w:tblPr>
      <w:tblGrid>
        <w:gridCol w:w="4964"/>
        <w:gridCol w:w="4962"/>
      </w:tblGrid>
      <w:tr w:rsidR="00DF03F3">
        <w:trPr>
          <w:tblHeader/>
        </w:trPr>
        <w:tc>
          <w:tcPr>
            <w:tcW w:w="4968" w:type="dxa"/>
          </w:tcPr>
          <w:p w:rsidR="00DF03F3" w:rsidRDefault="00A201E0" w:rsidP="00E90BB9">
            <w:pPr>
              <w:spacing w:after="0"/>
            </w:pPr>
            <w:r>
              <w:rPr>
                <w:b/>
                <w:sz w:val="18"/>
              </w:rPr>
              <w:t>Run_metadata.json</w:t>
            </w:r>
          </w:p>
        </w:tc>
        <w:tc>
          <w:tcPr>
            <w:tcW w:w="4968" w:type="dxa"/>
          </w:tcPr>
          <w:p w:rsidR="00DF03F3" w:rsidRDefault="00A201E0" w:rsidP="00E90BB9">
            <w:pPr>
              <w:spacing w:after="0"/>
            </w:pPr>
            <w:r>
              <w:rPr>
                <w:b/>
                <w:sz w:val="18"/>
              </w:rPr>
              <w:t>Selected case metadata; scalar medullary master row; thresholds/geometric settings and environment; detailed results/metadata.</w:t>
            </w:r>
          </w:p>
        </w:tc>
      </w:tr>
      <w:tr w:rsidR="00DF03F3">
        <w:tc>
          <w:tcPr>
            <w:tcW w:w="4968" w:type="dxa"/>
          </w:tcPr>
          <w:p w:rsidR="00DF03F3" w:rsidRPr="00F75B44" w:rsidRDefault="00A201E0" w:rsidP="00E90BB9">
            <w:pPr>
              <w:spacing w:after="0"/>
              <w:rPr>
                <w:lang w:val="fr-FR"/>
              </w:rPr>
            </w:pPr>
            <w:r w:rsidRPr="00F75B44">
              <w:rPr>
                <w:sz w:val="18"/>
                <w:lang w:val="fr-FR"/>
              </w:rPr>
              <w:t>Variable_catalog.csv/.xlsx/.json</w:t>
            </w:r>
          </w:p>
        </w:tc>
        <w:tc>
          <w:tcPr>
            <w:tcW w:w="4968" w:type="dxa"/>
          </w:tcPr>
          <w:p w:rsidR="00DF03F3" w:rsidRDefault="00A201E0" w:rsidP="00E90BB9">
            <w:pPr>
              <w:spacing w:after="0"/>
            </w:pPr>
            <w:r>
              <w:rPr>
                <w:sz w:val="18"/>
              </w:rPr>
              <w:t>Medullary-output variable catalogue with explicit primary / derived / QC classification; deprecated gradient fields are flagged.</w:t>
            </w:r>
          </w:p>
        </w:tc>
      </w:tr>
    </w:tbl>
    <w:p w:rsidR="00DF03F3" w:rsidRDefault="00A201E0" w:rsidP="00E90BB9">
      <w:r>
        <w:t>Peridiaphyseal_soft_tissue_metrics.csv/.xlsx</w:t>
      </w:r>
    </w:p>
    <w:p w:rsidR="00DF03F3" w:rsidRDefault="00A201E0" w:rsidP="00E90BB9">
      <w:r>
        <w:t>Peridiaphyseal_run_manifest.json</w:t>
      </w:r>
    </w:p>
    <w:p w:rsidR="00DF03F3" w:rsidRDefault="00A201E0" w:rsidP="00E90BB9">
      <w:r>
        <w:t>Peridiaphyseal_launch_log.json</w:t>
      </w:r>
    </w:p>
    <w:tbl>
      <w:tblPr>
        <w:tblStyle w:val="Grilledutableau"/>
        <w:tblW w:w="0" w:type="auto"/>
        <w:tblLook w:val="04A0" w:firstRow="1" w:lastRow="0" w:firstColumn="1" w:lastColumn="0" w:noHBand="0" w:noVBand="1"/>
      </w:tblPr>
      <w:tblGrid>
        <w:gridCol w:w="4967"/>
        <w:gridCol w:w="4959"/>
      </w:tblGrid>
      <w:tr w:rsidR="00DF03F3">
        <w:trPr>
          <w:tblHeader/>
        </w:trPr>
        <w:tc>
          <w:tcPr>
            <w:tcW w:w="4968" w:type="dxa"/>
          </w:tcPr>
          <w:p w:rsidR="00DF03F3" w:rsidRPr="00F75B44" w:rsidRDefault="00A201E0" w:rsidP="00E90BB9">
            <w:pPr>
              <w:spacing w:after="0"/>
              <w:rPr>
                <w:lang w:val="fr-FR"/>
              </w:rPr>
            </w:pPr>
            <w:r w:rsidRPr="00F75B44">
              <w:rPr>
                <w:b/>
                <w:sz w:val="18"/>
                <w:lang w:val="fr-FR"/>
              </w:rPr>
              <w:t>Peridiaphyseal_variable_catalog.csv/.xlsx/.json</w:t>
            </w:r>
          </w:p>
        </w:tc>
        <w:tc>
          <w:tcPr>
            <w:tcW w:w="4968" w:type="dxa"/>
          </w:tcPr>
          <w:p w:rsidR="00DF03F3" w:rsidRDefault="00A201E0" w:rsidP="00E90BB9">
            <w:pPr>
              <w:spacing w:after="0"/>
            </w:pPr>
            <w:r>
              <w:rPr>
                <w:b/>
                <w:sz w:val="18"/>
              </w:rPr>
              <w:t>Peridiaphyseal-output variable catalogue with explicit primary / derived / QC classification.</w:t>
            </w:r>
          </w:p>
        </w:tc>
      </w:tr>
      <w:tr w:rsidR="00DF03F3">
        <w:tc>
          <w:tcPr>
            <w:tcW w:w="4968" w:type="dxa"/>
          </w:tcPr>
          <w:p w:rsidR="00DF03F3" w:rsidRDefault="00A201E0" w:rsidP="00E90BB9">
            <w:pPr>
              <w:spacing w:after="0"/>
            </w:pPr>
            <w:r>
              <w:rPr>
                <w:sz w:val="18"/>
              </w:rPr>
              <w:t>Peridiaphyseal_*.nrrd</w:t>
            </w:r>
          </w:p>
        </w:tc>
        <w:tc>
          <w:tcPr>
            <w:tcW w:w="4968" w:type="dxa"/>
          </w:tcPr>
          <w:p w:rsidR="00DF03F3" w:rsidRDefault="00A201E0" w:rsidP="00E90BB9">
            <w:pPr>
              <w:spacing w:after="0"/>
            </w:pPr>
            <w:r>
              <w:rPr>
                <w:sz w:val="18"/>
              </w:rPr>
              <w:t>Separate peridiaphyseal measurements, settings, QC and export status; manifest paths/errors and label legend; interface launch log; requested tissue/QC masks and Peridiaphyseal_labels.nrrd.</w:t>
            </w:r>
          </w:p>
        </w:tc>
      </w:tr>
      <w:tr w:rsidR="00DF03F3">
        <w:tc>
          <w:tcPr>
            <w:tcW w:w="4968" w:type="dxa"/>
          </w:tcPr>
          <w:p w:rsidR="00DF03F3" w:rsidRDefault="00A201E0" w:rsidP="00E90BB9">
            <w:pPr>
              <w:spacing w:after="0"/>
            </w:pPr>
            <w:r>
              <w:rPr>
                <w:sz w:val="18"/>
              </w:rPr>
              <w:t>&lt;case&gt;_&lt;bone&gt;_&lt;side&gt;_&lt;timestamp&gt;_extraction.json</w:t>
            </w:r>
          </w:p>
        </w:tc>
        <w:tc>
          <w:tcPr>
            <w:tcW w:w="4968" w:type="dxa"/>
          </w:tcPr>
          <w:p w:rsidR="00DF03F3" w:rsidRDefault="00A201E0" w:rsidP="00E90BB9">
            <w:pPr>
              <w:spacing w:after="0"/>
            </w:pPr>
            <w:r>
              <w:rPr>
                <w:sz w:val="18"/>
              </w:rPr>
              <w:t>Export-tab extraction report: case/bone/laterality, requested/applied anatomical limits, extraction metrics and linked run directories.</w:t>
            </w:r>
          </w:p>
        </w:tc>
      </w:tr>
    </w:tbl>
    <w:p w:rsidR="00DF03F3" w:rsidRDefault="00A201E0" w:rsidP="00E90BB9">
      <w:r>
        <w:t>Segment filenames are derived from display names (spaces become underscores; unsupported punctuation is removed). Total medullary gas is an aggregate metric and has no additional displayed segment mask. In Multimaterial mode, residual content is omitted from display/mask export but remains in the calculations. Check that any expected output was actually written.</w:t>
      </w:r>
    </w:p>
    <w:p w:rsidR="00DF03F3" w:rsidRDefault="00A201E0" w:rsidP="00E90BB9">
      <w:r>
        <w:t>Master_row contains run_id and input_volume_name; meta_mode, meta_position, meta_laterality, meta_flexion and meta_g_override; scalar grad_ and ind_ fields; gas_frac; all vf_ fraction/volume fields; qc_ overlap fields; and hu_&lt;component&gt;_n_vox/HU_mean/HU_median/HU_p05/HU_p95 when available. It excludes array/dictionary data, longitudinal bin rows, HU thresholds, anatomical ratios and peridiaphyseal metrics. Case identifiers and bone type are not dedicated master-row columns; retain the JSON/extraction report for traceability.</w:t>
      </w:r>
    </w:p>
    <w:p w:rsidR="00DF03F3" w:rsidRDefault="00A201E0" w:rsidP="00E90BB9">
      <w:r>
        <w:t>Run_metadata.json records segmed_version, run_id, metadata, results, Python/platform/SimpleITK details and volume geometry. The pre-run manifest additionally records thresholds_HU and geometric params. Neither records the Slicer version explicitly; add it to the methods log. Peridiaphyseal metrics have their own case_id, bone_type and laterality fields, with peri_roi_volume_mm3, peri_*_volume_mm3, peri_*_fraction, thickness, HU and QC variables. Most peri fractions use the final filtered ROI; peri_fat_fraction_of_biologic_soft uses fat ∪ nonfat-soft volume. They are not merged into Master_row.</w:t>
      </w:r>
    </w:p>
    <w:p w:rsidR="00DF03F3" w:rsidRDefault="00A201E0" w:rsidP="00E90BB9">
      <w:r>
        <w:t>Peridiaphyseal measurement tables are written before QC masks. A failed NRRD export does not necessarily invalidate or remove the tables: inspect nrrd_export_requested, nrrd_export_success, nrrd_exported_count, nrrd_failed_count and nrrd_export_errors_json, then the manifest paths/errors. The label legend identifies label 5 as other_residual_QC_not_hyperdense_debris.</w:t>
      </w:r>
    </w:p>
    <w:p w:rsidR="00A201E0" w:rsidRDefault="00A201E0" w:rsidP="00E90BB9"/>
    <w:p w:rsidR="00A201E0" w:rsidRPr="00A201E0" w:rsidRDefault="00A201E0" w:rsidP="00E90BB9">
      <w:pPr>
        <w:ind w:firstLine="720"/>
        <w:rPr>
          <w:b/>
        </w:rPr>
      </w:pPr>
      <w:r w:rsidRPr="00A201E0">
        <w:rPr>
          <w:b/>
        </w:rPr>
        <w:t>6.1 Volumetric fraction suffixes</w:t>
      </w:r>
    </w:p>
    <w:p w:rsidR="00DF03F3" w:rsidRDefault="00A201E0" w:rsidP="00E90BB9">
      <w:r>
        <w:t>Global volumetric fractions are dimensionless ratios; volumes are in mm³. The global stems are gas_total, gas_pure, gas_mixed, marrow_fatlike, fluid, intermediate_density, residual_medullary_content and debris. All have _volume_mm3 and _frac fields. Only the four selected non-gas, non-debris classes also have global _frac_nogas and _frac_bio fields.</w:t>
      </w:r>
    </w:p>
    <w:p w:rsidR="00DF03F3" w:rsidRDefault="00A201E0" w:rsidP="00E90BB9">
      <w:r>
        <w:t>The same fluid-like volume is used in fluid_frac, fluid_frac_nogas and fluid_frac_bio. Their denominator volumes are exported as cavity_volume_mm3, nogas_volume_mm3 and bio_volume_mm3:</w:t>
      </w:r>
    </w:p>
    <w:tbl>
      <w:tblPr>
        <w:tblStyle w:val="Grilledutableau"/>
        <w:tblW w:w="0" w:type="auto"/>
        <w:tblLook w:val="04A0" w:firstRow="1" w:lastRow="0" w:firstColumn="1" w:lastColumn="0" w:noHBand="0" w:noVBand="1"/>
      </w:tblPr>
      <w:tblGrid>
        <w:gridCol w:w="3308"/>
        <w:gridCol w:w="3309"/>
        <w:gridCol w:w="3309"/>
      </w:tblGrid>
      <w:tr w:rsidR="00DF03F3">
        <w:trPr>
          <w:tblHeader/>
        </w:trPr>
        <w:tc>
          <w:tcPr>
            <w:tcW w:w="3312" w:type="dxa"/>
          </w:tcPr>
          <w:p w:rsidR="00DF03F3" w:rsidRDefault="00A201E0" w:rsidP="00E90BB9">
            <w:pPr>
              <w:spacing w:after="0"/>
            </w:pPr>
            <w:r>
              <w:rPr>
                <w:b/>
                <w:sz w:val="18"/>
              </w:rPr>
              <w:t>Suffix</w:t>
            </w:r>
          </w:p>
        </w:tc>
        <w:tc>
          <w:tcPr>
            <w:tcW w:w="3312" w:type="dxa"/>
          </w:tcPr>
          <w:p w:rsidR="00DF03F3" w:rsidRDefault="00A201E0" w:rsidP="00E90BB9">
            <w:pPr>
              <w:spacing w:after="0"/>
            </w:pPr>
            <w:r>
              <w:rPr>
                <w:b/>
                <w:sz w:val="18"/>
              </w:rPr>
              <w:t>Denominator</w:t>
            </w:r>
          </w:p>
        </w:tc>
        <w:tc>
          <w:tcPr>
            <w:tcW w:w="3312" w:type="dxa"/>
          </w:tcPr>
          <w:p w:rsidR="00DF03F3" w:rsidRDefault="00A201E0" w:rsidP="00E90BB9">
            <w:pPr>
              <w:spacing w:after="0"/>
            </w:pPr>
            <w:r>
              <w:rPr>
                <w:b/>
                <w:sz w:val="18"/>
              </w:rPr>
              <w:t>Global classes emitted</w:t>
            </w:r>
          </w:p>
        </w:tc>
      </w:tr>
      <w:tr w:rsidR="00DF03F3">
        <w:tc>
          <w:tcPr>
            <w:tcW w:w="3312" w:type="dxa"/>
          </w:tcPr>
          <w:p w:rsidR="00DF03F3" w:rsidRDefault="00A201E0" w:rsidP="00E90BB9">
            <w:pPr>
              <w:spacing w:after="0"/>
            </w:pPr>
            <w:r>
              <w:rPr>
                <w:sz w:val="18"/>
              </w:rPr>
              <w:t>_frac</w:t>
            </w:r>
          </w:p>
        </w:tc>
        <w:tc>
          <w:tcPr>
            <w:tcW w:w="3312" w:type="dxa"/>
          </w:tcPr>
          <w:p w:rsidR="00DF03F3" w:rsidRDefault="00A201E0" w:rsidP="00E90BB9">
            <w:pPr>
              <w:spacing w:after="0"/>
            </w:pPr>
            <w:r>
              <w:rPr>
                <w:sz w:val="18"/>
              </w:rPr>
              <w:t>Entire geometric medullary cavity</w:t>
            </w:r>
          </w:p>
        </w:tc>
        <w:tc>
          <w:tcPr>
            <w:tcW w:w="3312" w:type="dxa"/>
          </w:tcPr>
          <w:p w:rsidR="00DF03F3" w:rsidRDefault="00A201E0" w:rsidP="00E90BB9">
            <w:pPr>
              <w:spacing w:after="0"/>
            </w:pPr>
            <w:r>
              <w:rPr>
                <w:sz w:val="18"/>
              </w:rPr>
              <w:t>Gas total/pure/mixed; fat-like, fluid-like, intermediate-density, residual and debris.</w:t>
            </w:r>
          </w:p>
        </w:tc>
      </w:tr>
      <w:tr w:rsidR="00DF03F3">
        <w:tc>
          <w:tcPr>
            <w:tcW w:w="3312" w:type="dxa"/>
          </w:tcPr>
          <w:p w:rsidR="00DF03F3" w:rsidRDefault="00A201E0" w:rsidP="00E90BB9">
            <w:pPr>
              <w:spacing w:after="0"/>
            </w:pPr>
            <w:r>
              <w:rPr>
                <w:sz w:val="18"/>
              </w:rPr>
              <w:t>_frac_nogas</w:t>
            </w:r>
          </w:p>
        </w:tc>
        <w:tc>
          <w:tcPr>
            <w:tcW w:w="3312" w:type="dxa"/>
          </w:tcPr>
          <w:p w:rsidR="00DF03F3" w:rsidRDefault="00A201E0" w:rsidP="00E90BB9">
            <w:pPr>
              <w:spacing w:after="0"/>
            </w:pPr>
            <w:r>
              <w:rPr>
                <w:sz w:val="18"/>
              </w:rPr>
              <w:t>max(0, cavity volume − total gas volume); debris remains in this denominator</w:t>
            </w:r>
          </w:p>
        </w:tc>
        <w:tc>
          <w:tcPr>
            <w:tcW w:w="3312" w:type="dxa"/>
          </w:tcPr>
          <w:p w:rsidR="00DF03F3" w:rsidRDefault="00A201E0" w:rsidP="00E90BB9">
            <w:pPr>
              <w:spacing w:after="0"/>
            </w:pPr>
            <w:r>
              <w:rPr>
                <w:sz w:val="18"/>
              </w:rPr>
              <w:t>Fat-like, fluid-like, intermediate-density and residual only. No global debris_frac_nogas or gas *_frac_nogas fields.</w:t>
            </w:r>
          </w:p>
        </w:tc>
      </w:tr>
      <w:tr w:rsidR="00DF03F3">
        <w:tc>
          <w:tcPr>
            <w:tcW w:w="3312" w:type="dxa"/>
          </w:tcPr>
          <w:p w:rsidR="00DF03F3" w:rsidRDefault="00A201E0" w:rsidP="00E90BB9">
            <w:pPr>
              <w:spacing w:after="0"/>
            </w:pPr>
            <w:r>
              <w:rPr>
                <w:sz w:val="18"/>
              </w:rPr>
              <w:t>_frac_bio</w:t>
            </w:r>
          </w:p>
        </w:tc>
        <w:tc>
          <w:tcPr>
            <w:tcW w:w="3312" w:type="dxa"/>
          </w:tcPr>
          <w:p w:rsidR="00DF03F3" w:rsidRDefault="00A201E0" w:rsidP="00E90BB9">
            <w:pPr>
              <w:spacing w:after="0"/>
            </w:pPr>
            <w:r>
              <w:rPr>
                <w:sz w:val="18"/>
              </w:rPr>
              <w:t>Fat-like + fluid-like + intermediate-density + residual volumes; excludes both gas and debris</w:t>
            </w:r>
          </w:p>
        </w:tc>
        <w:tc>
          <w:tcPr>
            <w:tcW w:w="3312" w:type="dxa"/>
          </w:tcPr>
          <w:p w:rsidR="00DF03F3" w:rsidRDefault="00A201E0" w:rsidP="00E90BB9">
            <w:pPr>
              <w:spacing w:after="0"/>
            </w:pPr>
            <w:r>
              <w:rPr>
                <w:sz w:val="18"/>
              </w:rPr>
              <w:t>The same four selected classes only. No gas/debris *_frac_bio fields. “Bio” is a calculation label, not histological validation.</w:t>
            </w:r>
          </w:p>
        </w:tc>
      </w:tr>
    </w:tbl>
    <w:p w:rsidR="00DF03F3" w:rsidRDefault="00A201E0" w:rsidP="00E90BB9">
      <w:r>
        <w:t>The four global _frac_nogas values need not sum to 1, because debris is in their denominator but has no corresponding global numerator field. Example: a 100 mm³ cavity with 20 mm³ gas and 15 mm³ debris leaves 65 mm³ selected content; the four _frac_nogas values sum to 65/80 = 0.8125, while the four _frac_bio values sum to 1. Gas is never given a fraction against a denominator that excludes it.</w:t>
      </w:r>
    </w:p>
    <w:p w:rsidR="00DF03F3" w:rsidRDefault="00A201E0" w:rsidP="00E90BB9">
      <w:r>
        <w:t>A zero denominator produces an undefined value (None/blank in global tables; NaN or null in longitudinal exports), not a zero fraction. An empty cavity produces no global fraction dictionary. sum_selected_frac is selected content/cavity; sum_all_frac sums total gas once plus fat, fluid, intermediate, debris and residual. qc_flag marks |sum_all_frac − 1| &gt; 0.02. Overlap QC independently flags missing_frac &gt; 0.005 and overlap_frac &gt; 0.001.</w:t>
      </w:r>
    </w:p>
    <w:p w:rsidR="006F1D52" w:rsidRDefault="006F1D52" w:rsidP="00E90BB9"/>
    <w:p w:rsidR="006F1D52" w:rsidRPr="006F1D52" w:rsidRDefault="006F1D52" w:rsidP="00E90BB9">
      <w:pPr>
        <w:ind w:firstLine="720"/>
        <w:rPr>
          <w:b/>
        </w:rPr>
      </w:pPr>
      <w:r w:rsidRPr="006F1D52">
        <w:rPr>
          <w:b/>
        </w:rPr>
        <w:t>6.2 Longitudinal profiles and summaries</w:t>
      </w:r>
    </w:p>
    <w:p w:rsidR="00DF03F3" w:rsidRDefault="00A201E0" w:rsidP="00E90BB9">
      <w:r>
        <w:t>The default profile has 20 equal longitudinal bins, not 20 native CT slices. CSV/XLSX slice_index is zero-based (0–19); orientation is prox-&gt;dist and x_mm_center is distance from the proximal reference in millimetres. The profile cavity is the union of material masks; per-bin non-gas counts sum fat + fluid + intermediate + debris + residual, whereas global non-gas volume is geometric cavity minus total gas. Inspect overlap/missing QC before treating these definitions as equivalent.</w:t>
      </w:r>
    </w:p>
    <w:tbl>
      <w:tblPr>
        <w:tblStyle w:val="Grilledutableau"/>
        <w:tblW w:w="0" w:type="auto"/>
        <w:tblLook w:val="04A0" w:firstRow="1" w:lastRow="0" w:firstColumn="1" w:lastColumn="0" w:noHBand="0" w:noVBand="1"/>
      </w:tblPr>
      <w:tblGrid>
        <w:gridCol w:w="4961"/>
        <w:gridCol w:w="4965"/>
      </w:tblGrid>
      <w:tr w:rsidR="00DF03F3">
        <w:trPr>
          <w:tblHeader/>
        </w:trPr>
        <w:tc>
          <w:tcPr>
            <w:tcW w:w="4968" w:type="dxa"/>
          </w:tcPr>
          <w:p w:rsidR="00DF03F3" w:rsidRDefault="00A201E0" w:rsidP="00E90BB9">
            <w:pPr>
              <w:spacing w:after="0"/>
            </w:pPr>
            <w:r>
              <w:rPr>
                <w:b/>
                <w:sz w:val="18"/>
              </w:rPr>
              <w:t>Column group</w:t>
            </w:r>
          </w:p>
        </w:tc>
        <w:tc>
          <w:tcPr>
            <w:tcW w:w="4968" w:type="dxa"/>
          </w:tcPr>
          <w:p w:rsidR="00DF03F3" w:rsidRDefault="00A201E0" w:rsidP="00E90BB9">
            <w:pPr>
              <w:spacing w:after="0"/>
            </w:pPr>
            <w:r>
              <w:rPr>
                <w:b/>
                <w:sz w:val="18"/>
              </w:rPr>
              <w:t>Actual CSV/XLSX names</w:t>
            </w:r>
          </w:p>
        </w:tc>
      </w:tr>
      <w:tr w:rsidR="00DF03F3">
        <w:tc>
          <w:tcPr>
            <w:tcW w:w="4968" w:type="dxa"/>
          </w:tcPr>
          <w:p w:rsidR="00DF03F3" w:rsidRDefault="00A201E0" w:rsidP="00E90BB9">
            <w:pPr>
              <w:spacing w:after="0"/>
            </w:pPr>
            <w:r>
              <w:rPr>
                <w:sz w:val="18"/>
              </w:rPr>
              <w:t>Gas fractions</w:t>
            </w:r>
          </w:p>
        </w:tc>
        <w:tc>
          <w:tcPr>
            <w:tcW w:w="4968" w:type="dxa"/>
          </w:tcPr>
          <w:p w:rsidR="00DF03F3" w:rsidRDefault="00A201E0" w:rsidP="00E90BB9">
            <w:pPr>
              <w:spacing w:after="0"/>
            </w:pPr>
            <w:r>
              <w:rPr>
                <w:sz w:val="18"/>
              </w:rPr>
              <w:t>gas_total_frac_cavity, gas_pure_frac_cavity, gas_mixed_frac_cavity; gas_pure_frac_gas_total, gas_mixed_frac_gas_total.</w:t>
            </w:r>
          </w:p>
        </w:tc>
      </w:tr>
      <w:tr w:rsidR="00DF03F3">
        <w:tc>
          <w:tcPr>
            <w:tcW w:w="4968" w:type="dxa"/>
          </w:tcPr>
          <w:p w:rsidR="00DF03F3" w:rsidRDefault="00A201E0" w:rsidP="00E90BB9">
            <w:pPr>
              <w:spacing w:after="0"/>
            </w:pPr>
            <w:r>
              <w:rPr>
                <w:sz w:val="18"/>
              </w:rPr>
              <w:t>Non-gas / selected-content fractions</w:t>
            </w:r>
          </w:p>
        </w:tc>
        <w:tc>
          <w:tcPr>
            <w:tcW w:w="4968" w:type="dxa"/>
          </w:tcPr>
          <w:p w:rsidR="00DF03F3" w:rsidRDefault="00A201E0" w:rsidP="00E90BB9">
            <w:pPr>
              <w:spacing w:after="0"/>
            </w:pPr>
            <w:r>
              <w:rPr>
                <w:sz w:val="18"/>
              </w:rPr>
              <w:t>fat_frac_nogas, fluid_frac_nogas, intermediate_density_frac_nogas, debris_frac_nogas, residual_medullary_content_frac_nogas; fat_frac_bio, fluid_frac_bio, intermediate_density_frac_bio, residual_medullary_content_frac_bio.</w:t>
            </w:r>
          </w:p>
        </w:tc>
      </w:tr>
      <w:tr w:rsidR="00DF03F3">
        <w:tc>
          <w:tcPr>
            <w:tcW w:w="4968" w:type="dxa"/>
          </w:tcPr>
          <w:p w:rsidR="00DF03F3" w:rsidRDefault="00A201E0" w:rsidP="00E90BB9">
            <w:pPr>
              <w:spacing w:after="0"/>
            </w:pPr>
            <w:r>
              <w:rPr>
                <w:sz w:val="18"/>
              </w:rPr>
              <w:t>Counts and HU</w:t>
            </w:r>
          </w:p>
        </w:tc>
        <w:tc>
          <w:tcPr>
            <w:tcW w:w="4968" w:type="dxa"/>
          </w:tcPr>
          <w:p w:rsidR="00DF03F3" w:rsidRDefault="00A201E0" w:rsidP="00E90BB9">
            <w:pPr>
              <w:spacing w:after="0"/>
            </w:pPr>
            <w:r>
              <w:rPr>
                <w:sz w:val="18"/>
              </w:rPr>
              <w:t>HU_mean; n_cavity_vox; n_gas_total_vox, n_gas_pure_vox, n_gas_mixed_vox; n_fat_vox, n_fluid_vox, n_intermediate_density_vox, n_debris_vox, n_residual_medullary_content_vox; n_nogas_vox, n_bio_vox, n_material_sum_vox.</w:t>
            </w:r>
          </w:p>
        </w:tc>
      </w:tr>
      <w:tr w:rsidR="00DF03F3">
        <w:tc>
          <w:tcPr>
            <w:tcW w:w="4968" w:type="dxa"/>
          </w:tcPr>
          <w:p w:rsidR="00DF03F3" w:rsidRDefault="00A201E0" w:rsidP="00E90BB9">
            <w:pPr>
              <w:spacing w:after="0"/>
            </w:pPr>
            <w:r>
              <w:rPr>
                <w:sz w:val="18"/>
              </w:rPr>
              <w:t>Coordinates / metadata</w:t>
            </w:r>
          </w:p>
        </w:tc>
        <w:tc>
          <w:tcPr>
            <w:tcW w:w="4968" w:type="dxa"/>
          </w:tcPr>
          <w:p w:rsidR="00DF03F3" w:rsidRDefault="00A201E0" w:rsidP="00E90BB9">
            <w:pPr>
              <w:spacing w:after="0"/>
            </w:pPr>
            <w:r>
              <w:rPr>
                <w:sz w:val="18"/>
              </w:rPr>
              <w:t>slice_index, orientation, x_mm_center, axis_source, anchor_used, gradient_version. Current gradient_version: v6_physical_weighted_dist_minus_prox.</w:t>
            </w:r>
          </w:p>
        </w:tc>
      </w:tr>
    </w:tbl>
    <w:p w:rsidR="00DF03F3" w:rsidRDefault="00A201E0" w:rsidP="00E90BB9">
      <w:r>
        <w:t>Thus debris_frac_nogas is present in longitudinal profiles, although absent from global fractions; fat is named fat here and marrow_fatlike globally. No AFFR or MFR variable is exported in the current implementation. Gradient-summary prefixes are HU, GasTotalFracCavity, GasPureFracGasTotal, GasMixedFracGasTotal, FatFracBio, FluidFracBio, IntermediateDensityFracBio, ResidualMedullaryContentFracBio, FatFracNoGas, FluidFracNoGas, IntermediateDensityFracNoGas, DebrisFracNoGas and ResidualMedullaryContentFracNoGas.</w:t>
      </w:r>
    </w:p>
    <w:p w:rsidR="00DF03F3" w:rsidRDefault="00A201E0" w:rsidP="00E90BB9">
      <w:r>
        <w:t>For each prefix P, summaries include P_prox, P_dist, Delta_P, GradP, GradP_slice, SlopeP_mm, R2_P, P_n_valid and P_dist_mm. Prox/dist are unweighted means of the first/last two valid bins. In the current implementation, Delta = distal − proximal and Grad = Delta divided by the physical separation between the corresponding endpoint-zone mean centres in millimetres; therefore a positive value indicates an increase toward the distal end. GradP and SlopeP_mm are the reference physical gradient metrics. GradP_slice is retained only for backward compatibility and is deprecated for new analyses; it represents change per longitudinal subdivision/bin, not per native CT slice and not a physical gradient. SlopeP_mm is a proximal-to-distal fitted slope using physical distance and profile-specific voxel weighting. Fewer than two valid bins leave these summaries undefined.</w:t>
      </w:r>
    </w:p>
    <w:p w:rsidR="006F1D52" w:rsidRDefault="006F1D52" w:rsidP="00E90BB9"/>
    <w:p w:rsidR="006F1D52" w:rsidRPr="006F1D52" w:rsidRDefault="006F1D52" w:rsidP="00E90BB9">
      <w:pPr>
        <w:ind w:firstLine="720"/>
        <w:rPr>
          <w:b/>
        </w:rPr>
      </w:pPr>
      <w:r w:rsidRPr="006F1D52">
        <w:rPr>
          <w:b/>
        </w:rPr>
        <w:t>6.3 Exploratory spatial indices</w:t>
      </w:r>
    </w:p>
    <w:p w:rsidR="00DF03F3" w:rsidRDefault="00A201E0" w:rsidP="00E90BB9">
      <w:r>
        <w:t>ICL_g, IHL_g and ERT_g are dimensionless exploratory indices, not validated forensic outcomes. The principal values use main_component: medulla (fat ∪ residual) when available, otherwise content (all non-gas classes including debris), otherwise the first available material. The per-material file additionally describes those combined masks and individual material masks.</w:t>
      </w:r>
    </w:p>
    <w:tbl>
      <w:tblPr>
        <w:tblStyle w:val="Grilledutableau"/>
        <w:tblW w:w="0" w:type="auto"/>
        <w:tblLook w:val="04A0" w:firstRow="1" w:lastRow="0" w:firstColumn="1" w:lastColumn="0" w:noHBand="0" w:noVBand="1"/>
      </w:tblPr>
      <w:tblGrid>
        <w:gridCol w:w="4963"/>
        <w:gridCol w:w="4963"/>
      </w:tblGrid>
      <w:tr w:rsidR="00DF03F3">
        <w:trPr>
          <w:tblHeader/>
        </w:trPr>
        <w:tc>
          <w:tcPr>
            <w:tcW w:w="4968" w:type="dxa"/>
          </w:tcPr>
          <w:p w:rsidR="00DF03F3" w:rsidRDefault="00A201E0" w:rsidP="00E90BB9">
            <w:pPr>
              <w:spacing w:after="0"/>
            </w:pPr>
            <w:r>
              <w:rPr>
                <w:b/>
                <w:sz w:val="18"/>
              </w:rPr>
              <w:t>Variable</w:t>
            </w:r>
          </w:p>
        </w:tc>
        <w:tc>
          <w:tcPr>
            <w:tcW w:w="4968" w:type="dxa"/>
          </w:tcPr>
          <w:p w:rsidR="00DF03F3" w:rsidRDefault="00A201E0" w:rsidP="00E90BB9">
            <w:pPr>
              <w:spacing w:after="0"/>
            </w:pPr>
            <w:r>
              <w:rPr>
                <w:b/>
                <w:sz w:val="18"/>
              </w:rPr>
              <w:t>Implemented definition</w:t>
            </w:r>
          </w:p>
        </w:tc>
      </w:tr>
      <w:tr w:rsidR="00DF03F3">
        <w:tc>
          <w:tcPr>
            <w:tcW w:w="4968" w:type="dxa"/>
          </w:tcPr>
          <w:p w:rsidR="00DF03F3" w:rsidRDefault="00A201E0" w:rsidP="00E90BB9">
            <w:pPr>
              <w:spacing w:after="0"/>
            </w:pPr>
            <w:r>
              <w:rPr>
                <w:sz w:val="18"/>
              </w:rPr>
              <w:t>ICL_g</w:t>
            </w:r>
          </w:p>
        </w:tc>
        <w:tc>
          <w:tcPr>
            <w:tcW w:w="4968" w:type="dxa"/>
          </w:tcPr>
          <w:p w:rsidR="00DF03F3" w:rsidRDefault="00A201E0" w:rsidP="00E90BB9">
            <w:pPr>
              <w:spacing w:after="0"/>
            </w:pPr>
            <w:r>
              <w:rPr>
                <w:sz w:val="18"/>
              </w:rPr>
              <w:t>Material centroid offset along the aligned longest bounding-box axis from the solid-mask bounding-box midpoint, divided by half that longitudinal extent. Signed; the _g name does not make this calculation gravity-dependent.</w:t>
            </w:r>
          </w:p>
        </w:tc>
      </w:tr>
      <w:tr w:rsidR="00DF03F3">
        <w:tc>
          <w:tcPr>
            <w:tcW w:w="4968" w:type="dxa"/>
          </w:tcPr>
          <w:p w:rsidR="00DF03F3" w:rsidRDefault="00A201E0" w:rsidP="00E90BB9">
            <w:pPr>
              <w:spacing w:after="0"/>
            </w:pPr>
            <w:r>
              <w:rPr>
                <w:sz w:val="18"/>
              </w:rPr>
              <w:t>IHL_g</w:t>
            </w:r>
          </w:p>
        </w:tc>
        <w:tc>
          <w:tcPr>
            <w:tcW w:w="4968" w:type="dxa"/>
          </w:tcPr>
          <w:p w:rsidR="00DF03F3" w:rsidRDefault="00A201E0" w:rsidP="00E90BB9">
            <w:pPr>
              <w:spacing w:after="0"/>
            </w:pPr>
            <w:r>
              <w:rPr>
                <w:sz w:val="18"/>
              </w:rPr>
              <w:t>Material-centroid displacement from the cavity centroid, projected onto the normalized transverse component of gravity, divided by half d_eff_mm. Signed.</w:t>
            </w:r>
          </w:p>
        </w:tc>
      </w:tr>
      <w:tr w:rsidR="00DF03F3">
        <w:tc>
          <w:tcPr>
            <w:tcW w:w="4968" w:type="dxa"/>
          </w:tcPr>
          <w:p w:rsidR="00DF03F3" w:rsidRDefault="00A201E0" w:rsidP="00E90BB9">
            <w:pPr>
              <w:spacing w:after="0"/>
            </w:pPr>
            <w:r>
              <w:rPr>
                <w:sz w:val="18"/>
              </w:rPr>
              <w:t>ERT_g</w:t>
            </w:r>
          </w:p>
        </w:tc>
        <w:tc>
          <w:tcPr>
            <w:tcW w:w="4968" w:type="dxa"/>
          </w:tcPr>
          <w:p w:rsidR="00DF03F3" w:rsidRDefault="00A201E0" w:rsidP="00E90BB9">
            <w:pPr>
              <w:spacing w:after="0"/>
            </w:pPr>
            <w:r>
              <w:rPr>
                <w:sz w:val="18"/>
              </w:rPr>
              <w:t>sqrt(ICL_g² + IHL_g²).</w:t>
            </w:r>
          </w:p>
        </w:tc>
      </w:tr>
      <w:tr w:rsidR="00DF03F3">
        <w:tc>
          <w:tcPr>
            <w:tcW w:w="4968" w:type="dxa"/>
          </w:tcPr>
          <w:p w:rsidR="00DF03F3" w:rsidRDefault="00A201E0" w:rsidP="00E90BB9">
            <w:pPr>
              <w:spacing w:after="0"/>
            </w:pPr>
            <w:r>
              <w:rPr>
                <w:sz w:val="18"/>
              </w:rPr>
              <w:t>d_eff_mm</w:t>
            </w:r>
          </w:p>
        </w:tc>
        <w:tc>
          <w:tcPr>
            <w:tcW w:w="4968" w:type="dxa"/>
          </w:tcPr>
          <w:p w:rsidR="00DF03F3" w:rsidRDefault="00A201E0" w:rsidP="00E90BB9">
            <w:pPr>
              <w:spacing w:after="0"/>
            </w:pPr>
            <w:r>
              <w:rPr>
                <w:sz w:val="18"/>
              </w:rPr>
              <w:t>Median equivalent circular cavity diameter over non-empty transverse slices: 2 × sqrt(slice cavity area / π), in mm.</w:t>
            </w:r>
          </w:p>
        </w:tc>
      </w:tr>
      <w:tr w:rsidR="00DF03F3">
        <w:tc>
          <w:tcPr>
            <w:tcW w:w="4968" w:type="dxa"/>
          </w:tcPr>
          <w:p w:rsidR="00DF03F3" w:rsidRDefault="00A201E0" w:rsidP="00E90BB9">
            <w:pPr>
              <w:spacing w:after="0"/>
            </w:pPr>
            <w:r>
              <w:rPr>
                <w:sz w:val="18"/>
              </w:rPr>
              <w:t>gas_frac</w:t>
            </w:r>
          </w:p>
        </w:tc>
        <w:tc>
          <w:tcPr>
            <w:tcW w:w="4968" w:type="dxa"/>
          </w:tcPr>
          <w:p w:rsidR="00DF03F3" w:rsidRDefault="00A201E0" w:rsidP="00E90BB9">
            <w:pPr>
              <w:spacing w:after="0"/>
            </w:pPr>
            <w:r>
              <w:rPr>
                <w:sz w:val="18"/>
              </w:rPr>
              <w:t>Total-gas volume / cavity volume; the same fraction as gas_total_frac, not a spatial displacement index.</w:t>
            </w:r>
          </w:p>
        </w:tc>
      </w:tr>
    </w:tbl>
    <w:p w:rsidR="00DF03F3" w:rsidRDefault="00A201E0" w:rsidP="00E90BB9">
      <w:r>
        <w:t>Inspect main_component, axis_index and gravity_projection_status. If gravity is unavailable or parallel to the long axis, IHL_g and ERT_g are undefined; ICL_g can still be calculated. Automatic gravity vectors come from the selected position in the aligned frame and require verified anatomical orientation; they are not an independent measurement of case posture.</w:t>
      </w:r>
    </w:p>
    <w:p w:rsidR="00DF03F3" w:rsidRDefault="00A201E0" w:rsidP="00E90BB9">
      <w:r>
        <w:t>Indices_ICL_IHL_ERT.csv/.xlsx exports the cortical, medullary and cavity centroid coordinates together with the spatial indices. In SegMed 3.2.3, cortical_centerX, cortical_centerY and cortical_centerZ are populated from the corrected cortical-centroid key when the cortical mask is available. The same detailed index data remain available in Run_metadata.json for traceability.</w:t>
      </w:r>
    </w:p>
    <w:p w:rsidR="006F1D52" w:rsidRPr="006F1D52" w:rsidRDefault="006F1D52" w:rsidP="00E90BB9">
      <w:pPr>
        <w:rPr>
          <w:b/>
        </w:rPr>
      </w:pPr>
    </w:p>
    <w:p w:rsidR="006F1D52" w:rsidRPr="006F1D52" w:rsidRDefault="006F1D52" w:rsidP="00E90BB9">
      <w:pPr>
        <w:ind w:firstLine="720"/>
        <w:rPr>
          <w:b/>
        </w:rPr>
      </w:pPr>
      <w:r w:rsidRPr="006F1D52">
        <w:rPr>
          <w:b/>
        </w:rPr>
        <w:t>6.4 Variable classification</w:t>
      </w:r>
    </w:p>
    <w:p w:rsidR="00DF03F3" w:rsidRDefault="00A201E0" w:rsidP="00E90BB9">
      <w:r>
        <w:t>SegMed 3.2.3 exports variable catalogues that classify output fields as primary, derived or QC.</w:t>
      </w:r>
    </w:p>
    <w:p w:rsidR="00DF03F3" w:rsidRDefault="00A201E0" w:rsidP="00E90BB9">
      <w:r>
        <w:t>Primary variables correspond to direct measurements or direct summaries obtained from the segmented CT data, such as compartment volumes, HU summaries, longitudinal endpoint values and peridiaphyseal tissue measurements.</w:t>
      </w:r>
    </w:p>
    <w:p w:rsidR="00DF03F3" w:rsidRDefault="00A201E0" w:rsidP="00E90BB9">
      <w:r>
        <w:t>Derived variables are mathematically calculated from other measurements, including fractions, normalized contrasts, physical gradients and composite spatial indices.</w:t>
      </w:r>
    </w:p>
    <w:p w:rsidR="00DF03F3" w:rsidRDefault="00A201E0" w:rsidP="00E90BB9">
      <w:r>
        <w:t>QC variables describe processing geometry, segmentation support, image provenance, masking, exclusions, export status, parameterization or other processing diagnostics. They are intended primarily for quality control and should not automatically be interpreted as biological biomarkers.</w:t>
      </w:r>
    </w:p>
    <w:p w:rsidR="00DF03F3" w:rsidRDefault="00A201E0" w:rsidP="00E90BB9">
      <w:r>
        <w:t>The classifications are provided in Variable_catalog.csv/.xlsx/.json and Peridiaphyseal_variable_catalog.csv/.xlsx/.json. In SegMed 3.2.3, peridiaphyseal geometry/parameter fields including voxel_volume_mm3, peri_thickness_units, peri_thickness_weighting and seed-mask volume fields (*_seed_volume_mm3, including companion_bone_ignored_volume_mm3 where applicable) are classified as QC rather than primary variables. This change is documentary/QC only and does not modify the underlying measurements.</w:t>
      </w:r>
    </w:p>
    <w:p w:rsidR="00DF03F3" w:rsidRDefault="00A201E0" w:rsidP="00E90BB9">
      <w:r>
        <w:t>Variable classification does not imply biological validity, diagnostic value or suitability as a predictor of post mortem interval. Statistical modelling should distinguish biological measurements from derived quantities and processing/QC fields, and inclusion of QC variables should be explicitly justified.</w:t>
      </w:r>
    </w:p>
    <w:p w:rsidR="006F1D52" w:rsidRDefault="006F1D52" w:rsidP="00E90BB9"/>
    <w:p w:rsidR="006F1D52" w:rsidRPr="006F1D52" w:rsidRDefault="006F1D52" w:rsidP="00E90BB9">
      <w:pPr>
        <w:pStyle w:val="Paragraphedeliste"/>
        <w:numPr>
          <w:ilvl w:val="0"/>
          <w:numId w:val="11"/>
        </w:numPr>
        <w:rPr>
          <w:b/>
          <w:sz w:val="24"/>
        </w:rPr>
      </w:pPr>
      <w:r w:rsidRPr="006F1D52">
        <w:rPr>
          <w:b/>
          <w:sz w:val="24"/>
        </w:rPr>
        <w:t>Quality-control recommendations</w:t>
      </w:r>
    </w:p>
    <w:p w:rsidR="00DF03F3" w:rsidRDefault="00A201E0" w:rsidP="00E90BB9">
      <w:r>
        <w:t>Before using SegMed outputs for research analysis, the operator should verify:</w:t>
      </w:r>
    </w:p>
    <w:p w:rsidR="00DF03F3" w:rsidRDefault="00A201E0" w:rsidP="00E90BB9">
      <w:pPr>
        <w:pStyle w:val="Listepuces"/>
        <w:ind w:left="288"/>
      </w:pPr>
      <w:r>
        <w:t>correct identification of the target bone;</w:t>
      </w:r>
    </w:p>
    <w:p w:rsidR="00DF03F3" w:rsidRDefault="00A201E0" w:rsidP="00E90BB9">
      <w:pPr>
        <w:pStyle w:val="Listepuces"/>
        <w:ind w:left="288"/>
      </w:pPr>
      <w:r>
        <w:t>correct placement of the cortical seed point;</w:t>
      </w:r>
    </w:p>
    <w:p w:rsidR="00DF03F3" w:rsidRDefault="00A201E0" w:rsidP="00E90BB9">
      <w:pPr>
        <w:pStyle w:val="Listepuces"/>
        <w:ind w:left="288"/>
      </w:pPr>
      <w:r>
        <w:t>absence of major overlap with adjacent bones;</w:t>
      </w:r>
    </w:p>
    <w:p w:rsidR="00DF03F3" w:rsidRDefault="00A201E0" w:rsidP="00E90BB9">
      <w:pPr>
        <w:pStyle w:val="Listepuces"/>
        <w:ind w:left="288"/>
      </w:pPr>
      <w:r>
        <w:t>acceptable extraction of the diaphyseal shaft;</w:t>
      </w:r>
    </w:p>
    <w:p w:rsidR="00DF03F3" w:rsidRDefault="00A201E0" w:rsidP="00E90BB9">
      <w:pPr>
        <w:pStyle w:val="Listepuces"/>
        <w:ind w:left="288"/>
      </w:pPr>
      <w:r>
        <w:t>correct anatomical alignment;</w:t>
      </w:r>
    </w:p>
    <w:p w:rsidR="00DF03F3" w:rsidRDefault="00A201E0" w:rsidP="00E90BB9">
      <w:pPr>
        <w:pStyle w:val="Listepuces"/>
        <w:ind w:left="288"/>
      </w:pPr>
      <w:r>
        <w:t>plausible compartment segmentation;</w:t>
      </w:r>
    </w:p>
    <w:p w:rsidR="00DF03F3" w:rsidRDefault="00A201E0" w:rsidP="00E90BB9">
      <w:pPr>
        <w:pStyle w:val="Listepuces"/>
        <w:ind w:left="288"/>
      </w:pPr>
      <w:r>
        <w:t>absence of obvious table, contralateral limb or adjacent-structure contamination;</w:t>
      </w:r>
    </w:p>
    <w:p w:rsidR="00DF03F3" w:rsidRDefault="00A201E0" w:rsidP="00E90BB9">
      <w:pPr>
        <w:pStyle w:val="Listepuces"/>
        <w:ind w:left="288"/>
      </w:pPr>
      <w:r>
        <w:t>correctly ordered, non-overlapping medullary HU thresholds and appropriate peridiaphyseal HU settings;</w:t>
      </w:r>
    </w:p>
    <w:p w:rsidR="00DF03F3" w:rsidRDefault="00A201E0" w:rsidP="00E90BB9">
      <w:pPr>
        <w:pStyle w:val="Listepuces"/>
        <w:ind w:left="288"/>
      </w:pPr>
      <w:r>
        <w:t>plausible reference HU values in air and morphologically recognizable adipose tissue on the scan;</w:t>
      </w:r>
    </w:p>
    <w:p w:rsidR="00DF03F3" w:rsidRDefault="00A201E0" w:rsidP="00E90BB9">
      <w:pPr>
        <w:pStyle w:val="Listepuces"/>
        <w:ind w:left="288"/>
      </w:pPr>
      <w:r>
        <w:t>completeness of exported CSV/XLSX files and masks.</w:t>
      </w:r>
    </w:p>
    <w:p w:rsidR="00DF03F3" w:rsidRDefault="00A201E0" w:rsidP="00E90BB9">
      <w:r>
        <w:t>Perform the HU reference check on the source CT before analysis. Measure and record the mean and dispersion of HU in homogeneous external air (approximately −1000 HU) and, when preserved, recognizable subcutaneous adipose tissue (typically negative, often around −100 HU). Place regions of interest away from tissue interfaces, metal, the scanner table and beam-hardening artefacts. These are plausibility checks, not fixed pass/fail tolerances or a substitute for scanner or phantom calibration.</w:t>
      </w:r>
    </w:p>
    <w:p w:rsidR="00DF03F3" w:rsidRDefault="00A201E0" w:rsidP="00E90BB9">
      <w:r>
        <w:t>If reference values are unexpected, review the selected series, DICOM rescale conversion, reconstruction kernel, noise and post mortem alteration before modifying thresholds. Record the findings and any justified changes. This reference check is performed by the operator; SegMed does not enforce it automatically.</w:t>
      </w:r>
    </w:p>
    <w:p w:rsidR="00DF03F3" w:rsidRDefault="00A201E0" w:rsidP="00E90BB9">
      <w:r>
        <w:t>If any major quality-control issue is identified, the analysis should be repeated after correcting the input volume, seed point, cropping, anatomical limits or segmentation parameters.</w:t>
      </w:r>
    </w:p>
    <w:p w:rsidR="006F1D52" w:rsidRDefault="006F1D52" w:rsidP="00E90BB9"/>
    <w:p w:rsidR="006F1D52" w:rsidRPr="006F1D52" w:rsidRDefault="006F1D52" w:rsidP="00E90BB9">
      <w:pPr>
        <w:pStyle w:val="Paragraphedeliste"/>
        <w:numPr>
          <w:ilvl w:val="0"/>
          <w:numId w:val="11"/>
        </w:numPr>
        <w:rPr>
          <w:b/>
          <w:sz w:val="24"/>
        </w:rPr>
      </w:pPr>
      <w:r w:rsidRPr="006F1D52">
        <w:rPr>
          <w:b/>
          <w:sz w:val="24"/>
        </w:rPr>
        <w:t xml:space="preserve">Practical limitations </w:t>
      </w:r>
    </w:p>
    <w:p w:rsidR="00DF03F3" w:rsidRDefault="00A201E0" w:rsidP="00E90BB9">
      <w:r>
        <w:t>SegMed is primarily intended for femoral and tibial diaphyseal workflows. Fibula is explicitly selectable and has implemented preliminary ratios (0.15/0.85), a length-plausibility interval of 180–450 mm, fibular naming/alignment branches and reciprocal tibia–fibula companion handling. Fibular analysis was not evaluated in the Technical Note and must not be presented as validated. Length plausibility is a warning check, not an exclusion rule (femur: 250–700 mm; tibia: 200–460 mm).</w:t>
      </w:r>
    </w:p>
    <w:p w:rsidR="00DF03F3" w:rsidRDefault="00A201E0" w:rsidP="00E90BB9">
      <w:r>
        <w:t>The module may fail or produce unreliable results when the target diaphysis is severely fragmented, poorly preserved, insufficiently contrasted, strongly altered by taphonomic processes, or in contact with overlapping skeletal elements. Bulk-scanned commingled remains may require prior cropping or separate scanning.</w:t>
      </w:r>
    </w:p>
    <w:p w:rsidR="00DF03F3" w:rsidRDefault="00A201E0" w:rsidP="00E90BB9">
      <w:r>
        <w:t>The HU-based classes produced by SegMed are descriptive imaging categories. They should not be interpreted as histological tissue types, pathological diagnoses or medico-legal conclusions. Expert review remains mandatory at every stage.</w:t>
      </w:r>
    </w:p>
    <w:p w:rsidR="0082144E" w:rsidRDefault="0082144E" w:rsidP="00E90BB9">
      <w:bookmarkStart w:id="0" w:name="_GoBack"/>
      <w:bookmarkEnd w:id="0"/>
    </w:p>
    <w:p w:rsidR="006F1D52" w:rsidRDefault="006F1D52" w:rsidP="00E90BB9">
      <w:pPr>
        <w:pStyle w:val="Paragraphedeliste"/>
        <w:numPr>
          <w:ilvl w:val="0"/>
          <w:numId w:val="11"/>
        </w:numPr>
        <w:rPr>
          <w:b/>
          <w:sz w:val="24"/>
        </w:rPr>
      </w:pPr>
      <w:r w:rsidRPr="006F1D52">
        <w:rPr>
          <w:b/>
          <w:sz w:val="24"/>
        </w:rPr>
        <w:t>Recommended reporting</w:t>
      </w:r>
    </w:p>
    <w:p w:rsidR="006F1D52" w:rsidRPr="006F1D52" w:rsidRDefault="006F1D52" w:rsidP="00E90BB9">
      <w:pPr>
        <w:pStyle w:val="Paragraphedeliste"/>
        <w:rPr>
          <w:b/>
          <w:sz w:val="24"/>
        </w:rPr>
      </w:pPr>
    </w:p>
    <w:p w:rsidR="00DF03F3" w:rsidRDefault="00A201E0" w:rsidP="00E90BB9">
      <w:r>
        <w:t>When reporting SegMed-derived results, users should specify:</w:t>
      </w:r>
    </w:p>
    <w:p w:rsidR="00DF03F3" w:rsidRDefault="00A201E0" w:rsidP="00E90BB9">
      <w:pPr>
        <w:pStyle w:val="Listepuces"/>
        <w:ind w:left="288"/>
      </w:pPr>
      <w:r>
        <w:t>SegMed version and source release tag or commit, and the exact 3D Slicer version and revision;</w:t>
      </w:r>
    </w:p>
    <w:p w:rsidR="00DF03F3" w:rsidRDefault="00A201E0" w:rsidP="00E90BB9">
      <w:pPr>
        <w:pStyle w:val="Listepuces"/>
        <w:ind w:left="288"/>
      </w:pPr>
      <w:r>
        <w:t>operating system and version, and installation method;</w:t>
      </w:r>
    </w:p>
    <w:p w:rsidR="00DF03F3" w:rsidRDefault="00A201E0" w:rsidP="00E90BB9">
      <w:pPr>
        <w:pStyle w:val="Listepuces"/>
        <w:ind w:left="288"/>
      </w:pPr>
      <w:r>
        <w:t>CT acquisition parameters, source format, native voxel spacing, slice thickness and increment, reconstruction kernel and any resampling, when available;</w:t>
      </w:r>
    </w:p>
    <w:p w:rsidR="00DF03F3" w:rsidRDefault="00A201E0" w:rsidP="00E90BB9">
      <w:pPr>
        <w:pStyle w:val="Listepuces"/>
        <w:ind w:left="288"/>
      </w:pPr>
      <w:r>
        <w:t>target bone and laterality;</w:t>
      </w:r>
    </w:p>
    <w:p w:rsidR="00DF03F3" w:rsidRDefault="00A201E0" w:rsidP="00E90BB9">
      <w:pPr>
        <w:pStyle w:val="Listepuces"/>
        <w:ind w:left="288"/>
      </w:pPr>
      <w:r>
        <w:t>whether the case involved articulated, disarticulated or bulk-scanned remains;</w:t>
      </w:r>
    </w:p>
    <w:p w:rsidR="00DF03F3" w:rsidRDefault="00A201E0" w:rsidP="00E90BB9">
      <w:pPr>
        <w:pStyle w:val="Listepuces"/>
        <w:ind w:left="288"/>
      </w:pPr>
      <w:r>
        <w:t>whether manual cropping was performed;</w:t>
      </w:r>
    </w:p>
    <w:p w:rsidR="00DF03F3" w:rsidRDefault="00A201E0" w:rsidP="00E90BB9">
      <w:pPr>
        <w:pStyle w:val="Listepuces"/>
        <w:ind w:left="288"/>
      </w:pPr>
      <w:r>
        <w:t>requested and actually applied proximal/distal anatomical cutoff ratios, including manual adjustments, automated refinement and their rationale;</w:t>
      </w:r>
    </w:p>
    <w:p w:rsidR="00DF03F3" w:rsidRDefault="00A201E0" w:rsidP="00E90BB9">
      <w:pPr>
        <w:pStyle w:val="Listepuces"/>
        <w:ind w:left="288"/>
      </w:pPr>
      <w:r>
        <w:t>diaphyseal mask dilation, medullary sealing/cap and endosteal shell settings, and peridiaphyseal radial/context margins and companion distance in millimetres, including manual adjustments and their rationale;</w:t>
      </w:r>
    </w:p>
    <w:p w:rsidR="00DF03F3" w:rsidRDefault="00A201E0" w:rsidP="00E90BB9">
      <w:pPr>
        <w:pStyle w:val="Listepuces"/>
        <w:ind w:left="288"/>
      </w:pPr>
      <w:r>
        <w:t>HU thresholds used for medullary and peridiaphyseal analyses;</w:t>
      </w:r>
    </w:p>
    <w:p w:rsidR="00DF03F3" w:rsidRDefault="00A201E0" w:rsidP="00E90BB9">
      <w:pPr>
        <w:pStyle w:val="Listepuces"/>
        <w:ind w:left="288"/>
      </w:pPr>
      <w:r>
        <w:t>HU reference-check results and any threshold adjustments;</w:t>
      </w:r>
    </w:p>
    <w:p w:rsidR="00DF03F3" w:rsidRDefault="00A201E0" w:rsidP="00E90BB9">
      <w:pPr>
        <w:pStyle w:val="Listepuces"/>
        <w:ind w:left="288"/>
      </w:pPr>
      <w:r>
        <w:t>quality-control exclusions or failed extractions;</w:t>
      </w:r>
    </w:p>
    <w:p w:rsidR="00DF03F3" w:rsidRDefault="00A201E0" w:rsidP="00E90BB9">
      <w:pPr>
        <w:pStyle w:val="Listepuces"/>
        <w:ind w:left="288"/>
      </w:pPr>
      <w:r>
        <w:t>exact exported filenames/column names and fraction denominators used for statistical analysis, including any missing exports or undefined values;</w:t>
      </w:r>
    </w:p>
    <w:p w:rsidR="00DF03F3" w:rsidRDefault="00A201E0" w:rsidP="00E90BB9">
      <w:pPr>
        <w:pStyle w:val="Listepuces"/>
        <w:ind w:left="288"/>
      </w:pPr>
      <w:r>
        <w:t>whether variables used for statistical modelling were classified as primary, derived or QC, and the rationale for including any QC variables;</w:t>
      </w:r>
    </w:p>
    <w:p w:rsidR="00DF03F3" w:rsidRDefault="00A201E0" w:rsidP="00E90BB9">
      <w:pPr>
        <w:pStyle w:val="Listepuces"/>
        <w:ind w:left="288"/>
      </w:pPr>
      <w:r>
        <w:t>whether exploratory spatial-distribution indices were included or excluded.</w:t>
      </w:r>
    </w:p>
    <w:p w:rsidR="00DF03F3" w:rsidRDefault="00A201E0" w:rsidP="00E90BB9">
      <w:r>
        <w:t>Retain the source CT, QC masks and metadata; log unrecorded reporting items. Interpret results as descriptive metrics within the study scope.</w:t>
      </w:r>
    </w:p>
    <w:p w:rsidR="00DF03F3" w:rsidRDefault="00A201E0" w:rsidP="00E90BB9">
      <w:r>
        <w:t>For reproducibility, do not mix outputs generated with different SegMed builds in the same analytical dataset without documenting the software version and reprocessing strategy. Measurements affected by changes to physical geometry, orientation or gradient conventions should be recalculated from the source CT rather than converted retrospectively.</w:t>
      </w:r>
    </w:p>
    <w:sectPr w:rsidR="00DF03F3" w:rsidSect="00034616">
      <w:footerReference w:type="default" r:id="rId8"/>
      <w:pgSz w:w="12240" w:h="15840"/>
      <w:pgMar w:top="1008" w:right="1152" w:bottom="1008"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4FE2" w:rsidRDefault="00094FE2">
      <w:pPr>
        <w:spacing w:after="0" w:line="240" w:lineRule="auto"/>
      </w:pPr>
      <w:r>
        <w:separator/>
      </w:r>
    </w:p>
  </w:endnote>
  <w:endnote w:type="continuationSeparator" w:id="0">
    <w:p w:rsidR="00094FE2" w:rsidRDefault="00094F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00000287" w:usb1="08070000" w:usb2="00000010"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01E0" w:rsidRDefault="00A201E0">
    <w:pPr>
      <w:pStyle w:val="Pieddepage"/>
      <w:jc w:val="center"/>
    </w:pPr>
    <w:r>
      <w:t xml:space="preserve">Page </w:t>
    </w:r>
    <w:r>
      <w:fldChar w:fldCharType="begin"/>
    </w:r>
    <w:r>
      <w:instrText>PAGE</w:instrText>
    </w:r>
    <w:r>
      <w:fldChar w:fldCharType="separate"/>
    </w:r>
    <w:r w:rsidR="00094FE2">
      <w:rPr>
        <w:noProof/>
      </w:rPr>
      <w:t>1</w:t>
    </w:r>
    <w:r>
      <w:fldChar w:fldCharType="end"/>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4FE2" w:rsidRDefault="00094FE2">
      <w:pPr>
        <w:spacing w:after="0" w:line="240" w:lineRule="auto"/>
      </w:pPr>
      <w:r>
        <w:separator/>
      </w:r>
    </w:p>
  </w:footnote>
  <w:footnote w:type="continuationSeparator" w:id="0">
    <w:p w:rsidR="00094FE2" w:rsidRDefault="00094FE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3B811209"/>
    <w:multiLevelType w:val="hybridMultilevel"/>
    <w:tmpl w:val="65CCE158"/>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0" w15:restartNumberingAfterBreak="0">
    <w:nsid w:val="51004047"/>
    <w:multiLevelType w:val="multilevel"/>
    <w:tmpl w:val="4C80480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78274F11"/>
    <w:multiLevelType w:val="hybridMultilevel"/>
    <w:tmpl w:val="9DA8D338"/>
    <w:lvl w:ilvl="0" w:tplc="F73C6C84">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 w:numId="11">
    <w:abstractNumId w:val="10"/>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94FE2"/>
    <w:rsid w:val="0015074B"/>
    <w:rsid w:val="0029639D"/>
    <w:rsid w:val="00326F90"/>
    <w:rsid w:val="006F1D52"/>
    <w:rsid w:val="0082144E"/>
    <w:rsid w:val="009353E7"/>
    <w:rsid w:val="00A201E0"/>
    <w:rsid w:val="00AA1D8D"/>
    <w:rsid w:val="00B47730"/>
    <w:rsid w:val="00CB0664"/>
    <w:rsid w:val="00DF03F3"/>
    <w:rsid w:val="00E90BB9"/>
    <w:rsid w:val="00F75B4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CE0AD5"/>
  <w14:defaultImageDpi w14:val="300"/>
  <w15:docId w15:val="{6B500FB1-3B81-4E6F-9630-6347959E8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pPr>
      <w:spacing w:after="80" w:line="252" w:lineRule="auto"/>
    </w:pPr>
    <w:rPr>
      <w:rFonts w:ascii="Arial" w:eastAsia="Arial" w:hAnsi="Arial"/>
      <w:sz w:val="20"/>
    </w:rPr>
  </w:style>
  <w:style w:type="paragraph" w:styleId="Titre1">
    <w:name w:val="heading 1"/>
    <w:basedOn w:val="Normal"/>
    <w:next w:val="Normal"/>
    <w:link w:val="Titre1Car"/>
    <w:uiPriority w:val="9"/>
    <w:qFormat/>
    <w:rsid w:val="00FC693F"/>
    <w:pPr>
      <w:keepNext/>
      <w:keepLines/>
      <w:spacing w:before="160"/>
      <w:outlineLvl w:val="0"/>
    </w:pPr>
    <w:rPr>
      <w:rFonts w:asciiTheme="majorHAnsi" w:eastAsiaTheme="majorEastAsia" w:hAnsiTheme="majorHAnsi" w:cstheme="majorBidi"/>
      <w:b/>
      <w:bCs/>
      <w:color w:val="365F91" w:themeColor="accent1" w:themeShade="BF"/>
      <w:sz w:val="26"/>
      <w:szCs w:val="28"/>
    </w:rPr>
  </w:style>
  <w:style w:type="paragraph" w:styleId="Titre2">
    <w:name w:val="heading 2"/>
    <w:basedOn w:val="Normal"/>
    <w:next w:val="Normal"/>
    <w:link w:val="Titre2Car"/>
    <w:uiPriority w:val="9"/>
    <w:unhideWhenUsed/>
    <w:qFormat/>
    <w:rsid w:val="00FC693F"/>
    <w:pPr>
      <w:keepNext/>
      <w:keepLines/>
      <w:spacing w:before="160"/>
      <w:outlineLvl w:val="1"/>
    </w:pPr>
    <w:rPr>
      <w:rFonts w:asciiTheme="majorHAnsi" w:eastAsiaTheme="majorEastAsia" w:hAnsiTheme="majorHAnsi" w:cstheme="majorBidi"/>
      <w:b/>
      <w:bCs/>
      <w:color w:val="4F81BD" w:themeColor="accent1"/>
      <w:sz w:val="23"/>
      <w:szCs w:val="26"/>
    </w:rPr>
  </w:style>
  <w:style w:type="paragraph" w:styleId="Titre3">
    <w:name w:val="heading 3"/>
    <w:basedOn w:val="Normal"/>
    <w:next w:val="Normal"/>
    <w:link w:val="Titre3Car"/>
    <w:uiPriority w:val="9"/>
    <w:unhideWhenUsed/>
    <w:qFormat/>
    <w:rsid w:val="00FC693F"/>
    <w:pPr>
      <w:keepNext/>
      <w:keepLines/>
      <w:spacing w:before="160"/>
      <w:outlineLvl w:val="2"/>
    </w:pPr>
    <w:rPr>
      <w:rFonts w:asciiTheme="majorHAnsi" w:eastAsiaTheme="majorEastAsia" w:hAnsiTheme="majorHAnsi" w:cstheme="majorBidi"/>
      <w:b/>
      <w:bCs/>
      <w:color w:val="4F81BD" w:themeColor="accent1"/>
      <w:sz w:val="21"/>
    </w:rPr>
  </w:style>
  <w:style w:type="paragraph" w:styleId="Titre4">
    <w:name w:val="heading 4"/>
    <w:basedOn w:val="Normal"/>
    <w:next w:val="Normal"/>
    <w:link w:val="Titre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re5">
    <w:name w:val="heading 5"/>
    <w:basedOn w:val="Normal"/>
    <w:next w:val="Normal"/>
    <w:link w:val="Titre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re6">
    <w:name w:val="heading 6"/>
    <w:basedOn w:val="Normal"/>
    <w:next w:val="Normal"/>
    <w:link w:val="Titre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re7">
    <w:name w:val="heading 7"/>
    <w:basedOn w:val="Normal"/>
    <w:next w:val="Normal"/>
    <w:link w:val="Titre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re8">
    <w:name w:val="heading 8"/>
    <w:basedOn w:val="Normal"/>
    <w:next w:val="Normal"/>
    <w:link w:val="Titre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Titre9">
    <w:name w:val="heading 9"/>
    <w:basedOn w:val="Normal"/>
    <w:next w:val="Normal"/>
    <w:link w:val="Titre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E618BF"/>
    <w:pPr>
      <w:tabs>
        <w:tab w:val="center" w:pos="4680"/>
        <w:tab w:val="right" w:pos="9360"/>
      </w:tabs>
      <w:spacing w:after="0" w:line="240" w:lineRule="auto"/>
    </w:pPr>
  </w:style>
  <w:style w:type="character" w:customStyle="1" w:styleId="En-tteCar">
    <w:name w:val="En-tête Car"/>
    <w:basedOn w:val="Policepardfaut"/>
    <w:link w:val="En-tte"/>
    <w:uiPriority w:val="99"/>
    <w:rsid w:val="00E618BF"/>
  </w:style>
  <w:style w:type="paragraph" w:styleId="Pieddepage">
    <w:name w:val="footer"/>
    <w:basedOn w:val="Normal"/>
    <w:link w:val="PieddepageCar"/>
    <w:uiPriority w:val="99"/>
    <w:unhideWhenUsed/>
    <w:rsid w:val="00E618BF"/>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E618BF"/>
  </w:style>
  <w:style w:type="paragraph" w:styleId="Sansinterligne">
    <w:name w:val="No Spacing"/>
    <w:uiPriority w:val="1"/>
    <w:qFormat/>
    <w:rsid w:val="00FC693F"/>
    <w:pPr>
      <w:spacing w:after="0" w:line="240" w:lineRule="auto"/>
    </w:pPr>
  </w:style>
  <w:style w:type="character" w:customStyle="1" w:styleId="Titre1Car">
    <w:name w:val="Titre 1 Car"/>
    <w:basedOn w:val="Policepardfaut"/>
    <w:link w:val="Titre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re2Car">
    <w:name w:val="Titre 2 Car"/>
    <w:basedOn w:val="Policepardfaut"/>
    <w:link w:val="Titre2"/>
    <w:uiPriority w:val="9"/>
    <w:rsid w:val="00FC693F"/>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rsid w:val="00FC693F"/>
    <w:rPr>
      <w:rFonts w:asciiTheme="majorHAnsi" w:eastAsiaTheme="majorEastAsia" w:hAnsiTheme="majorHAnsi" w:cstheme="majorBidi"/>
      <w:b/>
      <w:bCs/>
      <w:color w:val="4F81BD" w:themeColor="accent1"/>
    </w:rPr>
  </w:style>
  <w:style w:type="paragraph" w:styleId="Titre">
    <w:name w:val="Title"/>
    <w:basedOn w:val="Normal"/>
    <w:next w:val="Normal"/>
    <w:link w:val="TitreC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b/>
      <w:color w:val="17365D" w:themeColor="text2" w:themeShade="BF"/>
      <w:spacing w:val="5"/>
      <w:kern w:val="28"/>
      <w:sz w:val="30"/>
      <w:szCs w:val="52"/>
    </w:rPr>
  </w:style>
  <w:style w:type="character" w:customStyle="1" w:styleId="TitreCar">
    <w:name w:val="Titre Car"/>
    <w:basedOn w:val="Policepardfaut"/>
    <w:link w:val="Titr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us-titre">
    <w:name w:val="Subtitle"/>
    <w:basedOn w:val="Normal"/>
    <w:next w:val="Normal"/>
    <w:link w:val="Sous-titre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us-titreCar">
    <w:name w:val="Sous-titre Car"/>
    <w:basedOn w:val="Policepardfaut"/>
    <w:link w:val="Sous-titre"/>
    <w:uiPriority w:val="11"/>
    <w:rsid w:val="00FC693F"/>
    <w:rPr>
      <w:rFonts w:asciiTheme="majorHAnsi" w:eastAsiaTheme="majorEastAsia" w:hAnsiTheme="majorHAnsi" w:cstheme="majorBidi"/>
      <w:i/>
      <w:iCs/>
      <w:color w:val="4F81BD" w:themeColor="accent1"/>
      <w:spacing w:val="15"/>
      <w:sz w:val="24"/>
      <w:szCs w:val="24"/>
    </w:rPr>
  </w:style>
  <w:style w:type="paragraph" w:styleId="Paragraphedeliste">
    <w:name w:val="List Paragraph"/>
    <w:basedOn w:val="Normal"/>
    <w:uiPriority w:val="34"/>
    <w:qFormat/>
    <w:rsid w:val="00FC693F"/>
    <w:pPr>
      <w:ind w:left="720"/>
      <w:contextualSpacing/>
    </w:pPr>
  </w:style>
  <w:style w:type="paragraph" w:styleId="Corpsdetexte">
    <w:name w:val="Body Text"/>
    <w:basedOn w:val="Normal"/>
    <w:link w:val="CorpsdetexteCar"/>
    <w:uiPriority w:val="99"/>
    <w:unhideWhenUsed/>
    <w:rsid w:val="00AA1D8D"/>
    <w:pPr>
      <w:spacing w:after="120"/>
    </w:pPr>
  </w:style>
  <w:style w:type="character" w:customStyle="1" w:styleId="CorpsdetexteCar">
    <w:name w:val="Corps de texte Car"/>
    <w:basedOn w:val="Policepardfaut"/>
    <w:link w:val="Corpsdetexte"/>
    <w:uiPriority w:val="99"/>
    <w:rsid w:val="00AA1D8D"/>
  </w:style>
  <w:style w:type="paragraph" w:styleId="Corpsdetexte2">
    <w:name w:val="Body Text 2"/>
    <w:basedOn w:val="Normal"/>
    <w:link w:val="Corpsdetexte2Car"/>
    <w:uiPriority w:val="99"/>
    <w:unhideWhenUsed/>
    <w:rsid w:val="00AA1D8D"/>
    <w:pPr>
      <w:spacing w:after="120" w:line="480" w:lineRule="auto"/>
    </w:pPr>
  </w:style>
  <w:style w:type="character" w:customStyle="1" w:styleId="Corpsdetexte2Car">
    <w:name w:val="Corps de texte 2 Car"/>
    <w:basedOn w:val="Policepardfaut"/>
    <w:link w:val="Corpsdetexte2"/>
    <w:uiPriority w:val="99"/>
    <w:rsid w:val="00AA1D8D"/>
  </w:style>
  <w:style w:type="paragraph" w:styleId="Corpsdetexte3">
    <w:name w:val="Body Text 3"/>
    <w:basedOn w:val="Normal"/>
    <w:link w:val="Corpsdetexte3Car"/>
    <w:uiPriority w:val="99"/>
    <w:unhideWhenUsed/>
    <w:rsid w:val="00AA1D8D"/>
    <w:pPr>
      <w:spacing w:after="120"/>
    </w:pPr>
    <w:rPr>
      <w:sz w:val="16"/>
      <w:szCs w:val="16"/>
    </w:rPr>
  </w:style>
  <w:style w:type="character" w:customStyle="1" w:styleId="Corpsdetexte3Car">
    <w:name w:val="Corps de texte 3 Car"/>
    <w:basedOn w:val="Policepardfaut"/>
    <w:link w:val="Corpsdetexte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puces">
    <w:name w:val="List Bullet"/>
    <w:basedOn w:val="Normal"/>
    <w:uiPriority w:val="99"/>
    <w:unhideWhenUsed/>
    <w:rsid w:val="00326F90"/>
    <w:pPr>
      <w:numPr>
        <w:numId w:val="1"/>
      </w:numPr>
      <w:contextualSpacing/>
    </w:pPr>
  </w:style>
  <w:style w:type="paragraph" w:styleId="Listepuces2">
    <w:name w:val="List Bullet 2"/>
    <w:basedOn w:val="Normal"/>
    <w:uiPriority w:val="99"/>
    <w:unhideWhenUsed/>
    <w:rsid w:val="00326F90"/>
    <w:pPr>
      <w:numPr>
        <w:numId w:val="2"/>
      </w:numPr>
      <w:contextualSpacing/>
    </w:pPr>
  </w:style>
  <w:style w:type="paragraph" w:styleId="Listepuces3">
    <w:name w:val="List Bullet 3"/>
    <w:basedOn w:val="Normal"/>
    <w:uiPriority w:val="99"/>
    <w:unhideWhenUsed/>
    <w:rsid w:val="00326F90"/>
    <w:pPr>
      <w:numPr>
        <w:numId w:val="3"/>
      </w:numPr>
      <w:contextualSpacing/>
    </w:pPr>
  </w:style>
  <w:style w:type="paragraph" w:styleId="Listenumros">
    <w:name w:val="List Number"/>
    <w:basedOn w:val="Normal"/>
    <w:uiPriority w:val="99"/>
    <w:unhideWhenUsed/>
    <w:rsid w:val="00326F90"/>
    <w:pPr>
      <w:numPr>
        <w:numId w:val="5"/>
      </w:numPr>
      <w:contextualSpacing/>
    </w:pPr>
  </w:style>
  <w:style w:type="paragraph" w:styleId="Listenumros2">
    <w:name w:val="List Number 2"/>
    <w:basedOn w:val="Normal"/>
    <w:uiPriority w:val="99"/>
    <w:unhideWhenUsed/>
    <w:rsid w:val="0029639D"/>
    <w:pPr>
      <w:numPr>
        <w:numId w:val="6"/>
      </w:numPr>
      <w:contextualSpacing/>
    </w:pPr>
  </w:style>
  <w:style w:type="paragraph" w:styleId="Listenumros3">
    <w:name w:val="List Number 3"/>
    <w:basedOn w:val="Normal"/>
    <w:uiPriority w:val="99"/>
    <w:unhideWhenUsed/>
    <w:rsid w:val="0029639D"/>
    <w:pPr>
      <w:numPr>
        <w:numId w:val="7"/>
      </w:numPr>
      <w:contextualSpacing/>
    </w:pPr>
  </w:style>
  <w:style w:type="paragraph" w:styleId="Listecontinue">
    <w:name w:val="List Continue"/>
    <w:basedOn w:val="Normal"/>
    <w:uiPriority w:val="99"/>
    <w:unhideWhenUsed/>
    <w:rsid w:val="0029639D"/>
    <w:pPr>
      <w:spacing w:after="120"/>
      <w:ind w:left="360"/>
      <w:contextualSpacing/>
    </w:pPr>
  </w:style>
  <w:style w:type="paragraph" w:styleId="Listecontinue2">
    <w:name w:val="List Continue 2"/>
    <w:basedOn w:val="Normal"/>
    <w:uiPriority w:val="99"/>
    <w:unhideWhenUsed/>
    <w:rsid w:val="0029639D"/>
    <w:pPr>
      <w:spacing w:after="120"/>
      <w:ind w:left="720"/>
      <w:contextualSpacing/>
    </w:pPr>
  </w:style>
  <w:style w:type="paragraph" w:styleId="Listecontinue3">
    <w:name w:val="List Continue 3"/>
    <w:basedOn w:val="Normal"/>
    <w:uiPriority w:val="99"/>
    <w:unhideWhenUsed/>
    <w:rsid w:val="0029639D"/>
    <w:pPr>
      <w:spacing w:after="120"/>
      <w:ind w:left="1080"/>
      <w:contextualSpacing/>
    </w:pPr>
  </w:style>
  <w:style w:type="paragraph" w:styleId="Textedemacro">
    <w:name w:val="macro"/>
    <w:link w:val="Textede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edemacroCar">
    <w:name w:val="Texte de macro Car"/>
    <w:basedOn w:val="Policepardfaut"/>
    <w:link w:val="Textedemacro"/>
    <w:uiPriority w:val="99"/>
    <w:rsid w:val="0029639D"/>
    <w:rPr>
      <w:rFonts w:ascii="Courier" w:hAnsi="Courier"/>
      <w:sz w:val="20"/>
      <w:szCs w:val="20"/>
    </w:rPr>
  </w:style>
  <w:style w:type="paragraph" w:styleId="Citation">
    <w:name w:val="Quote"/>
    <w:basedOn w:val="Normal"/>
    <w:next w:val="Normal"/>
    <w:link w:val="CitationCar"/>
    <w:uiPriority w:val="29"/>
    <w:qFormat/>
    <w:rsid w:val="00FC693F"/>
    <w:rPr>
      <w:i/>
      <w:iCs/>
      <w:color w:val="000000" w:themeColor="text1"/>
    </w:rPr>
  </w:style>
  <w:style w:type="character" w:customStyle="1" w:styleId="CitationCar">
    <w:name w:val="Citation Car"/>
    <w:basedOn w:val="Policepardfaut"/>
    <w:link w:val="Citation"/>
    <w:uiPriority w:val="29"/>
    <w:rsid w:val="00FC693F"/>
    <w:rPr>
      <w:i/>
      <w:iCs/>
      <w:color w:val="000000" w:themeColor="text1"/>
    </w:rPr>
  </w:style>
  <w:style w:type="character" w:customStyle="1" w:styleId="Titre4Car">
    <w:name w:val="Titre 4 Car"/>
    <w:basedOn w:val="Policepardfaut"/>
    <w:link w:val="Titre4"/>
    <w:uiPriority w:val="9"/>
    <w:semiHidden/>
    <w:rsid w:val="00FC693F"/>
    <w:rPr>
      <w:rFonts w:asciiTheme="majorHAnsi" w:eastAsiaTheme="majorEastAsia" w:hAnsiTheme="majorHAnsi" w:cstheme="majorBidi"/>
      <w:b/>
      <w:bCs/>
      <w:i/>
      <w:iCs/>
      <w:color w:val="4F81BD" w:themeColor="accent1"/>
    </w:rPr>
  </w:style>
  <w:style w:type="character" w:customStyle="1" w:styleId="Titre5Car">
    <w:name w:val="Titre 5 Car"/>
    <w:basedOn w:val="Policepardfaut"/>
    <w:link w:val="Titre5"/>
    <w:uiPriority w:val="9"/>
    <w:semiHidden/>
    <w:rsid w:val="00FC693F"/>
    <w:rPr>
      <w:rFonts w:asciiTheme="majorHAnsi" w:eastAsiaTheme="majorEastAsia" w:hAnsiTheme="majorHAnsi" w:cstheme="majorBidi"/>
      <w:color w:val="243F60" w:themeColor="accent1" w:themeShade="7F"/>
    </w:rPr>
  </w:style>
  <w:style w:type="character" w:customStyle="1" w:styleId="Titre6Car">
    <w:name w:val="Titre 6 Car"/>
    <w:basedOn w:val="Policepardfaut"/>
    <w:link w:val="Titre6"/>
    <w:uiPriority w:val="9"/>
    <w:semiHidden/>
    <w:rsid w:val="00FC693F"/>
    <w:rPr>
      <w:rFonts w:asciiTheme="majorHAnsi" w:eastAsiaTheme="majorEastAsia" w:hAnsiTheme="majorHAnsi" w:cstheme="majorBidi"/>
      <w:i/>
      <w:iCs/>
      <w:color w:val="243F60" w:themeColor="accent1" w:themeShade="7F"/>
    </w:rPr>
  </w:style>
  <w:style w:type="character" w:customStyle="1" w:styleId="Titre7Car">
    <w:name w:val="Titre 7 Car"/>
    <w:basedOn w:val="Policepardfaut"/>
    <w:link w:val="Titre7"/>
    <w:uiPriority w:val="9"/>
    <w:semiHidden/>
    <w:rsid w:val="00FC693F"/>
    <w:rPr>
      <w:rFonts w:asciiTheme="majorHAnsi" w:eastAsiaTheme="majorEastAsia" w:hAnsiTheme="majorHAnsi" w:cstheme="majorBidi"/>
      <w:i/>
      <w:iCs/>
      <w:color w:val="404040" w:themeColor="text1" w:themeTint="BF"/>
    </w:rPr>
  </w:style>
  <w:style w:type="character" w:customStyle="1" w:styleId="Titre8Car">
    <w:name w:val="Titre 8 Car"/>
    <w:basedOn w:val="Policepardfaut"/>
    <w:link w:val="Titre8"/>
    <w:uiPriority w:val="9"/>
    <w:semiHidden/>
    <w:rsid w:val="00FC693F"/>
    <w:rPr>
      <w:rFonts w:asciiTheme="majorHAnsi" w:eastAsiaTheme="majorEastAsia" w:hAnsiTheme="majorHAnsi" w:cstheme="majorBidi"/>
      <w:color w:val="4F81BD" w:themeColor="accent1"/>
      <w:sz w:val="20"/>
      <w:szCs w:val="20"/>
    </w:rPr>
  </w:style>
  <w:style w:type="character" w:customStyle="1" w:styleId="Titre9Car">
    <w:name w:val="Titre 9 Car"/>
    <w:basedOn w:val="Policepardfaut"/>
    <w:link w:val="Titre9"/>
    <w:uiPriority w:val="9"/>
    <w:semiHidden/>
    <w:rsid w:val="00FC693F"/>
    <w:rPr>
      <w:rFonts w:asciiTheme="majorHAnsi" w:eastAsiaTheme="majorEastAsia" w:hAnsiTheme="majorHAnsi" w:cstheme="majorBidi"/>
      <w:i/>
      <w:iCs/>
      <w:color w:val="404040" w:themeColor="text1" w:themeTint="BF"/>
      <w:sz w:val="20"/>
      <w:szCs w:val="20"/>
    </w:rPr>
  </w:style>
  <w:style w:type="paragraph" w:styleId="Lgende">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lev">
    <w:name w:val="Strong"/>
    <w:basedOn w:val="Policepardfaut"/>
    <w:uiPriority w:val="22"/>
    <w:qFormat/>
    <w:rsid w:val="00FC693F"/>
    <w:rPr>
      <w:b/>
      <w:bCs/>
    </w:rPr>
  </w:style>
  <w:style w:type="character" w:styleId="Accentuation">
    <w:name w:val="Emphasis"/>
    <w:basedOn w:val="Policepardfaut"/>
    <w:uiPriority w:val="20"/>
    <w:qFormat/>
    <w:rsid w:val="00FC693F"/>
    <w:rPr>
      <w:i/>
      <w:iCs/>
    </w:rPr>
  </w:style>
  <w:style w:type="paragraph" w:styleId="Citationintense">
    <w:name w:val="Intense Quote"/>
    <w:basedOn w:val="Normal"/>
    <w:next w:val="Normal"/>
    <w:link w:val="Citationintense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onintenseCar">
    <w:name w:val="Citation intense Car"/>
    <w:basedOn w:val="Policepardfaut"/>
    <w:link w:val="Citationintense"/>
    <w:uiPriority w:val="30"/>
    <w:rsid w:val="00FC693F"/>
    <w:rPr>
      <w:b/>
      <w:bCs/>
      <w:i/>
      <w:iCs/>
      <w:color w:val="4F81BD" w:themeColor="accent1"/>
    </w:rPr>
  </w:style>
  <w:style w:type="character" w:styleId="Emphaseple">
    <w:name w:val="Subtle Emphasis"/>
    <w:basedOn w:val="Policepardfaut"/>
    <w:uiPriority w:val="19"/>
    <w:qFormat/>
    <w:rsid w:val="00FC693F"/>
    <w:rPr>
      <w:i/>
      <w:iCs/>
      <w:color w:val="808080" w:themeColor="text1" w:themeTint="7F"/>
    </w:rPr>
  </w:style>
  <w:style w:type="character" w:styleId="Emphaseintense">
    <w:name w:val="Intense Emphasis"/>
    <w:basedOn w:val="Policepardfaut"/>
    <w:uiPriority w:val="21"/>
    <w:qFormat/>
    <w:rsid w:val="00FC693F"/>
    <w:rPr>
      <w:b/>
      <w:bCs/>
      <w:i/>
      <w:iCs/>
      <w:color w:val="4F81BD" w:themeColor="accent1"/>
    </w:rPr>
  </w:style>
  <w:style w:type="character" w:styleId="Rfrenceple">
    <w:name w:val="Subtle Reference"/>
    <w:basedOn w:val="Policepardfaut"/>
    <w:uiPriority w:val="31"/>
    <w:qFormat/>
    <w:rsid w:val="00FC693F"/>
    <w:rPr>
      <w:smallCaps/>
      <w:color w:val="C0504D" w:themeColor="accent2"/>
      <w:u w:val="single"/>
    </w:rPr>
  </w:style>
  <w:style w:type="character" w:styleId="Rfrenceintense">
    <w:name w:val="Intense Reference"/>
    <w:basedOn w:val="Policepardfaut"/>
    <w:uiPriority w:val="32"/>
    <w:qFormat/>
    <w:rsid w:val="00FC693F"/>
    <w:rPr>
      <w:b/>
      <w:bCs/>
      <w:smallCaps/>
      <w:color w:val="C0504D" w:themeColor="accent2"/>
      <w:spacing w:val="5"/>
      <w:u w:val="single"/>
    </w:rPr>
  </w:style>
  <w:style w:type="character" w:styleId="Titredulivre">
    <w:name w:val="Book Title"/>
    <w:basedOn w:val="Policepardfaut"/>
    <w:uiPriority w:val="33"/>
    <w:qFormat/>
    <w:rsid w:val="00FC693F"/>
    <w:rPr>
      <w:b/>
      <w:bCs/>
      <w:smallCaps/>
      <w:spacing w:val="5"/>
    </w:rPr>
  </w:style>
  <w:style w:type="paragraph" w:styleId="En-ttedetabledesmatires">
    <w:name w:val="TOC Heading"/>
    <w:basedOn w:val="Titre1"/>
    <w:next w:val="Normal"/>
    <w:uiPriority w:val="39"/>
    <w:semiHidden/>
    <w:unhideWhenUsed/>
    <w:qFormat/>
    <w:rsid w:val="00FC693F"/>
    <w:pPr>
      <w:outlineLvl w:val="9"/>
    </w:pPr>
  </w:style>
  <w:style w:type="table" w:styleId="Grilledutableau">
    <w:name w:val="Table Grid"/>
    <w:basedOn w:val="Tableau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mbrageclair">
    <w:name w:val="Light Shading"/>
    <w:basedOn w:val="Tableau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Trameclaire-Accent2">
    <w:name w:val="Light Shading Accent 2"/>
    <w:basedOn w:val="Tableau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Trameclaire-Accent3">
    <w:name w:val="Light Shading Accent 3"/>
    <w:basedOn w:val="Tableau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Trameclaire-Accent4">
    <w:name w:val="Light Shading Accent 4"/>
    <w:basedOn w:val="Tableau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Trameclaire-Accent5">
    <w:name w:val="Light Shading Accent 5"/>
    <w:basedOn w:val="Tableau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Trameclaire-Accent6">
    <w:name w:val="Light Shading Accent 6"/>
    <w:basedOn w:val="Tableau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eclaire">
    <w:name w:val="Light List"/>
    <w:basedOn w:val="Tableau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eclaire-Accent2">
    <w:name w:val="Light List Accent 2"/>
    <w:basedOn w:val="Tableau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eclaire-Accent3">
    <w:name w:val="Light List Accent 3"/>
    <w:basedOn w:val="Tableau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eclaire-Accent4">
    <w:name w:val="Light List Accent 4"/>
    <w:basedOn w:val="Tableau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eclaire-Accent5">
    <w:name w:val="Light List Accent 5"/>
    <w:basedOn w:val="Tableau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eclaire-Accent6">
    <w:name w:val="Light List Accent 6"/>
    <w:basedOn w:val="Tableau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leclaire">
    <w:name w:val="Light Grid"/>
    <w:basedOn w:val="Tableau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leclaire-Accent2">
    <w:name w:val="Light Grid Accent 2"/>
    <w:basedOn w:val="Tableau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leclaire-Accent3">
    <w:name w:val="Light Grid Accent 3"/>
    <w:basedOn w:val="Tableau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leclaire-Accent4">
    <w:name w:val="Light Grid Accent 4"/>
    <w:basedOn w:val="Tableau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leclaire-Accent5">
    <w:name w:val="Light Grid Accent 5"/>
    <w:basedOn w:val="Tableau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leclaire-Accent6">
    <w:name w:val="Light Grid Accent 6"/>
    <w:basedOn w:val="Tableau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Tramemoyenne1">
    <w:name w:val="Medium Shading 1"/>
    <w:basedOn w:val="Tableau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emoyenne1-Accent2">
    <w:name w:val="Medium List 1 Accent 2"/>
    <w:basedOn w:val="Tableau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emoyenne1-Accent3">
    <w:name w:val="Medium List 1 Accent 3"/>
    <w:basedOn w:val="Tableau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emoyenne1-Accent4">
    <w:name w:val="Medium List 1 Accent 4"/>
    <w:basedOn w:val="Tableau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emoyenne1-Accent5">
    <w:name w:val="Medium List 1 Accent 5"/>
    <w:basedOn w:val="Tableau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emoyenne1-Accent6">
    <w:name w:val="Medium List 1 Accent 6"/>
    <w:basedOn w:val="Tableau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emoyenne2">
    <w:name w:val="Medium Lis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moyenne1-Accent2">
    <w:name w:val="Medium Grid 1 Accent 2"/>
    <w:basedOn w:val="Tableau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moyenne1-Accent3">
    <w:name w:val="Medium Grid 1 Accent 3"/>
    <w:basedOn w:val="Tableau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moyenne1-Accent4">
    <w:name w:val="Medium Grid 1 Accent 4"/>
    <w:basedOn w:val="Tableau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moyenne1-Accent5">
    <w:name w:val="Medium Grid 1 Accent 5"/>
    <w:basedOn w:val="Tableau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moyenne1-Accent6">
    <w:name w:val="Medium Grid 1 Accent 6"/>
    <w:basedOn w:val="Tableau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lemoyenne2">
    <w:name w:val="Medium Grid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lemoyenne3-Accent2">
    <w:name w:val="Medium Grid 3 Accent 2"/>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lemoyenne3-Accent3">
    <w:name w:val="Medium Grid 3 Accent 3"/>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lemoyenne3-Accent4">
    <w:name w:val="Medium Grid 3 Accent 4"/>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lemoyenne3-Accent5">
    <w:name w:val="Medium Grid 3 Accent 5"/>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lemoyenne3-Accent6">
    <w:name w:val="Medium Grid 3 Accent 6"/>
    <w:basedOn w:val="Tableau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efonce">
    <w:name w:val="Dark List"/>
    <w:basedOn w:val="Tableau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efonce-Accent2">
    <w:name w:val="Dark List Accent 2"/>
    <w:basedOn w:val="Tableau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efonce-Accent3">
    <w:name w:val="Dark List Accent 3"/>
    <w:basedOn w:val="Tableau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efonce-Accent4">
    <w:name w:val="Dark List Accent 4"/>
    <w:basedOn w:val="Tableau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efonce-Accent5">
    <w:name w:val="Dark List Accent 5"/>
    <w:basedOn w:val="Tableau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efonce-Accent6">
    <w:name w:val="Dark List Accent 6"/>
    <w:basedOn w:val="Tableau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Tramecouleur">
    <w:name w:val="Colorful Shading"/>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Tramecouleur-Accent4">
    <w:name w:val="Colorful Shading Accent 4"/>
    <w:basedOn w:val="Tableau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ecouleur-Accent2">
    <w:name w:val="Colorful List Accent 2"/>
    <w:basedOn w:val="Tableau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ecouleur-Accent3">
    <w:name w:val="Colorful List Accent 3"/>
    <w:basedOn w:val="Tableau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ecouleur-Accent4">
    <w:name w:val="Colorful List Accent 4"/>
    <w:basedOn w:val="Tableau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ecouleur-Accent5">
    <w:name w:val="Colorful List Accent 5"/>
    <w:basedOn w:val="Tableau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ecouleur-Accent6">
    <w:name w:val="Colorful List Accent 6"/>
    <w:basedOn w:val="Tableau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lecouleur">
    <w:name w:val="Colorful Grid"/>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lecouleur-Accent2">
    <w:name w:val="Colorful Grid Accent 2"/>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lecouleur-Accent3">
    <w:name w:val="Colorful Grid Accent 3"/>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lecouleur-Accent4">
    <w:name w:val="Colorful Grid Accent 4"/>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lecouleur-Accent5">
    <w:name w:val="Colorful Grid Accent 5"/>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lecouleur-Accent6">
    <w:name w:val="Colorful Grid Accent 6"/>
    <w:basedOn w:val="Tableau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4CB492-F5CC-452A-950D-05C1554BE8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5330</Words>
  <Characters>29319</Characters>
  <Application>Microsoft Office Word</Application>
  <DocSecurity>0</DocSecurity>
  <Lines>244</Lines>
  <Paragraphs>69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Supplementary Material 1. Short User Guide for SegMed 3.2.3</vt:lpstr>
      <vt:lpstr/>
    </vt:vector>
  </TitlesOfParts>
  <Manager/>
  <Company/>
  <LinksUpToDate>false</LinksUpToDate>
  <CharactersWithSpaces>34580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Supplementary Material 1. Short User Guide for SegMed 3.2.3</dc:title>
  <dc:subject>SegMed 3.2.3 user guide</dc:subject>
  <dc:creator>Pierrick Nègre</dc:creator>
  <cp:keywords/>
  <dc:description>generated by python-docx</dc:description>
  <cp:lastModifiedBy>Pierrick NEGRE</cp:lastModifiedBy>
  <cp:revision>3</cp:revision>
  <dcterms:created xsi:type="dcterms:W3CDTF">2026-10-09T12:55:00Z</dcterms:created>
  <dcterms:modified xsi:type="dcterms:W3CDTF">2026-10-09T12:57:00Z</dcterms:modified>
  <cp:category/>
</cp:coreProperties>
</file>