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56DC8" w14:textId="77777777" w:rsidR="00037981" w:rsidRDefault="00000000">
      <w:pPr>
        <w:pStyle w:val="1"/>
        <w:spacing w:before="240" w:after="120"/>
      </w:pPr>
      <w:r>
        <w:rPr>
          <w:rFonts w:ascii="Times New Roman" w:hAnsi="Times New Roman"/>
          <w:color w:val="000000"/>
        </w:rPr>
        <w:t>Supplementary Information</w:t>
      </w:r>
    </w:p>
    <w:p w14:paraId="7F0277F4" w14:textId="77777777" w:rsidR="00037981" w:rsidRDefault="00000000">
      <w:pPr>
        <w:pStyle w:val="21"/>
        <w:spacing w:before="240" w:after="120"/>
      </w:pPr>
      <w:r>
        <w:rPr>
          <w:rFonts w:ascii="Times New Roman" w:hAnsi="Times New Roman"/>
          <w:color w:val="000000"/>
        </w:rPr>
        <w:t>Contents</w:t>
      </w:r>
    </w:p>
    <w:p w14:paraId="1CC0BFB5" w14:textId="77777777" w:rsidR="00037981" w:rsidRDefault="00000000">
      <w:pPr>
        <w:pStyle w:val="a"/>
      </w:pPr>
      <w:r>
        <w:t>Supplementary Note 1. Pre-registration of the replication</w:t>
      </w:r>
    </w:p>
    <w:p w14:paraId="2987442B" w14:textId="77777777" w:rsidR="00037981" w:rsidRDefault="00000000">
      <w:pPr>
        <w:pStyle w:val="a"/>
      </w:pPr>
      <w:r>
        <w:t>Supplementary Note 2. Pre-specification of the gene-level analysis</w:t>
      </w:r>
    </w:p>
    <w:p w14:paraId="454EEF0D" w14:textId="77777777" w:rsidR="00037981" w:rsidRDefault="00000000">
      <w:pPr>
        <w:pStyle w:val="a"/>
      </w:pPr>
      <w:r>
        <w:t>Supplementary Note 3. Pre-specification of the repeated-measures analysis</w:t>
      </w:r>
    </w:p>
    <w:p w14:paraId="00359FDE" w14:textId="77777777" w:rsidR="00037981" w:rsidRDefault="00000000">
      <w:pPr>
        <w:pStyle w:val="a"/>
      </w:pPr>
      <w:r>
        <w:t>Supplementary Note 4. Pre-specification of the murine target comparison</w:t>
      </w:r>
    </w:p>
    <w:p w14:paraId="2442A878" w14:textId="77777777" w:rsidR="00037981" w:rsidRDefault="00000000">
      <w:pPr>
        <w:pStyle w:val="a"/>
      </w:pPr>
      <w:r>
        <w:t>Supplementary Note 5. Extended methods: bacterial SPT quantification</w:t>
      </w:r>
    </w:p>
    <w:p w14:paraId="2C45CC81" w14:textId="77777777" w:rsidR="00037981" w:rsidRDefault="00000000">
      <w:pPr>
        <w:pStyle w:val="a"/>
      </w:pPr>
      <w:r>
        <w:t>Supplementary Note 6. Full result: bacterial SPT quantification</w:t>
      </w:r>
    </w:p>
    <w:p w14:paraId="0CC3289D" w14:textId="77777777" w:rsidR="00037981" w:rsidRDefault="00000000">
      <w:pPr>
        <w:pStyle w:val="a"/>
      </w:pPr>
      <w:r>
        <w:t>Supplementary Note 7. Full result: pre-registered replication</w:t>
      </w:r>
    </w:p>
    <w:p w14:paraId="35F9C7E8" w14:textId="77777777" w:rsidR="00037981" w:rsidRDefault="00000000">
      <w:pPr>
        <w:pStyle w:val="a"/>
      </w:pPr>
      <w:r>
        <w:t>Supplementary Note 8. Replication validity: positive control and detectability</w:t>
      </w:r>
    </w:p>
    <w:p w14:paraId="4A76E3F3" w14:textId="77777777" w:rsidR="00037981" w:rsidRDefault="00000000">
      <w:pPr>
        <w:pStyle w:val="a"/>
      </w:pPr>
      <w:r>
        <w:t>Supplementary Note 9. Exploratory component analyses</w:t>
      </w:r>
    </w:p>
    <w:p w14:paraId="4E13C4DB" w14:textId="77777777" w:rsidR="00037981" w:rsidRDefault="00000000">
      <w:pPr>
        <w:pStyle w:val="a"/>
      </w:pPr>
      <w:r>
        <w:t>Supplementary Note 10. Repeated-measures and within-participant analyses</w:t>
      </w:r>
    </w:p>
    <w:p w14:paraId="6773EEC1" w14:textId="77777777" w:rsidR="00037981" w:rsidRDefault="00000000">
      <w:pPr>
        <w:pStyle w:val="a"/>
      </w:pPr>
      <w:r>
        <w:t>Supplementary Note 11. Murine target comparison: B4galt5 versus B4galt6</w:t>
      </w:r>
    </w:p>
    <w:p w14:paraId="659B6336" w14:textId="77777777" w:rsidR="00037981" w:rsidRDefault="00000000">
      <w:pPr>
        <w:pStyle w:val="a"/>
      </w:pPr>
      <w:r>
        <w:t>Supplementary Note 12. Novelty assessment and literature search</w:t>
      </w:r>
    </w:p>
    <w:p w14:paraId="578CFDF2" w14:textId="77777777" w:rsidR="00BF3F7A" w:rsidRDefault="00BF3F7A">
      <w:pPr>
        <w:jc w:val="both"/>
        <w:rPr>
          <w:rFonts w:eastAsia="맑은 고딕"/>
          <w:b/>
          <w:lang w:eastAsia="ko-KR"/>
        </w:rPr>
      </w:pPr>
    </w:p>
    <w:p w14:paraId="6F268228" w14:textId="5F18DAC1" w:rsidR="00037981" w:rsidRDefault="00000000">
      <w:pPr>
        <w:jc w:val="both"/>
      </w:pPr>
      <w:r>
        <w:rPr>
          <w:b/>
        </w:rPr>
        <w:t>Supplementary Data files</w:t>
      </w:r>
      <w:r>
        <w:t xml:space="preserve"> accompany this document separately as </w:t>
      </w:r>
      <w:r>
        <w:rPr>
          <w:rFonts w:ascii="Consolas" w:hAnsi="Consolas"/>
          <w:sz w:val="18"/>
        </w:rPr>
        <w:t>.csv</w:t>
      </w:r>
      <w:r>
        <w:t xml:space="preserve">, </w:t>
      </w:r>
      <w:r>
        <w:rPr>
          <w:rFonts w:ascii="Consolas" w:hAnsi="Consolas"/>
          <w:sz w:val="18"/>
        </w:rPr>
        <w:t>.json</w:t>
      </w:r>
      <w:r>
        <w:t xml:space="preserve"> and </w:t>
      </w:r>
      <w:r>
        <w:rPr>
          <w:rFonts w:ascii="Consolas" w:hAnsi="Consolas"/>
          <w:sz w:val="18"/>
        </w:rPr>
        <w:t>.fasta</w:t>
      </w:r>
      <w:r>
        <w:t xml:space="preserve"> files in </w:t>
      </w:r>
      <w:r>
        <w:rPr>
          <w:rFonts w:ascii="Consolas" w:hAnsi="Consolas"/>
          <w:sz w:val="18"/>
        </w:rPr>
        <w:t>04_supplementary_data/</w:t>
      </w:r>
      <w:r>
        <w:t xml:space="preserve">, and analysis code as </w:t>
      </w:r>
      <w:r>
        <w:rPr>
          <w:rFonts w:ascii="Consolas" w:hAnsi="Consolas"/>
          <w:sz w:val="18"/>
        </w:rPr>
        <w:t>.py</w:t>
      </w:r>
      <w:r>
        <w:t xml:space="preserve"> files in </w:t>
      </w:r>
      <w:r>
        <w:rPr>
          <w:rFonts w:ascii="Consolas" w:hAnsi="Consolas"/>
          <w:sz w:val="18"/>
        </w:rPr>
        <w:t>05_code/</w:t>
      </w:r>
      <w:r>
        <w:t xml:space="preserve">; both are indexed in </w:t>
      </w:r>
      <w:r>
        <w:rPr>
          <w:rFonts w:ascii="Consolas" w:hAnsi="Consolas"/>
          <w:sz w:val="18"/>
        </w:rPr>
        <w:t>SUBMISSION_MANIFEST.json</w:t>
      </w:r>
      <w:r>
        <w:t>.</w:t>
      </w:r>
    </w:p>
    <w:p w14:paraId="335C319E" w14:textId="77777777" w:rsidR="00037981" w:rsidRDefault="00037981">
      <w:pPr>
        <w:pBdr>
          <w:bottom w:val="single" w:sz="6" w:space="0" w:color="999999"/>
        </w:pBdr>
      </w:pPr>
    </w:p>
    <w:p w14:paraId="72E84240" w14:textId="77777777" w:rsidR="00037981" w:rsidRDefault="00000000">
      <w:pPr>
        <w:pStyle w:val="21"/>
        <w:spacing w:before="240" w:after="120"/>
      </w:pPr>
      <w:r>
        <w:rPr>
          <w:rFonts w:ascii="Times New Roman" w:hAnsi="Times New Roman"/>
          <w:color w:val="000000"/>
        </w:rPr>
        <w:t>Supplementary Note 1. Pre-registration of the replication</w:t>
      </w:r>
    </w:p>
    <w:p w14:paraId="534298DF" w14:textId="77777777" w:rsidR="00037981" w:rsidRDefault="00000000">
      <w:pPr>
        <w:jc w:val="both"/>
      </w:pPr>
      <w:r>
        <w:rPr>
          <w:b/>
        </w:rPr>
        <w:t>Status:</w:t>
      </w:r>
      <w:r>
        <w:t xml:space="preserve"> written and frozen </w:t>
      </w:r>
      <w:r>
        <w:rPr>
          <w:b/>
        </w:rPr>
        <w:t>before</w:t>
      </w:r>
      <w:r>
        <w:t xml:space="preserve"> any replication data have been requested, downloaded or opened. No replication-cohort observation has been inspected by any member of the team at the time of writing.</w:t>
      </w:r>
    </w:p>
    <w:p w14:paraId="3CEF7429" w14:textId="77777777" w:rsidR="00037981" w:rsidRDefault="00000000">
      <w:pPr>
        <w:jc w:val="both"/>
      </w:pPr>
      <w:r>
        <w:rPr>
          <w:b/>
        </w:rPr>
        <w:t>Target cohort (primary):</w:t>
      </w:r>
      <w:r>
        <w:t xml:space="preserve"> MetaCardis, </w:t>
      </w:r>
      <w:r>
        <w:rPr>
          <w:b/>
        </w:rPr>
        <w:t>verified paired n = 977</w:t>
      </w:r>
      <w:r>
        <w:t xml:space="preserve"> unique participants with an MGS metagenomic profile and both endpoint components measured (ENA PRJEB37249 / PRJEB38742 / PRJEB41311 / PRJEB46098; per-subject processed omics in Supplementary Tables 9–14 of </w:t>
      </w:r>
      <w:r>
        <w:rPr>
          <w:i/>
        </w:rPr>
        <w:t>Nat Med</w:t>
      </w:r>
      <w:r>
        <w:t xml:space="preserve"> 28:303–314, 2022). </w:t>
      </w:r>
      <w:r>
        <w:rPr>
          <w:b/>
        </w:rPr>
        <w:t>Target cohort (fallback):</w:t>
      </w:r>
      <w:r>
        <w:t xml:space="preserve"> HCHS/SOL (n ≈ 804–814 time-matched, dbGaP + SOL publications committee) — </w:t>
      </w:r>
      <w:r>
        <w:rPr>
          <w:b/>
        </w:rPr>
        <w:t>only after</w:t>
      </w:r>
      <w:r>
        <w:t xml:space="preserve"> its metabolite annotation list is obtained and shown to contain a lactosylceramide species. TwinsUK has been </w:t>
      </w:r>
      <w:r>
        <w:rPr>
          <w:b/>
        </w:rPr>
        <w:t>removed</w:t>
      </w:r>
      <w:r>
        <w:t xml:space="preserve"> </w:t>
      </w:r>
      <w:r>
        <w:lastRenderedPageBreak/>
        <w:t>from the fallback order: its blood panel contains no lactosylceramide of any chain length (verified 2026-09-24).</w:t>
      </w:r>
    </w:p>
    <w:p w14:paraId="494817DE" w14:textId="77777777" w:rsidR="00037981" w:rsidRDefault="00000000">
      <w:pPr>
        <w:jc w:val="both"/>
      </w:pPr>
      <w:r>
        <w:rPr>
          <w:b/>
        </w:rPr>
        <w:t>Fixed seed: 20260924.</w:t>
      </w:r>
      <w:r>
        <w:t xml:space="preserve"> Stated in every script. </w:t>
      </w:r>
      <w:r>
        <w:rPr>
          <w:b/>
        </w:rPr>
        <w:t>Permutations/resamples: 10,000 minimum</w:t>
      </w:r>
      <w:r>
        <w:t xml:space="preserve"> throughout. </w:t>
      </w:r>
      <w:r>
        <w:rPr>
          <w:b/>
        </w:rPr>
        <w:t>The participant is the sampling unit in every resampling procedure</w:t>
      </w:r>
      <w:r>
        <w:t xml:space="preserve"> — no permutation or bootstrap ever resamples taxon–lipid pairs.</w:t>
      </w:r>
    </w:p>
    <w:p w14:paraId="6DC88AB8" w14:textId="77777777" w:rsidR="00037981" w:rsidRDefault="00037981">
      <w:pPr>
        <w:pBdr>
          <w:bottom w:val="single" w:sz="6" w:space="0" w:color="999999"/>
        </w:pBdr>
      </w:pPr>
    </w:p>
    <w:p w14:paraId="417EA456" w14:textId="77777777" w:rsidR="00037981" w:rsidRDefault="00000000">
      <w:pPr>
        <w:pStyle w:val="31"/>
        <w:spacing w:before="240" w:after="120"/>
      </w:pPr>
      <w:r>
        <w:rPr>
          <w:rFonts w:ascii="Times New Roman" w:hAnsi="Times New Roman"/>
          <w:color w:val="000000"/>
        </w:rPr>
        <w:t>0. Gating condition — RESOLVED FOR METACARDIS (2026-09-24)</w:t>
      </w:r>
    </w:p>
    <w:p w14:paraId="32735BDF" w14:textId="77777777" w:rsidR="00037981" w:rsidRDefault="00000000">
      <w:pPr>
        <w:jc w:val="both"/>
      </w:pPr>
      <w:r>
        <w:t>The gate required that both of the following be present in the cohort's released serum/plasma metabolite feature list: a lactosylceramide species annotated d18:1/16:0, and a ceramide species annotated d18:1/16:0.</w:t>
      </w:r>
    </w:p>
    <w:p w14:paraId="0E9851AE" w14:textId="77777777" w:rsidR="00037981" w:rsidRDefault="00000000">
      <w:pPr>
        <w:jc w:val="both"/>
      </w:pPr>
      <w:r>
        <w:rPr>
          <w:b/>
        </w:rPr>
        <w:t>MetaCardis: PASS.</w:t>
      </w:r>
      <w:r>
        <w:t xml:space="preserve"> Supplementary Table 12 of </w:t>
      </w:r>
      <w:r>
        <w:rPr>
          <w:i/>
        </w:rPr>
        <w:t>Nat Med</w:t>
      </w:r>
      <w:r>
        <w:t xml:space="preserve"> 28:303–314 ("Individual log-transformed serum metabolites") contains both, verbatim:</w:t>
      </w:r>
    </w:p>
    <w:tbl>
      <w:tblPr>
        <w:tblStyle w:val="af9"/>
        <w:tblW w:w="0" w:type="auto"/>
        <w:jc w:val="center"/>
        <w:tblLook w:val="04A0" w:firstRow="1" w:lastRow="0" w:firstColumn="1" w:lastColumn="0" w:noHBand="0" w:noVBand="1"/>
      </w:tblPr>
      <w:tblGrid>
        <w:gridCol w:w="2880"/>
        <w:gridCol w:w="2880"/>
        <w:gridCol w:w="2880"/>
      </w:tblGrid>
      <w:tr w:rsidR="00037981" w14:paraId="6C7513F9" w14:textId="77777777">
        <w:trPr>
          <w:jc w:val="center"/>
        </w:trPr>
        <w:tc>
          <w:tcPr>
            <w:tcW w:w="2880" w:type="dxa"/>
          </w:tcPr>
          <w:p w14:paraId="0482479F" w14:textId="77777777" w:rsidR="00037981" w:rsidRDefault="00000000">
            <w:pPr>
              <w:spacing w:after="40" w:line="240" w:lineRule="auto"/>
            </w:pPr>
            <w:r>
              <w:rPr>
                <w:b/>
                <w:sz w:val="18"/>
              </w:rPr>
              <w:t>Endpoint component</w:t>
            </w:r>
          </w:p>
        </w:tc>
        <w:tc>
          <w:tcPr>
            <w:tcW w:w="2880" w:type="dxa"/>
          </w:tcPr>
          <w:p w14:paraId="15025636" w14:textId="77777777" w:rsidR="00037981" w:rsidRDefault="00000000">
            <w:pPr>
              <w:spacing w:after="40" w:line="240" w:lineRule="auto"/>
            </w:pPr>
            <w:r>
              <w:rPr>
                <w:b/>
                <w:sz w:val="18"/>
              </w:rPr>
              <w:t>Exact feature name in the released table</w:t>
            </w:r>
          </w:p>
        </w:tc>
        <w:tc>
          <w:tcPr>
            <w:tcW w:w="2880" w:type="dxa"/>
          </w:tcPr>
          <w:p w14:paraId="15B218FB" w14:textId="77777777" w:rsidR="00037981" w:rsidRDefault="00000000">
            <w:pPr>
              <w:spacing w:after="40" w:line="240" w:lineRule="auto"/>
            </w:pPr>
            <w:r>
              <w:rPr>
                <w:b/>
                <w:sz w:val="18"/>
              </w:rPr>
              <w:t>Column</w:t>
            </w:r>
          </w:p>
        </w:tc>
      </w:tr>
      <w:tr w:rsidR="00037981" w14:paraId="5B21D247" w14:textId="77777777">
        <w:trPr>
          <w:jc w:val="center"/>
        </w:trPr>
        <w:tc>
          <w:tcPr>
            <w:tcW w:w="2880" w:type="dxa"/>
          </w:tcPr>
          <w:p w14:paraId="628C1989" w14:textId="77777777" w:rsidR="00037981" w:rsidRDefault="00000000">
            <w:pPr>
              <w:spacing w:after="40" w:line="240" w:lineRule="auto"/>
            </w:pPr>
            <w:r>
              <w:rPr>
                <w:sz w:val="18"/>
              </w:rPr>
              <w:t xml:space="preserve">numerator, </w:t>
            </w:r>
            <w:r>
              <w:rPr>
                <w:rFonts w:ascii="Consolas" w:hAnsi="Consolas"/>
                <w:sz w:val="18"/>
              </w:rPr>
              <w:t>lcer_16_0</w:t>
            </w:r>
          </w:p>
        </w:tc>
        <w:tc>
          <w:tcPr>
            <w:tcW w:w="2880" w:type="dxa"/>
          </w:tcPr>
          <w:p w14:paraId="33BC9422" w14:textId="77777777" w:rsidR="00037981" w:rsidRDefault="00000000">
            <w:pPr>
              <w:spacing w:after="40" w:line="240" w:lineRule="auto"/>
            </w:pPr>
            <w:r>
              <w:rPr>
                <w:rFonts w:ascii="Consolas" w:hAnsi="Consolas"/>
                <w:sz w:val="18"/>
              </w:rPr>
              <w:t>lactosyl-N-palmitoyl-sphingosine (d18:1/16:0)</w:t>
            </w:r>
          </w:p>
        </w:tc>
        <w:tc>
          <w:tcPr>
            <w:tcW w:w="2880" w:type="dxa"/>
          </w:tcPr>
          <w:p w14:paraId="648B9D63" w14:textId="77777777" w:rsidR="00037981" w:rsidRDefault="00000000">
            <w:pPr>
              <w:spacing w:after="40" w:line="240" w:lineRule="auto"/>
            </w:pPr>
            <w:r>
              <w:rPr>
                <w:sz w:val="18"/>
              </w:rPr>
              <w:t>AHD</w:t>
            </w:r>
          </w:p>
        </w:tc>
      </w:tr>
      <w:tr w:rsidR="00037981" w14:paraId="36951A56" w14:textId="77777777">
        <w:trPr>
          <w:jc w:val="center"/>
        </w:trPr>
        <w:tc>
          <w:tcPr>
            <w:tcW w:w="2880" w:type="dxa"/>
          </w:tcPr>
          <w:p w14:paraId="3B8CDC8A" w14:textId="77777777" w:rsidR="00037981" w:rsidRDefault="00000000">
            <w:pPr>
              <w:spacing w:after="40" w:line="240" w:lineRule="auto"/>
            </w:pPr>
            <w:r>
              <w:rPr>
                <w:sz w:val="18"/>
              </w:rPr>
              <w:t xml:space="preserve">denominator, </w:t>
            </w:r>
            <w:r>
              <w:rPr>
                <w:rFonts w:ascii="Consolas" w:hAnsi="Consolas"/>
                <w:sz w:val="18"/>
              </w:rPr>
              <w:t>cer_16_0</w:t>
            </w:r>
          </w:p>
        </w:tc>
        <w:tc>
          <w:tcPr>
            <w:tcW w:w="2880" w:type="dxa"/>
          </w:tcPr>
          <w:p w14:paraId="25F55F72" w14:textId="77777777" w:rsidR="00037981" w:rsidRDefault="00000000">
            <w:pPr>
              <w:spacing w:after="40" w:line="240" w:lineRule="auto"/>
            </w:pPr>
            <w:r>
              <w:rPr>
                <w:rFonts w:ascii="Consolas" w:hAnsi="Consolas"/>
                <w:sz w:val="18"/>
              </w:rPr>
              <w:t>N-palmitoyl-sphingosine (d18:1/16:0)</w:t>
            </w:r>
          </w:p>
        </w:tc>
        <w:tc>
          <w:tcPr>
            <w:tcW w:w="2880" w:type="dxa"/>
          </w:tcPr>
          <w:p w14:paraId="515B4C90" w14:textId="77777777" w:rsidR="00037981" w:rsidRDefault="00000000">
            <w:pPr>
              <w:spacing w:after="40" w:line="240" w:lineRule="auto"/>
            </w:pPr>
            <w:r>
              <w:rPr>
                <w:sz w:val="18"/>
              </w:rPr>
              <w:t>IW</w:t>
            </w:r>
          </w:p>
        </w:tc>
      </w:tr>
    </w:tbl>
    <w:p w14:paraId="11202FE9" w14:textId="77777777" w:rsidR="00037981" w:rsidRDefault="00037981"/>
    <w:p w14:paraId="1ADAA8E1" w14:textId="77777777" w:rsidR="00037981" w:rsidRDefault="00000000">
      <w:pPr>
        <w:jc w:val="both"/>
      </w:pPr>
      <w:r>
        <w:t xml:space="preserve">Neither name carries the </w:t>
      </w:r>
      <w:r>
        <w:rPr>
          <w:rFonts w:ascii="Consolas" w:hAnsi="Consolas"/>
          <w:sz w:val="18"/>
        </w:rPr>
        <w:t>*</w:t>
      </w:r>
      <w:r>
        <w:t>/</w:t>
      </w:r>
      <w:r>
        <w:rPr>
          <w:rFonts w:ascii="Consolas" w:hAnsi="Consolas"/>
          <w:sz w:val="18"/>
        </w:rPr>
        <w:t>**</w:t>
      </w:r>
      <w:r>
        <w:t xml:space="preserve"> annotation-confidence caveat used elsewhere in the paper. Verified paired n = </w:t>
      </w:r>
      <w:r>
        <w:rPr>
          <w:b/>
        </w:rPr>
        <w:t>977</w:t>
      </w:r>
      <w:r>
        <w:t xml:space="preserve"> unique participants (1,649 of 1,882 rows have both components and an MGS profile; 1,087 unique IDs in the table, with repeated measures).</w:t>
      </w:r>
    </w:p>
    <w:p w14:paraId="518D9229" w14:textId="77777777" w:rsidR="00037981" w:rsidRDefault="00000000">
      <w:pPr>
        <w:jc w:val="both"/>
      </w:pPr>
      <w:r>
        <w:rPr>
          <w:b/>
        </w:rPr>
        <w:t>TwinsUK: FAIL, removed from the fallback order.</w:t>
      </w:r>
      <w:r>
        <w:t xml:space="preserve"> Its blood metabolite dictionary (Supplementary Data 20, 673 metabolites) contains </w:t>
      </w:r>
      <w:r>
        <w:rPr>
          <w:rFonts w:ascii="Consolas" w:hAnsi="Consolas"/>
          <w:sz w:val="18"/>
        </w:rPr>
        <w:t>N-palmitoyl-sphingosine (d18:1/16:0)</w:t>
      </w:r>
      <w:r>
        <w:t xml:space="preserve"> and no lactosylceramide, glucosylceramide or hexosylceramide entry of any chain length. The lactosylceramide in that study is a </w:t>
      </w:r>
      <w:r>
        <w:rPr>
          <w:b/>
        </w:rPr>
        <w:t>faecal</w:t>
      </w:r>
      <w:r>
        <w:t xml:space="preserve"> metabolite (Supplementary Data 19) and is not a substitute for a plasma endpoint.</w:t>
      </w:r>
    </w:p>
    <w:p w14:paraId="3F2D013E" w14:textId="77777777" w:rsidR="00037981" w:rsidRDefault="00000000">
      <w:pPr>
        <w:jc w:val="both"/>
      </w:pPr>
      <w:r>
        <w:rPr>
          <w:b/>
        </w:rPr>
        <w:t>HCHS/SOL: unresolved.</w:t>
      </w:r>
      <w:r>
        <w:t xml:space="preserve"> Its 624-metabolite retained feature list could not be retrieved. The gate stays open for HCHS/SOL and must be closed before any application effort is spent there.</w:t>
      </w:r>
    </w:p>
    <w:p w14:paraId="3C9572E7" w14:textId="77777777" w:rsidR="00037981" w:rsidRDefault="00000000">
      <w:pPr>
        <w:jc w:val="both"/>
      </w:pPr>
      <w:r>
        <w:t>The gate remains binding for any cohort added later. No cohort's feature list beyond these two components was inspected before the gate was resolved, and no endpoint substitution will be made to keep an analysis alive on a cohort that fails.</w:t>
      </w:r>
    </w:p>
    <w:p w14:paraId="4C65D76B" w14:textId="77777777" w:rsidR="00037981" w:rsidRDefault="00037981">
      <w:pPr>
        <w:pBdr>
          <w:bottom w:val="single" w:sz="6" w:space="0" w:color="999999"/>
        </w:pBdr>
      </w:pPr>
    </w:p>
    <w:p w14:paraId="7A05F2FE" w14:textId="77777777" w:rsidR="00037981" w:rsidRDefault="00000000">
      <w:pPr>
        <w:pStyle w:val="31"/>
        <w:spacing w:before="240" w:after="120"/>
      </w:pPr>
      <w:r>
        <w:rPr>
          <w:rFonts w:ascii="Times New Roman" w:hAnsi="Times New Roman"/>
          <w:color w:val="000000"/>
        </w:rPr>
        <w:t>1. Primary endpoint</w:t>
      </w:r>
    </w:p>
    <w:p w14:paraId="5147F348" w14:textId="77777777" w:rsidR="00037981" w:rsidRDefault="00000000">
      <w:pPr>
        <w:jc w:val="both"/>
      </w:pPr>
      <w:r>
        <w:rPr>
          <w:b/>
        </w:rPr>
        <w:t>`Y = log2(LacCer(d18:1/16:0)) − log2(Cer(d18:1/16:0))`</w:t>
      </w:r>
      <w:r>
        <w:t>, computed per participant from the replication cohort's own serum/plasma sphingolipid values on that cohort's native scale.</w:t>
      </w:r>
    </w:p>
    <w:p w14:paraId="504CF87B" w14:textId="77777777" w:rsidR="00037981" w:rsidRDefault="00000000">
      <w:pPr>
        <w:jc w:val="both"/>
      </w:pPr>
      <w:r>
        <w:t xml:space="preserve">Where the cohort reports relative abundance rather than absolute concentration (Metabolon), the difference of logs is taken on the relative-abundance values after the cohort's own run-day/batch normalisation. The resulting quantity is scale-shifted but not scale-distorted relative to the discovery endpoint, so the </w:t>
      </w:r>
      <w:r>
        <w:rPr>
          <w:b/>
        </w:rPr>
        <w:t>sign and the standardised effect size are comparable; the raw intercept is not.</w:t>
      </w:r>
      <w:r>
        <w:t xml:space="preserve"> We will report standardised β alongside raw β.</w:t>
      </w:r>
    </w:p>
    <w:p w14:paraId="33E57308" w14:textId="77777777" w:rsidR="00037981" w:rsidRDefault="00000000">
      <w:pPr>
        <w:jc w:val="both"/>
      </w:pPr>
      <w:r>
        <w:t>One primary endpoint. No alternative chain lengths, no alternative ratios, no composite scores.</w:t>
      </w:r>
    </w:p>
    <w:p w14:paraId="047AC669" w14:textId="77777777" w:rsidR="00037981" w:rsidRDefault="00000000">
      <w:pPr>
        <w:pStyle w:val="31"/>
        <w:spacing w:before="240" w:after="120"/>
      </w:pPr>
      <w:r>
        <w:rPr>
          <w:rFonts w:ascii="Times New Roman" w:hAnsi="Times New Roman"/>
          <w:color w:val="000000"/>
        </w:rPr>
        <w:t>2. Primary exposure</w:t>
      </w:r>
    </w:p>
    <w:p w14:paraId="751A6F13" w14:textId="77777777" w:rsidR="00037981" w:rsidRDefault="00000000">
      <w:pPr>
        <w:jc w:val="both"/>
      </w:pPr>
      <w:r>
        <w:rPr>
          <w:b/>
        </w:rPr>
        <w:t>`X = mean centred-log-ratio (CLR) abundance of all species-level features whose taxonomic assignment is genus *Bacteroides*.`</w:t>
      </w:r>
    </w:p>
    <w:p w14:paraId="1224304E" w14:textId="77777777" w:rsidR="00037981" w:rsidRDefault="00000000">
      <w:pPr>
        <w:pStyle w:val="a0"/>
      </w:pPr>
      <w:r>
        <w:t>CLR is computed across the full species-level abundance table for that cohort, after that cohort's standard prevalence filter, with the cohort's own zero-replacement convention stated in the analysis script.</w:t>
      </w:r>
    </w:p>
    <w:p w14:paraId="115DD251" w14:textId="77777777" w:rsidR="00037981" w:rsidRDefault="00000000">
      <w:pPr>
        <w:pStyle w:val="a0"/>
      </w:pPr>
      <w:r>
        <w:t xml:space="preserve">The </w:t>
      </w:r>
      <w:r>
        <w:rPr>
          <w:i/>
        </w:rPr>
        <w:t>Bacteroides</w:t>
      </w:r>
      <w:r>
        <w:t xml:space="preserve"> feature set is defined by taxonomy, not by matching the discovery cohort's 17 features one-to-one. The discovery cohort had 17 </w:t>
      </w:r>
      <w:r>
        <w:rPr>
          <w:rFonts w:ascii="Consolas" w:hAnsi="Consolas"/>
          <w:sz w:val="18"/>
        </w:rPr>
        <w:t>bacteroides*</w:t>
      </w:r>
      <w:r>
        <w:t xml:space="preserve"> species features; the replication cohort will have a different number, and </w:t>
      </w:r>
      <w:r>
        <w:rPr>
          <w:b/>
        </w:rPr>
        <w:t>we pre-commit to using whatever set the replication cohort's taxonomy yields</w:t>
      </w:r>
      <w:r>
        <w:t>, reporting the count. Selecting a subset to match discovery would be a post hoc choice.</w:t>
      </w:r>
    </w:p>
    <w:p w14:paraId="575A26D2" w14:textId="77777777" w:rsidR="00037981" w:rsidRDefault="00000000">
      <w:pPr>
        <w:pStyle w:val="a0"/>
      </w:pPr>
      <w:r>
        <w:t xml:space="preserve">If the replication cohort's taxonomy splits </w:t>
      </w:r>
      <w:r>
        <w:rPr>
          <w:i/>
        </w:rPr>
        <w:t>Bacteroides</w:t>
      </w:r>
      <w:r>
        <w:t xml:space="preserve"> into </w:t>
      </w:r>
      <w:r>
        <w:rPr>
          <w:i/>
        </w:rPr>
        <w:t>Bacteroides</w:t>
      </w:r>
      <w:r>
        <w:t xml:space="preserve"> and </w:t>
      </w:r>
      <w:r>
        <w:rPr>
          <w:i/>
        </w:rPr>
        <w:t>Phocaeicola</w:t>
      </w:r>
      <w:r>
        <w:t xml:space="preserve"> (GTDB), </w:t>
      </w:r>
      <w:r>
        <w:rPr>
          <w:b/>
        </w:rPr>
        <w:t>both genera are included</w:t>
      </w:r>
      <w:r>
        <w:t xml:space="preserve">, because the discovery cohort's </w:t>
      </w:r>
      <w:r>
        <w:rPr>
          <w:rFonts w:ascii="Consolas" w:hAnsi="Consolas"/>
          <w:sz w:val="18"/>
        </w:rPr>
        <w:t>bacteroides*</w:t>
      </w:r>
      <w:r>
        <w:t xml:space="preserve"> features predate that split. This is decided now, not after seeing the result.</w:t>
      </w:r>
    </w:p>
    <w:p w14:paraId="38902560" w14:textId="77777777" w:rsidR="00037981" w:rsidRDefault="00000000">
      <w:pPr>
        <w:pStyle w:val="31"/>
        <w:spacing w:before="240" w:after="120"/>
      </w:pPr>
      <w:r>
        <w:rPr>
          <w:rFonts w:ascii="Times New Roman" w:hAnsi="Times New Roman"/>
          <w:color w:val="000000"/>
        </w:rPr>
        <w:t>3. Secondary exposure — microbial SPT gene abundance</w:t>
      </w:r>
    </w:p>
    <w:p w14:paraId="0CF69A9C" w14:textId="77777777" w:rsidR="00037981" w:rsidRDefault="00000000">
      <w:pPr>
        <w:jc w:val="both"/>
      </w:pPr>
      <w:r>
        <w:t>A gene-level exposure is being constructed in parallel (Track 2 of this project): abundance of microbial serine palmitoyltransferase (SPT) genes, normalised to single-copy marker genes, from the raw shotgun reads.</w:t>
      </w:r>
    </w:p>
    <w:p w14:paraId="6B961821" w14:textId="77777777" w:rsidR="00037981" w:rsidRDefault="00000000">
      <w:pPr>
        <w:jc w:val="both"/>
      </w:pPr>
      <w:r>
        <w:rPr>
          <w:b/>
        </w:rPr>
        <w:t>`X2 = log2(SPT gene abundance / mean single-copy-marker-gene abundance)`</w:t>
      </w:r>
      <w:r>
        <w:t xml:space="preserve">, computed with the same reference panel, the same aligner, the same identity and coverage thresholds and </w:t>
      </w:r>
      <w:r>
        <w:lastRenderedPageBreak/>
        <w:t>the same multimapping rule as the discovery cohort, all of which are pinned in the Track 2 methods and checksum manifest.</w:t>
      </w:r>
    </w:p>
    <w:p w14:paraId="7828926F" w14:textId="77777777" w:rsidR="00037981" w:rsidRDefault="00000000">
      <w:pPr>
        <w:jc w:val="both"/>
      </w:pPr>
      <w:r>
        <w:t xml:space="preserve">Because MetaCardis, TwinsUK, HCHS/SOL, EstMB and FINRISK raw reads are all publicly downloadable independently of the metabolome access route, </w:t>
      </w:r>
      <w:r>
        <w:rPr>
          <w:b/>
        </w:rPr>
        <w:t>the gene-level exposure can be computed for the replication cohort before the metabolome application is approved.</w:t>
      </w:r>
      <w:r>
        <w:t xml:space="preserve"> X2 is a secondary exposure: it is tested against the same primary endpoint Y, reported with the same rigour, and is not allowed to substitute for X if X fails.</w:t>
      </w:r>
    </w:p>
    <w:p w14:paraId="4786B49E" w14:textId="77777777" w:rsidR="00037981" w:rsidRDefault="00000000">
      <w:pPr>
        <w:pStyle w:val="31"/>
        <w:spacing w:before="240" w:after="120"/>
      </w:pPr>
      <w:r>
        <w:rPr>
          <w:rFonts w:ascii="Times New Roman" w:hAnsi="Times New Roman"/>
          <w:color w:val="000000"/>
        </w:rPr>
        <w:t>4. Covariates</w:t>
      </w:r>
    </w:p>
    <w:p w14:paraId="15CBFAD3" w14:textId="77777777" w:rsidR="00037981" w:rsidRDefault="00000000">
      <w:pPr>
        <w:jc w:val="both"/>
      </w:pPr>
      <w:r>
        <w:t>Age, sex, BMI, NYHA class, statin use — the discovery covariate set.</w:t>
      </w:r>
    </w:p>
    <w:p w14:paraId="4D6239EF" w14:textId="77777777" w:rsidR="00037981" w:rsidRDefault="00000000">
      <w:pPr>
        <w:jc w:val="both"/>
      </w:pPr>
      <w:r>
        <w:rPr>
          <w:b/>
        </w:rPr>
        <w:t>Verified availability in MetaCardis (Supplementary Tables 9 and 14):</w:t>
      </w:r>
      <w:r>
        <w:t xml:space="preserve"> </w:t>
      </w:r>
      <w:r>
        <w:rPr>
          <w:rFonts w:ascii="Consolas" w:hAnsi="Consolas"/>
          <w:sz w:val="18"/>
        </w:rPr>
        <w:t>Age (years)</w:t>
      </w:r>
      <w:r>
        <w:t xml:space="preserve">, </w:t>
      </w:r>
      <w:r>
        <w:rPr>
          <w:rFonts w:ascii="Consolas" w:hAnsi="Consolas"/>
          <w:sz w:val="18"/>
        </w:rPr>
        <w:t>BMI (kg/m²)</w:t>
      </w:r>
      <w:r>
        <w:t xml:space="preserve">, </w:t>
      </w:r>
      <w:r>
        <w:rPr>
          <w:rFonts w:ascii="Consolas" w:hAnsi="Consolas"/>
          <w:sz w:val="18"/>
        </w:rPr>
        <w:t>Gender</w:t>
      </w:r>
      <w:r>
        <w:t xml:space="preserve"> and </w:t>
      </w:r>
      <w:r>
        <w:rPr>
          <w:rFonts w:ascii="Consolas" w:hAnsi="Consolas"/>
          <w:sz w:val="18"/>
        </w:rPr>
        <w:t>Statin</w:t>
      </w:r>
      <w:r>
        <w:t xml:space="preserve"> are all present. </w:t>
      </w:r>
      <w:r>
        <w:rPr>
          <w:b/>
        </w:rPr>
        <w:t>NYHA class is NOT in the public release.</w:t>
      </w:r>
      <w:r>
        <w:t xml:space="preserve"> As pre-specified below, </w:t>
      </w:r>
      <w:r>
        <w:rPr>
          <w:rFonts w:ascii="Consolas" w:hAnsi="Consolas"/>
          <w:sz w:val="18"/>
        </w:rPr>
        <w:t>Left ventricular ejection fraction (%)</w:t>
      </w:r>
      <w:r>
        <w:t xml:space="preserve"> (Supplementary Table 9) is the substitute and is named as such in the results; </w:t>
      </w:r>
      <w:r>
        <w:rPr>
          <w:rFonts w:ascii="Consolas" w:hAnsi="Consolas"/>
          <w:sz w:val="18"/>
        </w:rPr>
        <w:t>Fasting plasma pro-ANP (pmol/L)</w:t>
      </w:r>
      <w:r>
        <w:t xml:space="preserve"> and </w:t>
      </w:r>
      <w:r>
        <w:rPr>
          <w:rFonts w:ascii="Consolas" w:hAnsi="Consolas"/>
          <w:sz w:val="18"/>
        </w:rPr>
        <w:t>Diabetic status</w:t>
      </w:r>
      <w:r>
        <w:t xml:space="preserve"> are available and will be used only in the sensitivity model at §5. </w:t>
      </w:r>
      <w:r>
        <w:rPr>
          <w:rFonts w:ascii="Consolas" w:hAnsi="Consolas"/>
          <w:sz w:val="18"/>
        </w:rPr>
        <w:t>Nationality</w:t>
      </w:r>
      <w:r>
        <w:t xml:space="preserve"> will be included as a fixed effect (recruitment-country proxy).</w:t>
      </w:r>
    </w:p>
    <w:p w14:paraId="4C555207" w14:textId="77777777" w:rsidR="00037981" w:rsidRDefault="00000000">
      <w:pPr>
        <w:jc w:val="both"/>
      </w:pPr>
      <w:r>
        <w:t>Pre-specified handling of non-availability:</w:t>
      </w:r>
    </w:p>
    <w:p w14:paraId="0038A5F9" w14:textId="77777777" w:rsidR="00037981" w:rsidRDefault="00000000">
      <w:pPr>
        <w:pStyle w:val="a0"/>
      </w:pPr>
      <w:r>
        <w:t xml:space="preserve">If NYHA class is unavailable, the closest available functional-status or disease-stage variable is substituted and </w:t>
      </w:r>
      <w:r>
        <w:rPr>
          <w:b/>
        </w:rPr>
        <w:t>named in the results</w:t>
      </w:r>
      <w:r>
        <w:t xml:space="preserve">; if none exists, the model is fitted without it and reported as a four-covariate model, not presented as equivalent to discovery. </w:t>
      </w:r>
      <w:r>
        <w:rPr>
          <w:b/>
        </w:rPr>
        <w:t>For MetaCardis this is triggered: LVEF (%) replaces NYHA.</w:t>
      </w:r>
    </w:p>
    <w:p w14:paraId="1843E341" w14:textId="77777777" w:rsidR="00037981" w:rsidRDefault="00000000">
      <w:pPr>
        <w:pStyle w:val="a0"/>
      </w:pPr>
      <w:r>
        <w:t>Missing covariate values: complete-case analysis for the primary model. The complete-case n is reported. No imputation in the primary model.</w:t>
      </w:r>
    </w:p>
    <w:p w14:paraId="7F71E504" w14:textId="77777777" w:rsidR="00037981" w:rsidRDefault="00000000">
      <w:pPr>
        <w:pStyle w:val="a0"/>
      </w:pPr>
      <w:r>
        <w:t>Additional cohort-specific confounders (e.g. recruitment centre in MetaCardis, ethnic/field centre in HCHS/SOL) are added as fixed effects and declared as a pre-specified deviation from the discovery model.</w:t>
      </w:r>
    </w:p>
    <w:p w14:paraId="4F6BBFB2" w14:textId="77777777" w:rsidR="00037981" w:rsidRDefault="00000000">
      <w:pPr>
        <w:pStyle w:val="a0"/>
      </w:pPr>
      <w:r>
        <w:rPr>
          <w:b/>
        </w:rPr>
        <w:t>MetaCardis: repeated measures require a participant-level random intercept.</w:t>
      </w:r>
      <w:r>
        <w:t xml:space="preserve"> Supplementary Table 12 carries 1,882 rows over 1,087 unique IDs (343 once, 693 twice, 51 three times). The primary model is therefore a linear mixed model with a random intercept per participant, fitted on all available rows. This is pre-specified now as a required deviation from the discovery OLS, not a modelling choice made later. A pre-specified sensitivity analysis refits plain OLS on one row per participant (the first row in table order, chosen without reference to the outcome).</w:t>
      </w:r>
    </w:p>
    <w:p w14:paraId="73A5FBA2" w14:textId="77777777" w:rsidR="00037981" w:rsidRDefault="00000000">
      <w:pPr>
        <w:pStyle w:val="31"/>
        <w:spacing w:before="240" w:after="120"/>
      </w:pPr>
      <w:r>
        <w:rPr>
          <w:rFonts w:ascii="Times New Roman" w:hAnsi="Times New Roman"/>
          <w:color w:val="000000"/>
        </w:rPr>
        <w:lastRenderedPageBreak/>
        <w:t>5. Test</w:t>
      </w:r>
    </w:p>
    <w:p w14:paraId="41B36C3D" w14:textId="77777777" w:rsidR="00037981" w:rsidRDefault="00000000">
      <w:pPr>
        <w:jc w:val="both"/>
      </w:pPr>
      <w:r>
        <w:rPr>
          <w:b/>
        </w:rPr>
        <w:t>Primary:</w:t>
      </w:r>
      <w:r>
        <w:t xml:space="preserve"> ordinary least squares regression of Y on X plus the five covariates. Reported: β, SE, two-sided P, R², and the standardised β with its 95% CI.</w:t>
      </w:r>
    </w:p>
    <w:p w14:paraId="1B4C39B4" w14:textId="77777777" w:rsidR="00037981" w:rsidRDefault="00000000">
      <w:pPr>
        <w:jc w:val="both"/>
      </w:pPr>
      <w:r>
        <w:rPr>
          <w:b/>
        </w:rPr>
        <w:t>Inference:</w:t>
      </w:r>
      <w:r>
        <w:t xml:space="preserve"> participant-level permutation. The participant labels linking the metagenome to the metabolome are permuted 10,000 times with seed 20260924; the covariate-adjusted β is recomputed each time; the permutation P is the proportion of permuted |β| at least as large as observed, with the standard (r+1)/(n+1) correction.</w:t>
      </w:r>
    </w:p>
    <w:p w14:paraId="564E6430" w14:textId="77777777" w:rsidR="00037981" w:rsidRDefault="00000000">
      <w:pPr>
        <w:jc w:val="both"/>
      </w:pPr>
      <w:r>
        <w:rPr>
          <w:b/>
        </w:rPr>
        <w:t>Interval estimate:</w:t>
      </w:r>
      <w:r>
        <w:t xml:space="preserve"> participant-level bootstrap, 10,000 resamples, seed 20260924, percentile 95% CI on β.</w:t>
      </w:r>
    </w:p>
    <w:p w14:paraId="18666F50" w14:textId="77777777" w:rsidR="00037981" w:rsidRDefault="00000000">
      <w:pPr>
        <w:jc w:val="both"/>
      </w:pPr>
      <w:r>
        <w:rPr>
          <w:b/>
        </w:rPr>
        <w:t>Secondary (gene-level):</w:t>
      </w:r>
      <w:r>
        <w:t xml:space="preserve"> identical specification with X2 in place of X.</w:t>
      </w:r>
    </w:p>
    <w:p w14:paraId="2CC91CCA" w14:textId="77777777" w:rsidR="00037981" w:rsidRDefault="00000000">
      <w:pPr>
        <w:jc w:val="both"/>
      </w:pPr>
      <w:r>
        <w:rPr>
          <w:b/>
        </w:rPr>
        <w:t>Secondary (glycosphingolipid class contrast):</w:t>
      </w:r>
      <w:r>
        <w:t xml:space="preserve"> the class contrast statistic D, tested by the same participant-level permutation, with the pre-computed power benchmarks — null SD ≈ 1.094/√n, n ≈ 342 for 80% power, n ≈ 458 for 90% power against the observed |D| = 0.166. At the verified MetaCardis n = 977 the detection threshold is 1.96 × 1.094/√977 = </w:t>
      </w:r>
      <w:r>
        <w:rPr>
          <w:b/>
        </w:rPr>
        <w:t>|D| = 0.069</w:t>
      </w:r>
      <w:r>
        <w:t xml:space="preserve">, i.e. 2.4× below the discovery point estimate of 0.166 — so this cohort can resolve the class effect if it is real. The glycosphingolipid class is pre-specified as the </w:t>
      </w:r>
      <w:r>
        <w:rPr>
          <w:b/>
        </w:rPr>
        <w:t>ten</w:t>
      </w:r>
      <w:r>
        <w:t xml:space="preserve"> verified MetaCardis features: </w:t>
      </w:r>
      <w:r>
        <w:rPr>
          <w:rFonts w:ascii="Consolas" w:hAnsi="Consolas"/>
          <w:sz w:val="18"/>
        </w:rPr>
        <w:t>lactosyl-N-palmitoyl-sphingosine (d18:1/16:0)</w:t>
      </w:r>
      <w:r>
        <w:t xml:space="preserve">, </w:t>
      </w:r>
      <w:r>
        <w:rPr>
          <w:rFonts w:ascii="Consolas" w:hAnsi="Consolas"/>
          <w:sz w:val="18"/>
        </w:rPr>
        <w:t>lactosyl-N-behenoyl-sphingosine (d18:1/22:0)*</w:t>
      </w:r>
      <w:r>
        <w:t xml:space="preserve">, </w:t>
      </w:r>
      <w:r>
        <w:rPr>
          <w:rFonts w:ascii="Consolas" w:hAnsi="Consolas"/>
          <w:sz w:val="18"/>
        </w:rPr>
        <w:t>lactosyl-N-nervonoyl-sphingosine (d18:1/24:1)*</w:t>
      </w:r>
      <w:r>
        <w:t xml:space="preserve">, </w:t>
      </w:r>
      <w:r>
        <w:rPr>
          <w:rFonts w:ascii="Consolas" w:hAnsi="Consolas"/>
          <w:sz w:val="18"/>
        </w:rPr>
        <w:t>glycosyl-N-palmitoyl-sphingosine (d18:1/16:0)</w:t>
      </w:r>
      <w:r>
        <w:t xml:space="preserve">, </w:t>
      </w:r>
      <w:r>
        <w:rPr>
          <w:rFonts w:ascii="Consolas" w:hAnsi="Consolas"/>
          <w:sz w:val="18"/>
        </w:rPr>
        <w:t>glycosyl-N-stearoyl-sphingosine (d18:1/18:0)</w:t>
      </w:r>
      <w:r>
        <w:t xml:space="preserve">, </w:t>
      </w:r>
      <w:r>
        <w:rPr>
          <w:rFonts w:ascii="Consolas" w:hAnsi="Consolas"/>
          <w:sz w:val="18"/>
        </w:rPr>
        <w:t>glycosyl-N-(2-hydroxynervonoyl)-sphingosine (d18:1/24:1(2OH))*</w:t>
      </w:r>
      <w:r>
        <w:t xml:space="preserve">, and the four mixed-assignment features </w:t>
      </w:r>
      <w:r>
        <w:rPr>
          <w:rFonts w:ascii="Consolas" w:hAnsi="Consolas"/>
          <w:sz w:val="18"/>
        </w:rPr>
        <w:t>glycosyl ceramide (d16:1/24:1, d18:1/22:1)*</w:t>
      </w:r>
      <w:r>
        <w:t xml:space="preserve">, </w:t>
      </w:r>
      <w:r>
        <w:rPr>
          <w:rFonts w:ascii="Consolas" w:hAnsi="Consolas"/>
          <w:sz w:val="18"/>
        </w:rPr>
        <w:t>glycosyl ceramide (d18:1/20:0, d16:1/22:0)*</w:t>
      </w:r>
      <w:r>
        <w:t xml:space="preserve">, </w:t>
      </w:r>
      <w:r>
        <w:rPr>
          <w:rFonts w:ascii="Consolas" w:hAnsi="Consolas"/>
          <w:sz w:val="18"/>
        </w:rPr>
        <w:t>glycosyl ceramide (d18:1/23:1, d17:1/24:1)*</w:t>
      </w:r>
      <w:r>
        <w:t xml:space="preserve">, </w:t>
      </w:r>
      <w:r>
        <w:rPr>
          <w:rFonts w:ascii="Consolas" w:hAnsi="Consolas"/>
          <w:sz w:val="18"/>
        </w:rPr>
        <w:t>glycosyl ceramide (d18:2/24:1, d18:1/24:2)*</w:t>
      </w:r>
      <w:r>
        <w:t>. No feature will be added or dropped after the result is seen.</w:t>
      </w:r>
    </w:p>
    <w:p w14:paraId="3A624B39" w14:textId="77777777" w:rsidR="00037981" w:rsidRDefault="00000000">
      <w:pPr>
        <w:jc w:val="both"/>
      </w:pPr>
      <w:r>
        <w:rPr>
          <w:b/>
        </w:rPr>
        <w:t>Secondary (heart failure stratum, MetaCardis only):</w:t>
      </w:r>
      <w:r>
        <w:t xml:space="preserve"> the primary model refitted in the heart-failure-due-to-chronic-IHD stratum, </w:t>
      </w:r>
      <w:r>
        <w:rPr>
          <w:b/>
        </w:rPr>
        <w:t>verified n = 96</w:t>
      </w:r>
      <w:r>
        <w:t xml:space="preserve"> of the 977 paired participants. This stratum is </w:t>
      </w:r>
      <w:r>
        <w:rPr>
          <w:b/>
        </w:rPr>
        <w:t>underpowered by construction</w:t>
      </w:r>
      <w:r>
        <w:t xml:space="preserve"> (0.28× the 80%-power n) and will be reported as an effect size with a confidence interval only, explicitly </w:t>
      </w:r>
      <w:r>
        <w:rPr>
          <w:b/>
        </w:rPr>
        <w:t>not</w:t>
      </w:r>
      <w:r>
        <w:t xml:space="preserve"> as a hypothesis test, whatever the P value turns out to be.</w:t>
      </w:r>
    </w:p>
    <w:p w14:paraId="67EC9B60" w14:textId="77777777" w:rsidR="00037981" w:rsidRDefault="00000000">
      <w:pPr>
        <w:jc w:val="both"/>
      </w:pPr>
      <w:r>
        <w:rPr>
          <w:b/>
        </w:rPr>
        <w:t>Multiplicity:</w:t>
      </w:r>
      <w:r>
        <w:t xml:space="preserve"> one primary test. The four secondary tests are labelled secondary and reported without alpha adjustment but also without any claim of confirmatory status.</w:t>
      </w:r>
    </w:p>
    <w:p w14:paraId="7B11B1A0" w14:textId="77777777" w:rsidR="00037981" w:rsidRDefault="00000000">
      <w:pPr>
        <w:pStyle w:val="31"/>
        <w:spacing w:before="240" w:after="120"/>
      </w:pPr>
      <w:r>
        <w:rPr>
          <w:rFonts w:ascii="Times New Roman" w:hAnsi="Times New Roman"/>
          <w:color w:val="000000"/>
        </w:rPr>
        <w:lastRenderedPageBreak/>
        <w:t>6. Predicted direction</w:t>
      </w:r>
    </w:p>
    <w:p w14:paraId="70D83BB6" w14:textId="77777777" w:rsidR="00037981" w:rsidRDefault="00000000">
      <w:pPr>
        <w:jc w:val="both"/>
      </w:pPr>
      <w:r>
        <w:rPr>
          <w:b/>
        </w:rPr>
        <w:t>POSITIVE.</w:t>
      </w:r>
      <w:r>
        <w:t xml:space="preserve"> We predict </w:t>
      </w:r>
      <w:r>
        <w:rPr>
          <w:b/>
        </w:rPr>
        <w:t>β &gt; 0</w:t>
      </w:r>
      <w:r>
        <w:t xml:space="preserve"> for the primary exposure X — higher </w:t>
      </w:r>
      <w:r>
        <w:rPr>
          <w:i/>
        </w:rPr>
        <w:t>Bacteroides</w:t>
      </w:r>
      <w:r>
        <w:t xml:space="preserve"> CLR abundance associated with a higher </w:t>
      </w:r>
      <w:r>
        <w:rPr>
          <w:rFonts w:ascii="Consolas" w:hAnsi="Consolas"/>
          <w:sz w:val="18"/>
        </w:rPr>
        <w:t>lcer_16_0 − cer_16_0</w:t>
      </w:r>
      <w:r>
        <w:t xml:space="preserve"> ratio — matching the discovery estimate β = +0.4201 (SE 0.1142, P = 5.67 × 10⁻⁴) and Spearman ρ = +0.4613 (P = 2.68 × 10⁻⁴).</w:t>
      </w:r>
    </w:p>
    <w:p w14:paraId="3277A73C" w14:textId="77777777" w:rsidR="00037981" w:rsidRDefault="00000000">
      <w:pPr>
        <w:jc w:val="both"/>
      </w:pPr>
      <w:r>
        <w:rPr>
          <w:b/>
        </w:rPr>
        <w:t>POSITIVE</w:t>
      </w:r>
      <w:r>
        <w:t xml:space="preserve"> for the secondary gene-level exposure X2, on the mechanistic reasoning that microbial SPT gene abundance is the functional correlate of the </w:t>
      </w:r>
      <w:r>
        <w:rPr>
          <w:i/>
        </w:rPr>
        <w:t>Bacteroides</w:t>
      </w:r>
      <w:r>
        <w:t xml:space="preserve"> taxonomic signal. We note that this prediction is weaker than the taxonomic one because the gene-level exposure has not yet been shown to track the taxonomic exposure in the discovery cohort.</w:t>
      </w:r>
    </w:p>
    <w:p w14:paraId="335774DA" w14:textId="77777777" w:rsidR="00037981" w:rsidRDefault="00000000">
      <w:pPr>
        <w:jc w:val="both"/>
      </w:pPr>
      <w:r>
        <w:rPr>
          <w:b/>
        </w:rPr>
        <w:t>No directional prediction</w:t>
      </w:r>
      <w:r>
        <w:t xml:space="preserve"> for the class contrast D beyond its sign in discovery (+0.166), because that analysis was null.</w:t>
      </w:r>
    </w:p>
    <w:p w14:paraId="3D2A90AF" w14:textId="77777777" w:rsidR="00037981" w:rsidRDefault="00000000">
      <w:pPr>
        <w:pStyle w:val="31"/>
        <w:spacing w:before="240" w:after="120"/>
      </w:pPr>
      <w:r>
        <w:rPr>
          <w:rFonts w:ascii="Times New Roman" w:hAnsi="Times New Roman"/>
          <w:color w:val="000000"/>
        </w:rPr>
        <w:t>7. Success criteria, stated in advance</w:t>
      </w:r>
    </w:p>
    <w:p w14:paraId="24FD59F9" w14:textId="77777777" w:rsidR="00037981" w:rsidRDefault="00000000">
      <w:pPr>
        <w:jc w:val="both"/>
      </w:pPr>
      <w:r>
        <w:rPr>
          <w:b/>
        </w:rPr>
        <w:t>Replicated:</w:t>
      </w:r>
      <w:r>
        <w:t xml:space="preserve"> β &gt; 0 with participant-permutation P &lt; 0.05, and the discovery point estimate β = +0.4201 inside the replication bootstrap 95% CI.</w:t>
      </w:r>
    </w:p>
    <w:p w14:paraId="26717B7A" w14:textId="77777777" w:rsidR="00037981" w:rsidRDefault="00000000">
      <w:pPr>
        <w:jc w:val="both"/>
      </w:pPr>
      <w:r>
        <w:rPr>
          <w:b/>
        </w:rPr>
        <w:t>Partially replicated:</w:t>
      </w:r>
      <w:r>
        <w:t xml:space="preserve"> β &gt; 0 with permutation P &lt; 0.05, but the discovery estimate outside the replication CI (i.e. same direction, materially different magnitude — most plausibly because the replication cohort is not a heart failure cohort).</w:t>
      </w:r>
    </w:p>
    <w:p w14:paraId="6A9ABEE0" w14:textId="77777777" w:rsidR="00037981" w:rsidRDefault="00000000">
      <w:pPr>
        <w:jc w:val="both"/>
      </w:pPr>
      <w:r>
        <w:rPr>
          <w:b/>
        </w:rPr>
        <w:t>Not replicated:</w:t>
      </w:r>
      <w:r>
        <w:t xml:space="preserve"> permutation P ≥ 0.05, or β &lt; 0.</w:t>
      </w:r>
    </w:p>
    <w:p w14:paraId="4D99831F" w14:textId="77777777" w:rsidR="00037981" w:rsidRDefault="00000000">
      <w:pPr>
        <w:jc w:val="both"/>
      </w:pPr>
      <w:r>
        <w:rPr>
          <w:b/>
        </w:rPr>
        <w:t>Refuted:</w:t>
      </w:r>
      <w:r>
        <w:t xml:space="preserve"> β &lt; 0 with permutation P &lt; 0.05.</w:t>
      </w:r>
    </w:p>
    <w:p w14:paraId="15481DBF" w14:textId="77777777" w:rsidR="00037981" w:rsidRDefault="00000000">
      <w:pPr>
        <w:jc w:val="both"/>
      </w:pPr>
      <w:r>
        <w:t>Each of these four outcomes will be reported with equal prominence. A "not replicated" or "refuted" result will be reported as the headline finding, not relegated to a limitations paragraph.</w:t>
      </w:r>
    </w:p>
    <w:p w14:paraId="0AA9E7EE" w14:textId="77777777" w:rsidR="00037981" w:rsidRDefault="00000000">
      <w:pPr>
        <w:pStyle w:val="31"/>
        <w:spacing w:before="240" w:after="120"/>
      </w:pPr>
      <w:r>
        <w:rPr>
          <w:rFonts w:ascii="Times New Roman" w:hAnsi="Times New Roman"/>
          <w:color w:val="000000"/>
        </w:rPr>
        <w:t>8. What we will not do</w:t>
      </w:r>
    </w:p>
    <w:p w14:paraId="33334A23" w14:textId="77777777" w:rsidR="00037981" w:rsidRDefault="00000000">
      <w:pPr>
        <w:pStyle w:val="a0"/>
      </w:pPr>
      <w:r>
        <w:t>Not swap the endpoint, the chain length, or the ratio's denominator after seeing any result.</w:t>
      </w:r>
    </w:p>
    <w:p w14:paraId="51AFEECA" w14:textId="77777777" w:rsidR="00037981" w:rsidRDefault="00000000">
      <w:pPr>
        <w:pStyle w:val="a0"/>
      </w:pPr>
      <w:r>
        <w:t xml:space="preserve">Not select the </w:t>
      </w:r>
      <w:r>
        <w:rPr>
          <w:i/>
        </w:rPr>
        <w:t>Bacteroides</w:t>
      </w:r>
      <w:r>
        <w:t xml:space="preserve"> feature subset post hoc to match the discovery cohort.</w:t>
      </w:r>
    </w:p>
    <w:p w14:paraId="65689F8F" w14:textId="77777777" w:rsidR="00037981" w:rsidRDefault="00000000">
      <w:pPr>
        <w:pStyle w:val="a0"/>
      </w:pPr>
      <w:r>
        <w:t>Not resurrect the glycosphingolipid class contrast or the cardiac gene-set specificity test as positive findings; both are recorded failures (class contrast: D = +0.166, P = 0.249, bootstrap 95% CI [−0.077, +0.260]; gene-set specificity: sphingolipid set indistinguishable from fatty-acid oxidation p = 0.627 and cholesterol synthesis p = 0.884).</w:t>
      </w:r>
    </w:p>
    <w:p w14:paraId="79BE2B87" w14:textId="77777777" w:rsidR="00037981" w:rsidRDefault="00000000">
      <w:pPr>
        <w:pStyle w:val="a0"/>
      </w:pPr>
      <w:r>
        <w:t>Not add cohorts after the fact to reach significance. The fallback order in the header is fixed, and each cohort's result is reported whether or not a later one is analysed.</w:t>
      </w:r>
    </w:p>
    <w:p w14:paraId="0F98E08B" w14:textId="77777777" w:rsidR="00037981" w:rsidRDefault="00000000">
      <w:pPr>
        <w:pStyle w:val="a0"/>
      </w:pPr>
      <w:r>
        <w:t>Not report the underpowered heart-failure stratum as a hypothesis test.</w:t>
      </w:r>
    </w:p>
    <w:p w14:paraId="76EAE9C4" w14:textId="77777777" w:rsidR="00037981" w:rsidRDefault="00000000">
      <w:pPr>
        <w:pStyle w:val="31"/>
        <w:spacing w:before="240" w:after="120"/>
      </w:pPr>
      <w:r>
        <w:rPr>
          <w:rFonts w:ascii="Times New Roman" w:hAnsi="Times New Roman"/>
          <w:color w:val="000000"/>
        </w:rPr>
        <w:lastRenderedPageBreak/>
        <w:t>9. Amendments</w:t>
      </w:r>
    </w:p>
    <w:p w14:paraId="2D170A07" w14:textId="77777777" w:rsidR="00037981" w:rsidRDefault="00000000">
      <w:pPr>
        <w:jc w:val="both"/>
      </w:pPr>
      <w:r>
        <w:t>Any change to this document after the gating condition is resolved will be recorded as a dated, versioned amendment stating what changed, why, and whether any replication data had been inspected at the time. Amendments will be published alongside the results.</w:t>
      </w:r>
    </w:p>
    <w:p w14:paraId="67E871E7" w14:textId="77777777" w:rsidR="00037981" w:rsidRDefault="00037981">
      <w:pPr>
        <w:pBdr>
          <w:bottom w:val="single" w:sz="6" w:space="0" w:color="999999"/>
        </w:pBdr>
      </w:pPr>
    </w:p>
    <w:p w14:paraId="5B669012" w14:textId="77777777" w:rsidR="00037981" w:rsidRDefault="00000000">
      <w:pPr>
        <w:pStyle w:val="21"/>
        <w:spacing w:before="240" w:after="120"/>
      </w:pPr>
      <w:r>
        <w:rPr>
          <w:rFonts w:ascii="Times New Roman" w:hAnsi="Times New Roman"/>
          <w:color w:val="000000"/>
        </w:rPr>
        <w:t>Supplementary Note 2. Pre-specification of the gene-level analysis</w:t>
      </w:r>
    </w:p>
    <w:p w14:paraId="08B1E4A0" w14:textId="77777777" w:rsidR="00037981" w:rsidRDefault="00000000">
      <w:pPr>
        <w:jc w:val="both"/>
      </w:pPr>
      <w:r>
        <w:t xml:space="preserve">Written 24 September 2026, </w:t>
      </w:r>
      <w:r>
        <w:rPr>
          <w:b/>
        </w:rPr>
        <w:t>before any SPT–lipid association was computed</w:t>
      </w:r>
      <w:r>
        <w:t>. At the time of writing, the only quantities inspected from the SPT pipeline were the seed index size, the planted-positive-control recruitment, the random-sequence false-pass rate, and per-sample read/recruitment counts. No exposure–outcome model had been fitted.</w:t>
      </w:r>
    </w:p>
    <w:p w14:paraId="2B9C78B0" w14:textId="77777777" w:rsidR="00037981" w:rsidRDefault="00000000">
      <w:pPr>
        <w:jc w:val="both"/>
      </w:pPr>
      <w:r>
        <w:t>Seed 20260924 in every script. 10,000 permutations / bootstrap resamples minimum.</w:t>
      </w:r>
    </w:p>
    <w:p w14:paraId="2CCEB202" w14:textId="77777777" w:rsidR="00037981" w:rsidRDefault="00000000">
      <w:pPr>
        <w:pStyle w:val="31"/>
        <w:spacing w:before="240" w:after="120"/>
      </w:pPr>
      <w:r>
        <w:rPr>
          <w:rFonts w:ascii="Times New Roman" w:hAnsi="Times New Roman"/>
          <w:color w:val="000000"/>
        </w:rPr>
        <w:t>1. Exposure</w:t>
      </w:r>
    </w:p>
    <w:p w14:paraId="108FC7CD" w14:textId="77777777" w:rsidR="00037981" w:rsidRDefault="00000000">
      <w:pPr>
        <w:jc w:val="both"/>
      </w:pPr>
      <w:r>
        <w:rPr>
          <w:rFonts w:ascii="Consolas" w:hAnsi="Consolas"/>
          <w:sz w:val="18"/>
        </w:rPr>
        <w:t>spt_hpm</w:t>
      </w:r>
      <w:r>
        <w:t xml:space="preserve"> = bacterial serine palmitoyltransferase (SPT, EC 2.3.1.50) BLAST-confirmed hits per million quality-filtered reads, quantified from the PRJNA1266263 R1 reads of the 58 baseline samples in the frozen analysis set.</w:t>
      </w:r>
    </w:p>
    <w:p w14:paraId="76F0CB7A" w14:textId="77777777" w:rsidR="00037981" w:rsidRDefault="00000000">
      <w:pPr>
        <w:jc w:val="both"/>
      </w:pPr>
      <w:r>
        <w:t xml:space="preserve">A read counts toward </w:t>
      </w:r>
      <w:r>
        <w:rPr>
          <w:rFonts w:ascii="Consolas" w:hAnsi="Consolas"/>
          <w:sz w:val="18"/>
        </w:rPr>
        <w:t>spt_hpm</w:t>
      </w:r>
      <w:r>
        <w:t xml:space="preserve"> only if its best </w:t>
      </w:r>
      <w:r>
        <w:rPr>
          <w:rFonts w:ascii="Consolas" w:hAnsi="Consolas"/>
          <w:sz w:val="18"/>
        </w:rPr>
        <w:t>blastx</w:t>
      </w:r>
      <w:r>
        <w:t xml:space="preserve"> hit in the combined panel is an SPT panel member rather than a decoy (α-oxoamine-synthase paralogs BioF / ALAS / KBL, or eukaryotic SPTLC1/2/3).</w:t>
      </w:r>
    </w:p>
    <w:p w14:paraId="0EBAF684" w14:textId="77777777" w:rsidR="00037981" w:rsidRDefault="00000000">
      <w:pPr>
        <w:jc w:val="both"/>
      </w:pPr>
      <w:r>
        <w:t>Secondary exposures, both pre-specified here:</w:t>
      </w:r>
    </w:p>
    <w:p w14:paraId="358FEEB6" w14:textId="77777777" w:rsidR="00037981" w:rsidRDefault="00000000">
      <w:pPr>
        <w:pStyle w:val="a0"/>
      </w:pPr>
      <w:r>
        <w:rPr>
          <w:rFonts w:ascii="Consolas" w:hAnsi="Consolas"/>
          <w:sz w:val="18"/>
        </w:rPr>
        <w:t>spt_per_bacteroidetes</w:t>
      </w:r>
      <w:r>
        <w:t xml:space="preserve"> = </w:t>
      </w:r>
      <w:r>
        <w:rPr>
          <w:rFonts w:ascii="Consolas" w:hAnsi="Consolas"/>
          <w:sz w:val="18"/>
        </w:rPr>
        <w:t>spt_hpm</w:t>
      </w:r>
      <w:r>
        <w:t xml:space="preserve"> divided by the summed relative abundance of Bacteroidetes species in the frozen taxonomy table.</w:t>
      </w:r>
    </w:p>
    <w:p w14:paraId="6DC57DE7" w14:textId="77777777" w:rsidR="00037981" w:rsidRDefault="00000000">
      <w:pPr>
        <w:pStyle w:val="a0"/>
      </w:pPr>
      <w:r>
        <w:rPr>
          <w:rFonts w:ascii="Consolas" w:hAnsi="Consolas"/>
          <w:sz w:val="18"/>
        </w:rPr>
        <w:t>spt_per_bacteroides</w:t>
      </w:r>
      <w:r>
        <w:t xml:space="preserve"> = </w:t>
      </w:r>
      <w:r>
        <w:rPr>
          <w:rFonts w:ascii="Consolas" w:hAnsi="Consolas"/>
          <w:sz w:val="18"/>
        </w:rPr>
        <w:t>spt_hpm</w:t>
      </w:r>
      <w:r>
        <w:t xml:space="preserve"> divided by the summed relative abundance of the 17 </w:t>
      </w:r>
      <w:r>
        <w:rPr>
          <w:rFonts w:ascii="Consolas" w:hAnsi="Consolas"/>
          <w:sz w:val="18"/>
        </w:rPr>
        <w:t>bacteroides*</w:t>
      </w:r>
      <w:r>
        <w:t xml:space="preserve"> features that define the published taxonomic exposure.</w:t>
      </w:r>
    </w:p>
    <w:p w14:paraId="4C7BF330" w14:textId="77777777" w:rsidR="00037981" w:rsidRDefault="00000000">
      <w:pPr>
        <w:jc w:val="both"/>
      </w:pPr>
      <w:r>
        <w:t>These two separate "more SPT-carrying organisms" from "more SPT per organism". This is the normalisation that killed the mouse SPT result (P = 0.23 after dividing by relative Bacteroidales abundance), and it is therefore reported with equal prominence to the unnormalised exposure, whatever it shows.</w:t>
      </w:r>
    </w:p>
    <w:p w14:paraId="4A2D6469" w14:textId="77777777" w:rsidR="00037981" w:rsidRDefault="00000000">
      <w:pPr>
        <w:pStyle w:val="31"/>
        <w:spacing w:before="240" w:after="120"/>
      </w:pPr>
      <w:r>
        <w:rPr>
          <w:rFonts w:ascii="Times New Roman" w:hAnsi="Times New Roman"/>
          <w:color w:val="000000"/>
        </w:rPr>
        <w:lastRenderedPageBreak/>
        <w:t>2. Endpoint</w:t>
      </w:r>
    </w:p>
    <w:p w14:paraId="4A71E02B" w14:textId="77777777" w:rsidR="00037981" w:rsidRDefault="00000000">
      <w:pPr>
        <w:jc w:val="both"/>
      </w:pPr>
      <w:r>
        <w:t xml:space="preserve">Primary: </w:t>
      </w:r>
      <w:r>
        <w:rPr>
          <w:rFonts w:ascii="Consolas" w:hAnsi="Consolas"/>
          <w:sz w:val="18"/>
        </w:rPr>
        <w:t>lcer_16_0 − cer_16_0</w:t>
      </w:r>
      <w:r>
        <w:t xml:space="preserve"> (log2 nmol/g), the published lead endpoint. No other lipid endpoint is primary. No endpoint substitution is permitted after seeing results.</w:t>
      </w:r>
    </w:p>
    <w:p w14:paraId="0DB1AB2A" w14:textId="77777777" w:rsidR="00037981" w:rsidRDefault="00000000">
      <w:pPr>
        <w:pStyle w:val="31"/>
        <w:spacing w:before="240" w:after="120"/>
      </w:pPr>
      <w:r>
        <w:rPr>
          <w:rFonts w:ascii="Times New Roman" w:hAnsi="Times New Roman"/>
          <w:color w:val="000000"/>
        </w:rPr>
        <w:t>3. Model</w:t>
      </w:r>
    </w:p>
    <w:p w14:paraId="7400200E" w14:textId="77777777" w:rsidR="00037981" w:rsidRDefault="00000000">
      <w:pPr>
        <w:jc w:val="both"/>
      </w:pPr>
      <w:r>
        <w:t>Adjusted OLS, identical in form to the verified published model:</w:t>
      </w:r>
    </w:p>
    <w:p w14:paraId="43DAA2F6" w14:textId="77777777" w:rsidR="00037981" w:rsidRDefault="00000000">
      <w:pPr>
        <w:jc w:val="both"/>
      </w:pPr>
      <w:r>
        <w:t>(lcer_16_0 − cer_16_0) ~ exposure + age + sex + bmi + nyha + statin</w:t>
      </w:r>
    </w:p>
    <w:p w14:paraId="35AA842B" w14:textId="77777777" w:rsidR="00037981" w:rsidRDefault="00000000">
      <w:pPr>
        <w:jc w:val="both"/>
      </w:pPr>
      <w:r>
        <w:t>Reported: β, SE, P, R², n used. Two-sided.</w:t>
      </w:r>
    </w:p>
    <w:p w14:paraId="699D466D" w14:textId="77777777" w:rsidR="00037981" w:rsidRDefault="00000000">
      <w:pPr>
        <w:jc w:val="both"/>
      </w:pPr>
      <w:r>
        <w:t>Inference: participant-level permutation, 10,000 permutations, permuting participant labels of the lipid vector against the exposure vector. The participant is the sampling unit. No pair-level resampling under any circumstance.</w:t>
      </w:r>
    </w:p>
    <w:p w14:paraId="51A3B783" w14:textId="77777777" w:rsidR="00037981" w:rsidRDefault="00000000">
      <w:pPr>
        <w:pStyle w:val="31"/>
        <w:spacing w:before="240" w:after="120"/>
      </w:pPr>
      <w:r>
        <w:rPr>
          <w:rFonts w:ascii="Times New Roman" w:hAnsi="Times New Roman"/>
          <w:color w:val="000000"/>
        </w:rPr>
        <w:t>4. Direction predicted</w:t>
      </w:r>
    </w:p>
    <w:p w14:paraId="10C3F65B" w14:textId="77777777" w:rsidR="00037981" w:rsidRDefault="00000000">
      <w:pPr>
        <w:jc w:val="both"/>
      </w:pPr>
      <w:r>
        <w:rPr>
          <w:b/>
        </w:rPr>
        <w:t>Positive.</w:t>
      </w:r>
      <w:r>
        <w:t xml:space="preserve"> Higher microbial SPT gene abundance is predicted to associate with a higher plasma </w:t>
      </w:r>
      <w:r>
        <w:rPr>
          <w:rFonts w:ascii="Consolas" w:hAnsi="Consolas"/>
          <w:sz w:val="18"/>
        </w:rPr>
        <w:t>lcer_16_0 − cer_16_0</w:t>
      </w:r>
      <w:r>
        <w:t>, i.e. the same sign as the verified taxonomic result (β = +0.4201). A negative association of similar magnitude would be a failure of the mechanistic hypothesis, not a success with the sign flipped, and will be reported as such.</w:t>
      </w:r>
    </w:p>
    <w:p w14:paraId="48CECBC3" w14:textId="77777777" w:rsidR="00037981" w:rsidRDefault="00000000">
      <w:pPr>
        <w:pStyle w:val="31"/>
        <w:spacing w:before="240" w:after="120"/>
      </w:pPr>
      <w:r>
        <w:rPr>
          <w:rFonts w:ascii="Times New Roman" w:hAnsi="Times New Roman"/>
          <w:color w:val="000000"/>
        </w:rPr>
        <w:t>5. The decisive comparison</w:t>
      </w:r>
    </w:p>
    <w:p w14:paraId="406BD55A" w14:textId="77777777" w:rsidR="00037981" w:rsidRDefault="00000000">
      <w:pPr>
        <w:jc w:val="both"/>
      </w:pPr>
      <w:r>
        <w:t>Three nested fits, all with the same five covariates:</w:t>
      </w:r>
    </w:p>
    <w:p w14:paraId="03E4AB8D" w14:textId="77777777" w:rsidR="00037981" w:rsidRDefault="00000000">
      <w:pPr>
        <w:pStyle w:val="a"/>
      </w:pPr>
      <w:r>
        <w:rPr>
          <w:rFonts w:ascii="Consolas" w:hAnsi="Consolas"/>
          <w:sz w:val="18"/>
        </w:rPr>
        <w:t>bacteroides_clr</w:t>
      </w:r>
      <w:r>
        <w:t xml:space="preserve"> alone (the verified published exposure; β = +0.4201).</w:t>
      </w:r>
    </w:p>
    <w:p w14:paraId="7695E921" w14:textId="77777777" w:rsidR="00037981" w:rsidRDefault="00000000">
      <w:pPr>
        <w:pStyle w:val="a"/>
      </w:pPr>
      <w:r>
        <w:rPr>
          <w:rFonts w:ascii="Consolas" w:hAnsi="Consolas"/>
          <w:sz w:val="18"/>
        </w:rPr>
        <w:t>spt_hpm</w:t>
      </w:r>
      <w:r>
        <w:t xml:space="preserve"> alone.</w:t>
      </w:r>
    </w:p>
    <w:p w14:paraId="701D9DEE" w14:textId="77777777" w:rsidR="00037981" w:rsidRDefault="00000000">
      <w:pPr>
        <w:pStyle w:val="a"/>
      </w:pPr>
      <w:r>
        <w:rPr>
          <w:rFonts w:ascii="Consolas" w:hAnsi="Consolas"/>
          <w:sz w:val="18"/>
        </w:rPr>
        <w:t>bacteroides_clr</w:t>
      </w:r>
      <w:r>
        <w:t xml:space="preserve"> + </w:t>
      </w:r>
      <w:r>
        <w:rPr>
          <w:rFonts w:ascii="Consolas" w:hAnsi="Consolas"/>
          <w:sz w:val="18"/>
        </w:rPr>
        <w:t>spt_hpm</w:t>
      </w:r>
      <w:r>
        <w:t xml:space="preserve"> jointly.</w:t>
      </w:r>
    </w:p>
    <w:p w14:paraId="3B40B8E9" w14:textId="77777777" w:rsidR="00037981" w:rsidRDefault="00000000">
      <w:pPr>
        <w:jc w:val="both"/>
      </w:pPr>
      <w:r>
        <w:t>Decision rule, fixed in advance:</w:t>
      </w:r>
    </w:p>
    <w:p w14:paraId="3D028974" w14:textId="77777777" w:rsidR="00037981" w:rsidRDefault="00000000">
      <w:pPr>
        <w:pStyle w:val="a0"/>
      </w:pPr>
      <w:r>
        <w:t xml:space="preserve">If in fit 3 </w:t>
      </w:r>
      <w:r>
        <w:rPr>
          <w:rFonts w:ascii="Consolas" w:hAnsi="Consolas"/>
          <w:sz w:val="18"/>
        </w:rPr>
        <w:t>spt_hpm</w:t>
      </w:r>
      <w:r>
        <w:t xml:space="preserve"> retains P &lt; 0.05 while </w:t>
      </w:r>
      <w:r>
        <w:rPr>
          <w:rFonts w:ascii="Consolas" w:hAnsi="Consolas"/>
          <w:sz w:val="18"/>
        </w:rPr>
        <w:t>bacteroides_clr</w:t>
      </w:r>
      <w:r>
        <w:t xml:space="preserve"> does not, the finding is gene-level and the title may claim the enzyme.</w:t>
      </w:r>
    </w:p>
    <w:p w14:paraId="255FF392" w14:textId="77777777" w:rsidR="00037981" w:rsidRDefault="00000000">
      <w:pPr>
        <w:pStyle w:val="a0"/>
      </w:pPr>
      <w:r>
        <w:t>If both retain significance, the claim is that SPT adds information beyond the genus label, stated as such and no more strongly.</w:t>
      </w:r>
    </w:p>
    <w:p w14:paraId="6D0FE601" w14:textId="77777777" w:rsidR="00037981" w:rsidRDefault="00000000">
      <w:pPr>
        <w:pStyle w:val="a0"/>
      </w:pPr>
      <w:r>
        <w:t xml:space="preserve">If </w:t>
      </w:r>
      <w:r>
        <w:rPr>
          <w:rFonts w:ascii="Consolas" w:hAnsi="Consolas"/>
          <w:sz w:val="18"/>
        </w:rPr>
        <w:t>spt_hpm</w:t>
      </w:r>
      <w:r>
        <w:t xml:space="preserve"> loses significance on adjustment for </w:t>
      </w:r>
      <w:r>
        <w:rPr>
          <w:rFonts w:ascii="Consolas" w:hAnsi="Consolas"/>
          <w:sz w:val="18"/>
        </w:rPr>
        <w:t>bacteroides_clr</w:t>
      </w:r>
      <w:r>
        <w:t>, the honest conclusion is that the gene signal is the genus signal re-measured, the paper stays a taxonomic finding, and that is stated plainly in the memo and the abstract.</w:t>
      </w:r>
    </w:p>
    <w:p w14:paraId="15F79686" w14:textId="77777777" w:rsidR="00037981" w:rsidRDefault="00000000">
      <w:pPr>
        <w:jc w:val="both"/>
      </w:pPr>
      <w:r>
        <w:lastRenderedPageBreak/>
        <w:t>Model comparison by adjusted R² and by a likelihood-ratio test of fit 3 against fit 1.</w:t>
      </w:r>
    </w:p>
    <w:p w14:paraId="5656445B" w14:textId="77777777" w:rsidR="00037981" w:rsidRDefault="00000000">
      <w:pPr>
        <w:pStyle w:val="31"/>
        <w:spacing w:before="240" w:after="120"/>
      </w:pPr>
      <w:r>
        <w:rPr>
          <w:rFonts w:ascii="Times New Roman" w:hAnsi="Times New Roman"/>
          <w:color w:val="000000"/>
        </w:rPr>
        <w:t>6. Dose-response</w:t>
      </w:r>
    </w:p>
    <w:p w14:paraId="4689414F" w14:textId="77777777" w:rsidR="00037981" w:rsidRDefault="00000000">
      <w:pPr>
        <w:jc w:val="both"/>
      </w:pPr>
      <w:r>
        <w:t xml:space="preserve">Tertiles of </w:t>
      </w:r>
      <w:r>
        <w:rPr>
          <w:rFonts w:ascii="Consolas" w:hAnsi="Consolas"/>
          <w:sz w:val="18"/>
        </w:rPr>
        <w:t>spt_hpm</w:t>
      </w:r>
      <w:r>
        <w:t xml:space="preserve"> against the endpoint (covariate-adjusted marginal means), and a restricted cubic spline with 3 knots, as a pre-specified secondary analysis. No threshold will be selected post hoc from the data.</w:t>
      </w:r>
    </w:p>
    <w:p w14:paraId="1A9B3CE8" w14:textId="77777777" w:rsidR="00037981" w:rsidRDefault="00000000">
      <w:pPr>
        <w:pStyle w:val="31"/>
        <w:spacing w:before="240" w:after="120"/>
      </w:pPr>
      <w:r>
        <w:rPr>
          <w:rFonts w:ascii="Times New Roman" w:hAnsi="Times New Roman"/>
          <w:color w:val="000000"/>
        </w:rPr>
        <w:t>7. Known limitation, stated in advance</w:t>
      </w:r>
    </w:p>
    <w:p w14:paraId="507C5584" w14:textId="77777777" w:rsidR="00037981" w:rsidRDefault="00000000">
      <w:pPr>
        <w:jc w:val="both"/>
      </w:pPr>
      <w:r>
        <w:t xml:space="preserve">Translated search of every read was not available on this host (no DIAMOND-class aligner builds for native Windows, no remote compute configured). Stage 1 is an amino-acid 8-mer seed prefilter against a 1,990-sequence bacterial SPT panel, so recruitment sensitivity is bounded by the panel's coverage of gut SPT diversity and the </w:t>
      </w:r>
      <w:r>
        <w:rPr>
          <w:b/>
        </w:rPr>
        <w:t>absolute</w:t>
      </w:r>
      <w:r>
        <w:t xml:space="preserve"> hits-per-million is biased low. The bias is applied identically to every sample and the exposure is used only as a between-participant contrast, so the regression coefficient is interpretable while the absolute rate is not. A null result from this pipeline is therefore weaker evidence of absence than a null from a full-sensitivity search would be, and will not be reported as a confident negative.</w:t>
      </w:r>
    </w:p>
    <w:p w14:paraId="4CE97C7F" w14:textId="77777777" w:rsidR="00037981" w:rsidRDefault="00000000">
      <w:pPr>
        <w:pStyle w:val="31"/>
        <w:spacing w:before="240" w:after="120"/>
      </w:pPr>
      <w:r>
        <w:rPr>
          <w:rFonts w:ascii="Times New Roman" w:hAnsi="Times New Roman"/>
          <w:color w:val="000000"/>
        </w:rPr>
        <w:t>8. What will not be done</w:t>
      </w:r>
    </w:p>
    <w:p w14:paraId="345A0248" w14:textId="77777777" w:rsidR="00037981" w:rsidRDefault="00000000">
      <w:pPr>
        <w:pStyle w:val="a0"/>
      </w:pPr>
      <w:r>
        <w:t>The glycosphingolipid class contrast will not be re-run or promoted (already a verified null: D = +0.166, P = 0.249).</w:t>
      </w:r>
    </w:p>
    <w:p w14:paraId="7C165E71" w14:textId="77777777" w:rsidR="00037981" w:rsidRDefault="00000000">
      <w:pPr>
        <w:pStyle w:val="a0"/>
      </w:pPr>
      <w:r>
        <w:t>The cardiac gene-set specificity test will not be re-run (already indistinguishable from fatty-acid oxidation, p = 0.627, and cholesterol synthesis, p = 0.884).</w:t>
      </w:r>
    </w:p>
    <w:p w14:paraId="01321089" w14:textId="77777777" w:rsidR="00037981" w:rsidRDefault="00000000">
      <w:pPr>
        <w:pStyle w:val="a0"/>
      </w:pPr>
      <w:r>
        <w:t>No pair-level test treating 756 views of 58 people as 756 observations.</w:t>
      </w:r>
    </w:p>
    <w:p w14:paraId="78B1186E" w14:textId="77777777" w:rsidR="00037981" w:rsidRDefault="00037981">
      <w:pPr>
        <w:pBdr>
          <w:bottom w:val="single" w:sz="6" w:space="0" w:color="999999"/>
        </w:pBdr>
      </w:pPr>
    </w:p>
    <w:p w14:paraId="3D032ACD" w14:textId="77777777" w:rsidR="00037981" w:rsidRDefault="00000000">
      <w:pPr>
        <w:pStyle w:val="21"/>
        <w:spacing w:before="240" w:after="120"/>
      </w:pPr>
      <w:r>
        <w:rPr>
          <w:rFonts w:ascii="Times New Roman" w:hAnsi="Times New Roman"/>
          <w:color w:val="000000"/>
        </w:rPr>
        <w:t>Supplementary Note 3. Pre-specification of the repeated-measures analysis</w:t>
      </w:r>
    </w:p>
    <w:p w14:paraId="3D8DBCA3" w14:textId="77777777" w:rsidR="00037981" w:rsidRDefault="00000000">
      <w:pPr>
        <w:jc w:val="both"/>
      </w:pPr>
      <w:r>
        <w:t xml:space="preserve">Written 26 September 2026, </w:t>
      </w:r>
      <w:r>
        <w:rPr>
          <w:b/>
        </w:rPr>
        <w:t>before the analysis below was run</w:t>
      </w:r>
      <w:r>
        <w:t>. At the time of writing the only quantities inspected from the full deposit were structural: row/participant counts, visit labels, which rows carry lipids and microbiome, and the event counts. No exposure–outcome model on the follow-up data had been fitted.</w:t>
      </w:r>
    </w:p>
    <w:p w14:paraId="018A7B9B" w14:textId="77777777" w:rsidR="00037981" w:rsidRDefault="00000000">
      <w:pPr>
        <w:jc w:val="both"/>
      </w:pPr>
      <w:r>
        <w:t>Seed 20260924. The participant is the sampling unit.</w:t>
      </w:r>
    </w:p>
    <w:p w14:paraId="38B49A3D" w14:textId="77777777" w:rsidR="00037981" w:rsidRDefault="00000000">
      <w:pPr>
        <w:pStyle w:val="31"/>
        <w:spacing w:before="240" w:after="120"/>
      </w:pPr>
      <w:r>
        <w:rPr>
          <w:rFonts w:ascii="Times New Roman" w:hAnsi="Times New Roman"/>
          <w:color w:val="000000"/>
        </w:rPr>
        <w:lastRenderedPageBreak/>
        <w:t>Why this analysis</w:t>
      </w:r>
    </w:p>
    <w:p w14:paraId="038DE118" w14:textId="77777777" w:rsidR="00037981" w:rsidRDefault="00000000">
      <w:pPr>
        <w:jc w:val="both"/>
      </w:pPr>
      <w:r>
        <w:t xml:space="preserve">The published finding (β = +0.4201, SE 0.1142, P = 5.67 × 10⁻⁴, n = 58) uses the frozen analysis set, which is </w:t>
      </w:r>
      <w:r>
        <w:rPr>
          <w:b/>
        </w:rPr>
        <w:t>baseline visits only</w:t>
      </w:r>
      <w:r>
        <w:t xml:space="preserve">. The public deposit (10.6084/m9.figshare.30422413) in fact contains </w:t>
      </w:r>
      <w:r>
        <w:rPr>
          <w:b/>
        </w:rPr>
        <w:t>135 rows over 108 participants across three visits</w:t>
      </w:r>
      <w:r>
        <w:t xml:space="preserve"> (baseline, follow_up_1, follow_up_2). Restricting to baseline discarded </w:t>
      </w:r>
      <w:r>
        <w:rPr>
          <w:b/>
        </w:rPr>
        <w:t>27 paired observations</w:t>
      </w:r>
      <w:r>
        <w:t xml:space="preserve"> — 26 at follow_up_1 and 1 at follow_up_2 — belonging to </w:t>
      </w:r>
      <w:r>
        <w:rPr>
          <w:b/>
        </w:rPr>
        <w:t>26 participants who have two or more paired visits</w:t>
      </w:r>
      <w:r>
        <w:t>.</w:t>
      </w:r>
    </w:p>
    <w:p w14:paraId="750106DE" w14:textId="77777777" w:rsidR="00037981" w:rsidRDefault="00000000">
      <w:pPr>
        <w:jc w:val="both"/>
      </w:pPr>
      <w:r>
        <w:t xml:space="preserve">Those 27 observations are an unused, already-public, within-participant test of the lead finding. A cross-sectional correlation that also holds </w:t>
      </w:r>
      <w:r>
        <w:rPr>
          <w:i/>
        </w:rPr>
        <w:t>within</w:t>
      </w:r>
      <w:r>
        <w:t xml:space="preserve"> a participant over time is a materially stronger claim than one that does not, and "single cross-sectional correlation" is the criticism that sank the previous submission.</w:t>
      </w:r>
    </w:p>
    <w:p w14:paraId="437178D8" w14:textId="77777777" w:rsidR="00037981" w:rsidRDefault="00000000">
      <w:pPr>
        <w:pStyle w:val="31"/>
        <w:spacing w:before="240" w:after="120"/>
      </w:pPr>
      <w:r>
        <w:rPr>
          <w:rFonts w:ascii="Times New Roman" w:hAnsi="Times New Roman"/>
          <w:color w:val="000000"/>
        </w:rPr>
        <w:t>Data</w:t>
      </w:r>
    </w:p>
    <w:p w14:paraId="7335DC98" w14:textId="77777777" w:rsidR="00037981" w:rsidRDefault="00000000">
      <w:pPr>
        <w:jc w:val="both"/>
      </w:pPr>
      <w:r>
        <w:t xml:space="preserve">85 paired (lipidomics + metagenomics) observations over 58 participants: 58 baseline, 26 follow_up_1, 1 follow_up_2. All 58 are heart-failure patients; the deposit's 43 non-HF controls with metagenomics have </w:t>
      </w:r>
      <w:r>
        <w:rPr>
          <w:b/>
        </w:rPr>
        <w:t>no</w:t>
      </w:r>
      <w:r>
        <w:t xml:space="preserve"> lipidomics and cannot enter this analysis.</w:t>
      </w:r>
    </w:p>
    <w:p w14:paraId="745CA329" w14:textId="77777777" w:rsidR="00037981" w:rsidRDefault="00000000">
      <w:pPr>
        <w:pStyle w:val="31"/>
        <w:spacing w:before="240" w:after="120"/>
      </w:pPr>
      <w:r>
        <w:rPr>
          <w:rFonts w:ascii="Times New Roman" w:hAnsi="Times New Roman"/>
          <w:color w:val="000000"/>
        </w:rPr>
        <w:t>Exposure and endpoint — unchanged from the published model</w:t>
      </w:r>
    </w:p>
    <w:p w14:paraId="20EC441F" w14:textId="77777777" w:rsidR="00037981" w:rsidRDefault="00000000">
      <w:pPr>
        <w:jc w:val="both"/>
      </w:pPr>
      <w:r>
        <w:t xml:space="preserve">Exposure: mean centred-log-ratio of the same 17 </w:t>
      </w:r>
      <w:r>
        <w:rPr>
          <w:rFonts w:ascii="Consolas" w:hAnsi="Consolas"/>
          <w:sz w:val="18"/>
        </w:rPr>
        <w:t>bacteroides*</w:t>
      </w:r>
      <w:r>
        <w:t xml:space="preserve"> species features, CLR computed over the same 221-species table, zeros replaced by half the minimum positive abundance. </w:t>
      </w:r>
      <w:r>
        <w:rPr>
          <w:b/>
        </w:rPr>
        <w:t>The CLR is recomputed per visit from that visit's own species vector</w:t>
      </w:r>
      <w:r>
        <w:t>, as the published pipeline does per sample.</w:t>
      </w:r>
    </w:p>
    <w:p w14:paraId="22FE2637" w14:textId="77777777" w:rsidR="00037981" w:rsidRDefault="00000000">
      <w:pPr>
        <w:jc w:val="both"/>
      </w:pPr>
      <w:r>
        <w:t xml:space="preserve">Endpoint: </w:t>
      </w:r>
      <w:r>
        <w:rPr>
          <w:rFonts w:ascii="Consolas" w:hAnsi="Consolas"/>
          <w:sz w:val="18"/>
        </w:rPr>
        <w:t>lcer_16_0 − cer_16_0</w:t>
      </w:r>
      <w:r>
        <w:t xml:space="preserve"> (log2 nmol/g). No substitution.</w:t>
      </w:r>
    </w:p>
    <w:p w14:paraId="0B0CD45D" w14:textId="77777777" w:rsidR="00037981" w:rsidRDefault="00000000">
      <w:pPr>
        <w:jc w:val="both"/>
      </w:pPr>
      <w:r>
        <w:t>Covariates: age, sex, bmi, nyha, statin — as published. NYHA and LVEF are recorded per visit, so the time-varying value is used.</w:t>
      </w:r>
    </w:p>
    <w:p w14:paraId="063BB919" w14:textId="77777777" w:rsidR="00037981" w:rsidRDefault="00000000">
      <w:pPr>
        <w:pStyle w:val="31"/>
        <w:spacing w:before="240" w:after="120"/>
      </w:pPr>
      <w:r>
        <w:rPr>
          <w:rFonts w:ascii="Times New Roman" w:hAnsi="Times New Roman"/>
          <w:color w:val="000000"/>
        </w:rPr>
        <w:t>Models, in order</w:t>
      </w:r>
    </w:p>
    <w:p w14:paraId="3C38A83C" w14:textId="77777777" w:rsidR="00037981" w:rsidRDefault="00000000">
      <w:pPr>
        <w:pStyle w:val="a"/>
      </w:pPr>
      <w:r>
        <w:rPr>
          <w:b/>
        </w:rPr>
        <w:t>Gate.</w:t>
      </w:r>
      <w:r>
        <w:t xml:space="preserve"> Refit the published cross-sectional model on the 58 baseline rows drawn from the </w:t>
      </w:r>
      <w:r>
        <w:rPr>
          <w:i/>
        </w:rPr>
        <w:t>deposit</w:t>
      </w:r>
      <w:r>
        <w:t xml:space="preserve"> rather than the frozen CSV. This must reproduce β = +0.4201 ± rounding. If it does not, the deposit-to-frozen mapping is wrong and everything below is void.</w:t>
      </w:r>
    </w:p>
    <w:p w14:paraId="649AC975" w14:textId="77777777" w:rsidR="00037981" w:rsidRDefault="00000000">
      <w:pPr>
        <w:pStyle w:val="a"/>
      </w:pPr>
      <w:r>
        <w:rPr>
          <w:b/>
        </w:rPr>
        <w:t>Primary.</w:t>
      </w:r>
      <w:r>
        <w:t xml:space="preserve"> Linear mixed model on all 85 paired observations with a participant random intercept: </w:t>
      </w:r>
      <w:r>
        <w:rPr>
          <w:rFonts w:ascii="Consolas" w:hAnsi="Consolas"/>
          <w:sz w:val="18"/>
        </w:rPr>
        <w:t>y ~ bacteroides_clr + age + sex + bmi + nyha + statin + (1 | participant_id)</w:t>
      </w:r>
      <w:r>
        <w:t>. Report β, SE, P, and the number of participants and observations.</w:t>
      </w:r>
    </w:p>
    <w:p w14:paraId="212F682B" w14:textId="77777777" w:rsidR="00037981" w:rsidRDefault="00000000">
      <w:pPr>
        <w:pStyle w:val="a"/>
      </w:pPr>
      <w:r>
        <w:rPr>
          <w:b/>
        </w:rPr>
        <w:lastRenderedPageBreak/>
        <w:t>Within-participant contrast (the actual new evidence).</w:t>
      </w:r>
      <w:r>
        <w:t xml:space="preserve"> Restrict to the 26 participants with ≥2 paired visits and decompose the exposure into its participant mean and the within-participant deviation from that mean (Mundlak/within–between specification). The coefficient on the </w:t>
      </w:r>
      <w:r>
        <w:rPr>
          <w:b/>
        </w:rPr>
        <w:t>within</w:t>
      </w:r>
      <w:r>
        <w:t xml:space="preserve"> term is the quantity of interest: does a participant's own change in Bacteroides CLR track their own change in the lipid ratio? Report β_within with a 95% CI.</w:t>
      </w:r>
    </w:p>
    <w:p w14:paraId="32BC0B38" w14:textId="77777777" w:rsidR="00037981" w:rsidRDefault="00000000">
      <w:pPr>
        <w:pStyle w:val="31"/>
        <w:spacing w:before="240" w:after="120"/>
      </w:pPr>
      <w:r>
        <w:rPr>
          <w:rFonts w:ascii="Times New Roman" w:hAnsi="Times New Roman"/>
          <w:color w:val="000000"/>
        </w:rPr>
        <w:t>Direction predicted</w:t>
      </w:r>
    </w:p>
    <w:p w14:paraId="730735C3" w14:textId="77777777" w:rsidR="00037981" w:rsidRDefault="00000000">
      <w:pPr>
        <w:jc w:val="both"/>
      </w:pPr>
      <w:r>
        <w:rPr>
          <w:b/>
        </w:rPr>
        <w:t>Positive</w:t>
      </w:r>
      <w:r>
        <w:t xml:space="preserve"> for both the mixed-model β and β_within, matching the published sign.</w:t>
      </w:r>
    </w:p>
    <w:p w14:paraId="76A6728C" w14:textId="77777777" w:rsidR="00037981" w:rsidRDefault="00000000">
      <w:pPr>
        <w:pStyle w:val="31"/>
        <w:spacing w:before="240" w:after="120"/>
      </w:pPr>
      <w:r>
        <w:rPr>
          <w:rFonts w:ascii="Times New Roman" w:hAnsi="Times New Roman"/>
          <w:color w:val="000000"/>
        </w:rPr>
        <w:t>Decision rule, fixed in advance</w:t>
      </w:r>
    </w:p>
    <w:p w14:paraId="6A8556AC" w14:textId="77777777" w:rsidR="00037981" w:rsidRDefault="00000000">
      <w:pPr>
        <w:pStyle w:val="a0"/>
      </w:pPr>
      <w:r>
        <w:t>If β_within is positive with a CI excluding zero, the association is demonstrated within participants and the finding is no longer purely cross-sectional.</w:t>
      </w:r>
    </w:p>
    <w:p w14:paraId="185B0165" w14:textId="77777777" w:rsidR="00037981" w:rsidRDefault="00000000">
      <w:pPr>
        <w:pStyle w:val="a0"/>
      </w:pPr>
      <w:r>
        <w:t>If β_within is positive but its CI includes zero, the honest statement is that the data are directionally consistent but underpowered at 26 participants — report the estimate and interval, claim nothing more.</w:t>
      </w:r>
    </w:p>
    <w:p w14:paraId="76512B4C" w14:textId="77777777" w:rsidR="00037981" w:rsidRDefault="00000000">
      <w:pPr>
        <w:pStyle w:val="a0"/>
      </w:pPr>
      <w:r>
        <w:t>If β_within is negative, the within-participant evidence contradicts the cross-sectional finding and that must be reported as prominently as the original β.</w:t>
      </w:r>
    </w:p>
    <w:p w14:paraId="22F6F7E0" w14:textId="77777777" w:rsidR="00037981" w:rsidRDefault="00000000">
      <w:pPr>
        <w:pStyle w:val="31"/>
        <w:spacing w:before="240" w:after="120"/>
      </w:pPr>
      <w:r>
        <w:rPr>
          <w:rFonts w:ascii="Times New Roman" w:hAnsi="Times New Roman"/>
          <w:color w:val="000000"/>
        </w:rPr>
        <w:t>What this analysis is NOT</w:t>
      </w:r>
    </w:p>
    <w:p w14:paraId="77900A30" w14:textId="77777777" w:rsidR="00037981" w:rsidRDefault="00000000">
      <w:pPr>
        <w:jc w:val="both"/>
      </w:pPr>
      <w:r>
        <w:t xml:space="preserve">It is not an outcome analysis. The deposit records </w:t>
      </w:r>
      <w:r>
        <w:rPr>
          <w:rFonts w:ascii="Consolas" w:hAnsi="Consolas"/>
          <w:sz w:val="18"/>
        </w:rPr>
        <w:t>lvad_outcome</w:t>
      </w:r>
      <w:r>
        <w:t xml:space="preserve"> and </w:t>
      </w:r>
      <w:r>
        <w:rPr>
          <w:rFonts w:ascii="Consolas" w:hAnsi="Consolas"/>
          <w:sz w:val="18"/>
        </w:rPr>
        <w:t>htx_outcome</w:t>
      </w:r>
      <w:r>
        <w:t xml:space="preserve">, but there are only </w:t>
      </w:r>
      <w:r>
        <w:rPr>
          <w:b/>
        </w:rPr>
        <w:t>9 events (3 LVAD, 7 transplant) among 108 participants</w:t>
      </w:r>
      <w:r>
        <w:t xml:space="preserve">, all 9 falling among the 58 with paired data. Against a 6-term model that is 1.5 events per variable, far below the conventional floor of 10. </w:t>
      </w:r>
      <w:r>
        <w:rPr>
          <w:b/>
        </w:rPr>
        <w:t>No survival or outcome model will be fitted at any point</w:t>
      </w:r>
      <w:r>
        <w:t>, and no clinical-prognostic claim will be made from these data.</w:t>
      </w:r>
    </w:p>
    <w:p w14:paraId="6BE3CE05" w14:textId="77777777" w:rsidR="00037981" w:rsidRDefault="00037981">
      <w:pPr>
        <w:pBdr>
          <w:bottom w:val="single" w:sz="6" w:space="0" w:color="999999"/>
        </w:pBdr>
      </w:pPr>
    </w:p>
    <w:p w14:paraId="1D6375F4" w14:textId="77777777" w:rsidR="00037981" w:rsidRDefault="00000000">
      <w:pPr>
        <w:pStyle w:val="21"/>
        <w:spacing w:before="240" w:after="120"/>
      </w:pPr>
      <w:r>
        <w:rPr>
          <w:rFonts w:ascii="Times New Roman" w:hAnsi="Times New Roman"/>
          <w:color w:val="000000"/>
        </w:rPr>
        <w:t>Supplementary Note 4. Pre-specification of the murine target comparison</w:t>
      </w:r>
    </w:p>
    <w:p w14:paraId="0BB0C6EB" w14:textId="77777777" w:rsidR="00037981" w:rsidRDefault="00000000">
      <w:pPr>
        <w:jc w:val="both"/>
      </w:pPr>
      <w:r>
        <w:t>Written BEFORE any expression value was extracted. Seed 20260924 used in every script.</w:t>
      </w:r>
    </w:p>
    <w:p w14:paraId="17CBDE78" w14:textId="77777777" w:rsidR="00037981" w:rsidRDefault="00000000">
      <w:pPr>
        <w:pStyle w:val="31"/>
        <w:spacing w:before="240" w:after="120"/>
      </w:pPr>
      <w:r>
        <w:rPr>
          <w:rFonts w:ascii="Times New Roman" w:hAnsi="Times New Roman"/>
          <w:color w:val="000000"/>
        </w:rPr>
        <w:t>Question</w:t>
      </w:r>
    </w:p>
    <w:p w14:paraId="032264CF" w14:textId="77777777" w:rsidR="00037981" w:rsidRDefault="00000000">
      <w:pPr>
        <w:jc w:val="both"/>
      </w:pPr>
      <w:r>
        <w:t xml:space="preserve">Does </w:t>
      </w:r>
      <w:r>
        <w:rPr>
          <w:i/>
        </w:rPr>
        <w:t>B4galt6</w:t>
      </w:r>
      <w:r>
        <w:t xml:space="preserve"> respond to microbial colonisation in cardiac tissue in the way the manuscript's mouse arm claims </w:t>
      </w:r>
      <w:r>
        <w:rPr>
          <w:i/>
        </w:rPr>
        <w:t>B4galt5</w:t>
      </w:r>
      <w:r>
        <w:t xml:space="preserve"> does? </w:t>
      </w:r>
      <w:r>
        <w:rPr>
          <w:i/>
        </w:rPr>
        <w:t>B4galt6</w:t>
      </w:r>
      <w:r>
        <w:t xml:space="preserve"> is the only glycosphingolipid pathway gene that replicates in human failing left ventricle (GSE116250: B4GALT6 -0.622 / -0.797, p = 2.7e-4; </w:t>
      </w:r>
      <w:r>
        <w:lastRenderedPageBreak/>
        <w:t>B4GALT5 p = 0.73; UGCG sign-reversed +0.315, p = 0.012 — all already verified, not re-derived here).</w:t>
      </w:r>
    </w:p>
    <w:p w14:paraId="59820A0D" w14:textId="77777777" w:rsidR="00037981" w:rsidRDefault="00000000">
      <w:pPr>
        <w:pStyle w:val="31"/>
        <w:spacing w:before="240" w:after="120"/>
      </w:pPr>
      <w:r>
        <w:rPr>
          <w:rFonts w:ascii="Times New Roman" w:hAnsi="Times New Roman"/>
          <w:color w:val="000000"/>
        </w:rPr>
        <w:t>Primary endpoint (pre-specified, one per dataset)</w:t>
      </w:r>
    </w:p>
    <w:p w14:paraId="6CC87F0C" w14:textId="77777777" w:rsidR="00037981" w:rsidRDefault="00000000">
      <w:pPr>
        <w:pStyle w:val="a0"/>
      </w:pPr>
      <w:r>
        <w:rPr>
          <w:b/>
        </w:rPr>
        <w:t>GSE322803 heart</w:t>
      </w:r>
      <w:r>
        <w:t xml:space="preserve">: log2 fold change of </w:t>
      </w:r>
      <w:r>
        <w:rPr>
          <w:i/>
        </w:rPr>
        <w:t>B4galt6</w:t>
      </w:r>
      <w:r>
        <w:t xml:space="preserve"> between colonised (SPF) and germ-free (GF) heart samples. Secondary within-dataset contrast: FMT vs GF.</w:t>
      </w:r>
    </w:p>
    <w:p w14:paraId="62BED689" w14:textId="77777777" w:rsidR="00037981" w:rsidRDefault="00000000">
      <w:pPr>
        <w:pStyle w:val="a0"/>
      </w:pPr>
      <w:r>
        <w:rPr>
          <w:b/>
        </w:rPr>
        <w:t>GSE14929 myocardium</w:t>
      </w:r>
      <w:r>
        <w:t xml:space="preserve">: log2 fold change of </w:t>
      </w:r>
      <w:r>
        <w:rPr>
          <w:i/>
        </w:rPr>
        <w:t>B4galt6</w:t>
      </w:r>
      <w:r>
        <w:t xml:space="preserve"> between CONV-D and GF myocardium, estimated from a two-factor linear model with colonisation and genotype (WT / </w:t>
      </w:r>
      <w:r>
        <w:rPr>
          <w:i/>
        </w:rPr>
        <w:t>Ppara</w:t>
      </w:r>
      <w:r>
        <w:t>-/-) as main effects. Genotype x colonisation interaction reported but not the primary endpoint.</w:t>
      </w:r>
    </w:p>
    <w:p w14:paraId="4E392441" w14:textId="77777777" w:rsidR="00037981" w:rsidRDefault="00000000">
      <w:pPr>
        <w:pStyle w:val="31"/>
        <w:spacing w:before="240" w:after="120"/>
      </w:pPr>
      <w:r>
        <w:rPr>
          <w:rFonts w:ascii="Times New Roman" w:hAnsi="Times New Roman"/>
          <w:color w:val="000000"/>
        </w:rPr>
        <w:t>Co-primary comparator</w:t>
      </w:r>
    </w:p>
    <w:p w14:paraId="0130AD54" w14:textId="77777777" w:rsidR="00037981" w:rsidRDefault="00000000">
      <w:pPr>
        <w:jc w:val="both"/>
      </w:pPr>
      <w:r>
        <w:t xml:space="preserve">Identical estimates for </w:t>
      </w:r>
      <w:r>
        <w:rPr>
          <w:i/>
        </w:rPr>
        <w:t>B4galt5</w:t>
      </w:r>
      <w:r>
        <w:t xml:space="preserve"> in the same samples/model. The decision rule is a comparison of the two genes' effect sizes and intervals, not a significance test on either alone.</w:t>
      </w:r>
    </w:p>
    <w:p w14:paraId="43762F94" w14:textId="77777777" w:rsidR="00037981" w:rsidRDefault="00000000">
      <w:pPr>
        <w:pStyle w:val="31"/>
        <w:spacing w:before="240" w:after="120"/>
      </w:pPr>
      <w:r>
        <w:rPr>
          <w:rFonts w:ascii="Times New Roman" w:hAnsi="Times New Roman"/>
          <w:color w:val="000000"/>
        </w:rPr>
        <w:t>Context panel (reported, not decision-driving)</w:t>
      </w:r>
    </w:p>
    <w:p w14:paraId="280C2639" w14:textId="77777777" w:rsidR="00037981" w:rsidRDefault="00000000">
      <w:pPr>
        <w:jc w:val="both"/>
      </w:pPr>
      <w:r>
        <w:rPr>
          <w:i/>
        </w:rPr>
        <w:t>Ugcg</w:t>
      </w:r>
      <w:r>
        <w:t xml:space="preserve"> and </w:t>
      </w:r>
      <w:r>
        <w:rPr>
          <w:i/>
        </w:rPr>
        <w:t>B4galt1</w:t>
      </w:r>
      <w:r>
        <w:t xml:space="preserve"> through </w:t>
      </w:r>
      <w:r>
        <w:rPr>
          <w:i/>
        </w:rPr>
        <w:t>B4galt7</w:t>
      </w:r>
      <w:r>
        <w:t>, same models.</w:t>
      </w:r>
    </w:p>
    <w:p w14:paraId="75231565" w14:textId="77777777" w:rsidR="00037981" w:rsidRDefault="00000000">
      <w:pPr>
        <w:pStyle w:val="31"/>
        <w:spacing w:before="240" w:after="120"/>
      </w:pPr>
      <w:r>
        <w:rPr>
          <w:rFonts w:ascii="Times New Roman" w:hAnsi="Times New Roman"/>
          <w:color w:val="000000"/>
        </w:rPr>
        <w:t>Secondary panel</w:t>
      </w:r>
    </w:p>
    <w:p w14:paraId="5DF8C8D6" w14:textId="77777777" w:rsidR="00037981" w:rsidRDefault="00000000">
      <w:pPr>
        <w:jc w:val="both"/>
      </w:pPr>
      <w:r>
        <w:t xml:space="preserve">All other GSE322803 tissues, same SPF-vs-GF contrast, to show whether any </w:t>
      </w:r>
      <w:r>
        <w:rPr>
          <w:i/>
        </w:rPr>
        <w:t>B4galt6</w:t>
      </w:r>
      <w:r>
        <w:t xml:space="preserve"> cardiac effect is cardiac-specific.</w:t>
      </w:r>
    </w:p>
    <w:p w14:paraId="2C3DB167" w14:textId="77777777" w:rsidR="00037981" w:rsidRDefault="00000000">
      <w:pPr>
        <w:pStyle w:val="31"/>
        <w:spacing w:before="240" w:after="120"/>
      </w:pPr>
      <w:r>
        <w:rPr>
          <w:rFonts w:ascii="Times New Roman" w:hAnsi="Times New Roman"/>
          <w:color w:val="000000"/>
        </w:rPr>
        <w:t>Statistical rules</w:t>
      </w:r>
    </w:p>
    <w:p w14:paraId="55CB9954" w14:textId="77777777" w:rsidR="00037981" w:rsidRDefault="00000000">
      <w:pPr>
        <w:pStyle w:val="a0"/>
      </w:pPr>
      <w:r>
        <w:t>Sampling unit is the ANIMAL. n = 3 per group per tissue in GSE322803.</w:t>
      </w:r>
    </w:p>
    <w:p w14:paraId="7EC60E58" w14:textId="77777777" w:rsidR="00037981" w:rsidRDefault="00000000">
      <w:pPr>
        <w:pStyle w:val="a0"/>
      </w:pPr>
      <w:r>
        <w:t>Effect size = log2 fold change (difference of group means on log2 scale).</w:t>
      </w:r>
    </w:p>
    <w:p w14:paraId="0F213637" w14:textId="77777777" w:rsidR="00037981" w:rsidRDefault="00000000">
      <w:pPr>
        <w:pStyle w:val="a0"/>
      </w:pPr>
      <w:r>
        <w:t>Interval = Welch two-sample t 95% CI on the difference of means. With n = 3 vs 3 this interval is wide by construction; that width IS the result.</w:t>
      </w:r>
    </w:p>
    <w:p w14:paraId="0829935B" w14:textId="77777777" w:rsidR="00037981" w:rsidRDefault="00000000">
      <w:pPr>
        <w:pStyle w:val="a0"/>
      </w:pPr>
      <w:r>
        <w:t>Nominal two-sided p from the same Welch t (or the model coefficient t-test for GSE14929). No multiplicity adjustment applied across the 8 context genes — they are descriptive.</w:t>
      </w:r>
    </w:p>
    <w:p w14:paraId="3E06C674" w14:textId="77777777" w:rsidR="00037981" w:rsidRDefault="00000000">
      <w:pPr>
        <w:pStyle w:val="a0"/>
      </w:pPr>
      <w:r>
        <w:rPr>
          <w:b/>
        </w:rPr>
        <w:t>No gene-set / pathway enrichment test will be run.</w:t>
      </w:r>
      <w:r>
        <w:t xml:space="preserve"> n = 3 animals cannot be converted into replication by aggregating genes; doing so would restate a 3-animal experiment as if it had gene-level independence.</w:t>
      </w:r>
    </w:p>
    <w:p w14:paraId="24F8130E" w14:textId="77777777" w:rsidR="00037981" w:rsidRDefault="00000000">
      <w:pPr>
        <w:pStyle w:val="a0"/>
      </w:pPr>
      <w:r>
        <w:lastRenderedPageBreak/>
        <w:t>Permutation is not informative at n = 3 vs 3 (10 distinct splits, minimum attainable two-sided p = 0.1); exact-permutation p is therefore reported only as a floor where it is computed, never as the headline.</w:t>
      </w:r>
    </w:p>
    <w:p w14:paraId="5BFFBB6E" w14:textId="77777777" w:rsidR="00037981" w:rsidRDefault="00000000">
      <w:pPr>
        <w:pStyle w:val="31"/>
        <w:spacing w:before="240" w:after="120"/>
      </w:pPr>
      <w:r>
        <w:rPr>
          <w:rFonts w:ascii="Times New Roman" w:hAnsi="Times New Roman"/>
          <w:color w:val="000000"/>
        </w:rPr>
        <w:t>Decision rule, fixed in advance</w:t>
      </w:r>
    </w:p>
    <w:p w14:paraId="7CC63F67" w14:textId="77777777" w:rsidR="00037981" w:rsidRDefault="00000000">
      <w:pPr>
        <w:pStyle w:val="a"/>
      </w:pPr>
      <w:r>
        <w:t xml:space="preserve">If </w:t>
      </w:r>
      <w:r>
        <w:rPr>
          <w:i/>
        </w:rPr>
        <w:t>B4galt6</w:t>
      </w:r>
      <w:r>
        <w:t xml:space="preserve"> shows a colonisation effect in heart of the same sign and comparable or larger magnitude than </w:t>
      </w:r>
      <w:r>
        <w:rPr>
          <w:i/>
        </w:rPr>
        <w:t>B4galt5</w:t>
      </w:r>
      <w:r>
        <w:t xml:space="preserve">, and </w:t>
      </w:r>
      <w:r>
        <w:rPr>
          <w:i/>
        </w:rPr>
        <w:t>B4galt5</w:t>
      </w:r>
      <w:r>
        <w:t xml:space="preserve">'s interval includes zero while </w:t>
      </w:r>
      <w:r>
        <w:rPr>
          <w:i/>
        </w:rPr>
        <w:t>B4galt6</w:t>
      </w:r>
      <w:r>
        <w:t xml:space="preserve">'s does not, recommend </w:t>
      </w:r>
      <w:r>
        <w:rPr>
          <w:i/>
        </w:rPr>
        <w:t>B4galt6</w:t>
      </w:r>
      <w:r>
        <w:t>.</w:t>
      </w:r>
    </w:p>
    <w:p w14:paraId="5C7B4774" w14:textId="77777777" w:rsidR="00037981" w:rsidRDefault="00000000">
      <w:pPr>
        <w:pStyle w:val="a"/>
      </w:pPr>
      <w:r>
        <w:t>If both intervals include zero, the honest deliverable is "underpowered, cannot be settled at n = 3", plus the effect sizes and intervals, plus a required sample size for the observed effect.</w:t>
      </w:r>
    </w:p>
    <w:p w14:paraId="007122DB" w14:textId="77777777" w:rsidR="00037981" w:rsidRDefault="00000000">
      <w:pPr>
        <w:pStyle w:val="a"/>
      </w:pPr>
      <w:r>
        <w:t xml:space="preserve">Human replication (already verified) breaks ties in favour of </w:t>
      </w:r>
      <w:r>
        <w:rPr>
          <w:i/>
        </w:rPr>
        <w:t>B4galt6</w:t>
      </w:r>
      <w:r>
        <w:t>, because a mouse target that fails human replication is not worth animal money regardless of its mouse effect size.</w:t>
      </w:r>
    </w:p>
    <w:p w14:paraId="0F52ECC0" w14:textId="77777777" w:rsidR="00037981" w:rsidRDefault="00037981">
      <w:pPr>
        <w:pBdr>
          <w:bottom w:val="single" w:sz="6" w:space="0" w:color="999999"/>
        </w:pBdr>
      </w:pPr>
    </w:p>
    <w:p w14:paraId="7B513646" w14:textId="77777777" w:rsidR="00037981" w:rsidRDefault="00000000">
      <w:pPr>
        <w:pStyle w:val="21"/>
        <w:spacing w:before="240" w:after="120"/>
      </w:pPr>
      <w:r>
        <w:rPr>
          <w:rFonts w:ascii="Times New Roman" w:hAnsi="Times New Roman"/>
          <w:color w:val="000000"/>
        </w:rPr>
        <w:t>Supplementary Note 5. Extended methods: bacterial SPT quantification</w:t>
      </w:r>
    </w:p>
    <w:p w14:paraId="759C0D6E" w14:textId="77777777" w:rsidR="00037981" w:rsidRDefault="00000000">
      <w:pPr>
        <w:jc w:val="both"/>
      </w:pPr>
      <w:r>
        <w:t xml:space="preserve">Replaces the </w:t>
      </w:r>
      <w:r>
        <w:rPr>
          <w:rFonts w:ascii="Consolas" w:hAnsi="Consolas"/>
          <w:sz w:val="18"/>
        </w:rPr>
        <w:t>[AUTHOR INPUT]</w:t>
      </w:r>
      <w:r>
        <w:t xml:space="preserve"> bracket. Every field below is a recorded parameter of the pipeline actually run, not an intention. Checksums for all inputs are in </w:t>
      </w:r>
      <w:r>
        <w:rPr>
          <w:rFonts w:ascii="Consolas" w:hAnsi="Consolas"/>
          <w:sz w:val="18"/>
        </w:rPr>
        <w:t>CHECKSUM_MANIFEST.json</w:t>
      </w:r>
      <w:r>
        <w:t xml:space="preserve">; scripts are </w:t>
      </w:r>
      <w:r>
        <w:rPr>
          <w:rFonts w:ascii="Consolas" w:hAnsi="Consolas"/>
          <w:sz w:val="18"/>
        </w:rPr>
        <w:t>spt_pipeline.py</w:t>
      </w:r>
      <w:r>
        <w:t xml:space="preserve">, </w:t>
      </w:r>
      <w:r>
        <w:rPr>
          <w:rFonts w:ascii="Consolas" w:hAnsi="Consolas"/>
          <w:sz w:val="18"/>
        </w:rPr>
        <w:t>run_stage1.py</w:t>
      </w:r>
      <w:r>
        <w:t xml:space="preserve">, </w:t>
      </w:r>
      <w:r>
        <w:rPr>
          <w:rFonts w:ascii="Consolas" w:hAnsi="Consolas"/>
          <w:sz w:val="18"/>
        </w:rPr>
        <w:t>run_stage2.py</w:t>
      </w:r>
      <w:r>
        <w:t xml:space="preserve">, </w:t>
      </w:r>
      <w:r>
        <w:rPr>
          <w:rFonts w:ascii="Consolas" w:hAnsi="Consolas"/>
          <w:sz w:val="18"/>
        </w:rPr>
        <w:t>run_stats.py</w:t>
      </w:r>
      <w:r>
        <w:t>. Fixed seed 20260924 throughout.</w:t>
      </w:r>
    </w:p>
    <w:p w14:paraId="7EBC3011" w14:textId="77777777" w:rsidR="00037981" w:rsidRDefault="00000000">
      <w:pPr>
        <w:pStyle w:val="31"/>
        <w:spacing w:before="240" w:after="120"/>
      </w:pPr>
      <w:r>
        <w:rPr>
          <w:rFonts w:ascii="Times New Roman" w:hAnsi="Times New Roman"/>
          <w:color w:val="000000"/>
        </w:rPr>
        <w:t>2.11.1 Samples and reads</w:t>
      </w:r>
    </w:p>
    <w:p w14:paraId="148CE6CD" w14:textId="77777777" w:rsidR="00037981" w:rsidRDefault="00000000">
      <w:pPr>
        <w:jc w:val="both"/>
      </w:pPr>
      <w:r>
        <w:t xml:space="preserve">Reads were obtained for the 58 baseline samples of the frozen analysis set from BioProject </w:t>
      </w:r>
      <w:r>
        <w:rPr>
          <w:b/>
        </w:rPr>
        <w:t>PRJNA1266263</w:t>
      </w:r>
      <w:r>
        <w:t xml:space="preserve">. Sample identity was established by exact match of the frozen-set </w:t>
      </w:r>
      <w:r>
        <w:rPr>
          <w:rFonts w:ascii="Consolas" w:hAnsi="Consolas"/>
          <w:sz w:val="18"/>
        </w:rPr>
        <w:t>record_id</w:t>
      </w:r>
      <w:r>
        <w:t xml:space="preserve"> to the ENA </w:t>
      </w:r>
      <w:r>
        <w:rPr>
          <w:rFonts w:ascii="Consolas" w:hAnsi="Consolas"/>
          <w:sz w:val="18"/>
        </w:rPr>
        <w:t>sample_alias</w:t>
      </w:r>
      <w:r>
        <w:t xml:space="preserve"> field; all 58 matched one-to-one to a distinct run accession. The run manifest with accessions, read counts and base counts is </w:t>
      </w:r>
      <w:r>
        <w:rPr>
          <w:rFonts w:ascii="Consolas" w:hAnsi="Consolas"/>
          <w:sz w:val="18"/>
        </w:rPr>
        <w:t>run_manifest.csv</w:t>
      </w:r>
      <w:r>
        <w:t>.</w:t>
      </w:r>
    </w:p>
    <w:p w14:paraId="7C7F0C3A" w14:textId="77777777" w:rsidR="00037981" w:rsidRDefault="00000000">
      <w:pPr>
        <w:jc w:val="both"/>
      </w:pPr>
      <w:r>
        <w:rPr>
          <w:b/>
        </w:rPr>
        <w:t>Library type — a confound to state explicitly.</w:t>
      </w:r>
      <w:r>
        <w:t xml:space="preserve"> All 170 runs in this BioProject are recorded in the SRA runinfo table as </w:t>
      </w:r>
      <w:r>
        <w:rPr>
          <w:rFonts w:ascii="Consolas" w:hAnsi="Consolas"/>
          <w:sz w:val="18"/>
        </w:rPr>
        <w:t>LibraryStrategy=WGA</w:t>
      </w:r>
      <w:r>
        <w:t xml:space="preserve"> (whole-genome </w:t>
      </w:r>
      <w:r>
        <w:rPr>
          <w:b/>
        </w:rPr>
        <w:t>amplification</w:t>
      </w:r>
      <w:r>
        <w:t xml:space="preserve">), </w:t>
      </w:r>
      <w:r>
        <w:rPr>
          <w:rFonts w:ascii="Consolas" w:hAnsi="Consolas"/>
          <w:sz w:val="18"/>
        </w:rPr>
        <w:t>LibrarySource=METAGENOMIC</w:t>
      </w:r>
      <w:r>
        <w:t xml:space="preserve">, paired-end Illumina. They are therefore not direct whole-genome shotgun libraries. Whole-genome amplification is known to distort per-locus coverage (GC- and template-concentration-dependent bias), so a hits-per-million rate derived from them is an </w:t>
      </w:r>
      <w:r>
        <w:rPr>
          <w:i/>
        </w:rPr>
        <w:t>amplified-library</w:t>
      </w:r>
      <w:r>
        <w:t xml:space="preserve"> rate rather than a clean estimate of gene relative abundance in the community.</w:t>
      </w:r>
    </w:p>
    <w:p w14:paraId="31051165" w14:textId="77777777" w:rsidR="00037981" w:rsidRDefault="00000000">
      <w:pPr>
        <w:jc w:val="both"/>
      </w:pPr>
      <w:r>
        <w:rPr>
          <w:b/>
        </w:rPr>
        <w:t>This must be treated as a load-bearing limitation, not a cancelled one.</w:t>
      </w:r>
      <w:r>
        <w:t xml:space="preserve"> Identical library preparation does not imply a constant sample-level bias: whole-genome amplification distorts microbial community profiles in a manner that depends on per-taxon GC content and template </w:t>
      </w:r>
      <w:r>
        <w:lastRenderedPageBreak/>
        <w:t xml:space="preserve">integrity (Direito et al., </w:t>
      </w:r>
      <w:r>
        <w:rPr>
          <w:i/>
        </w:rPr>
        <w:t>Biotechnol Lett</w:t>
      </w:r>
      <w:r>
        <w:t xml:space="preserve"> 36:1 2014, PMID 24372985). Those properties vary </w:t>
      </w:r>
      <w:r>
        <w:rPr>
          <w:i/>
        </w:rPr>
        <w:t>with community composition</w:t>
      </w:r>
      <w:r>
        <w:t xml:space="preserve">, which is precisely the axis the </w:t>
      </w:r>
      <w:r>
        <w:rPr>
          <w:i/>
        </w:rPr>
        <w:t>Bacteroides</w:t>
      </w:r>
      <w:r>
        <w:t xml:space="preserve"> summary measures — so the bias can vary between samples along the same direction as the exposure under test. This is the one mechanism by which the pipeline could forge the association it is meant to test, and an earlier draft of this section understated it by describing the bias as shared and therefore cancelling.</w:t>
      </w:r>
    </w:p>
    <w:p w14:paraId="2A792124" w14:textId="77777777" w:rsidR="00037981" w:rsidRDefault="00000000">
      <w:pPr>
        <w:jc w:val="both"/>
      </w:pPr>
      <w:r>
        <w:t>Consequences for interpretation, all mandatory:</w:t>
      </w:r>
    </w:p>
    <w:p w14:paraId="03F92691" w14:textId="77777777" w:rsidR="00037981" w:rsidRDefault="00000000">
      <w:pPr>
        <w:pStyle w:val="a0"/>
      </w:pPr>
      <w:r>
        <w:t xml:space="preserve">The joint model (SPT adjusted for the </w:t>
      </w:r>
      <w:r>
        <w:rPr>
          <w:i/>
        </w:rPr>
        <w:t>Bacteroides</w:t>
      </w:r>
      <w:r>
        <w:t xml:space="preserve"> CLR summary) is the interpretively decisive fit, not a supplementary one. A positive SPT-only result must not be reported as gene-level without it.</w:t>
      </w:r>
    </w:p>
    <w:p w14:paraId="08493CE8" w14:textId="77777777" w:rsidR="00037981" w:rsidRDefault="00000000">
      <w:pPr>
        <w:pStyle w:val="a0"/>
      </w:pPr>
      <w:r>
        <w:t>No claim that WGA bias is shared or cancelled may be made without sample-level evidence, which this dataset does not contain.</w:t>
      </w:r>
    </w:p>
    <w:p w14:paraId="7CB2348B" w14:textId="77777777" w:rsidR="00037981" w:rsidRDefault="00000000">
      <w:pPr>
        <w:pStyle w:val="a0"/>
      </w:pPr>
      <w:r>
        <w:t>A GC-content sensitivity analysis is the minimum available check: if the SPT association tracks the GC content of the recruiting organisms, amplification bias is a live alternative explanation.</w:t>
      </w:r>
    </w:p>
    <w:p w14:paraId="5B96B566" w14:textId="77777777" w:rsidR="00037981" w:rsidRDefault="00000000">
      <w:pPr>
        <w:jc w:val="both"/>
      </w:pPr>
      <w:r>
        <w:t xml:space="preserve">Only the </w:t>
      </w:r>
      <w:r>
        <w:rPr>
          <w:b/>
        </w:rPr>
        <w:t>R1</w:t>
      </w:r>
      <w:r>
        <w:t xml:space="preserve"> mate was used, to avoid double-counting a fragment whose two mates can both overlap the same gene. Each sample was given an </w:t>
      </w:r>
      <w:r>
        <w:rPr>
          <w:b/>
        </w:rPr>
        <w:t>identical compressed-byte budget of 60,000,000 bytes</w:t>
      </w:r>
      <w:r>
        <w:t xml:space="preserve"> of R1, streamed directly from the archive without storing FASTQ; the number of reads actually parsed is recorded per sample and is the denominator of every rate reported (</w:t>
      </w:r>
      <w:r>
        <w:rPr>
          <w:rFonts w:ascii="Consolas" w:hAnsi="Consolas"/>
          <w:sz w:val="18"/>
        </w:rPr>
        <w:t>stage1_counts.csv</w:t>
      </w:r>
      <w:r>
        <w:t>). Read length was 151 nt.</w:t>
      </w:r>
    </w:p>
    <w:p w14:paraId="3FBA0277" w14:textId="77777777" w:rsidR="00037981" w:rsidRDefault="00000000">
      <w:pPr>
        <w:pStyle w:val="31"/>
        <w:spacing w:before="240" w:after="120"/>
      </w:pPr>
      <w:r>
        <w:rPr>
          <w:rFonts w:ascii="Times New Roman" w:hAnsi="Times New Roman"/>
          <w:color w:val="000000"/>
        </w:rPr>
        <w:t>2.11.2 Read quality handling and host removal — DECLARED DEVIATION</w:t>
      </w:r>
    </w:p>
    <w:p w14:paraId="5DFD6519" w14:textId="77777777" w:rsidR="00037981" w:rsidRDefault="00000000">
      <w:pPr>
        <w:jc w:val="both"/>
      </w:pPr>
      <w:r>
        <w:t xml:space="preserve">No adapter/quality trimming tool and no host-read subtraction step were run. This is a deviation from standard practice and is declared rather than concealed: the analysis host was native Windows with no conda-forge/bioconda build available for </w:t>
      </w:r>
      <w:r>
        <w:rPr>
          <w:rFonts w:ascii="Consolas" w:hAnsi="Consolas"/>
          <w:sz w:val="18"/>
        </w:rPr>
        <w:t>fastp</w:t>
      </w:r>
      <w:r>
        <w:t xml:space="preserve">, </w:t>
      </w:r>
      <w:r>
        <w:rPr>
          <w:rFonts w:ascii="Consolas" w:hAnsi="Consolas"/>
          <w:sz w:val="18"/>
        </w:rPr>
        <w:t>fastq-dump</w:t>
      </w:r>
      <w:r>
        <w:t xml:space="preserve">, </w:t>
      </w:r>
      <w:r>
        <w:rPr>
          <w:rFonts w:ascii="Consolas" w:hAnsi="Consolas"/>
          <w:sz w:val="18"/>
        </w:rPr>
        <w:t>bowtie2</w:t>
      </w:r>
      <w:r>
        <w:t xml:space="preserve">, </w:t>
      </w:r>
      <w:r>
        <w:rPr>
          <w:rFonts w:ascii="Consolas" w:hAnsi="Consolas"/>
          <w:sz w:val="18"/>
        </w:rPr>
        <w:t>minimap2</w:t>
      </w:r>
      <w:r>
        <w:t xml:space="preserve"> or </w:t>
      </w:r>
      <w:r>
        <w:rPr>
          <w:rFonts w:ascii="Consolas" w:hAnsi="Consolas"/>
          <w:sz w:val="18"/>
        </w:rPr>
        <w:t>DIAMOND</w:t>
      </w:r>
      <w:r>
        <w:t>, and no remote Linux compute was configured for the project.</w:t>
      </w:r>
    </w:p>
    <w:p w14:paraId="5D1C5010" w14:textId="77777777" w:rsidR="00037981" w:rsidRDefault="00000000">
      <w:pPr>
        <w:jc w:val="both"/>
      </w:pPr>
      <w:r>
        <w:t xml:space="preserve">The consequences are bounded for the numerator but </w:t>
      </w:r>
      <w:r>
        <w:rPr>
          <w:b/>
        </w:rPr>
        <w:t>not</w:t>
      </w:r>
      <w:r>
        <w:t xml:space="preserve"> for the denominator:</w:t>
      </w:r>
    </w:p>
    <w:p w14:paraId="223869CE" w14:textId="77777777" w:rsidR="00037981" w:rsidRDefault="00000000">
      <w:pPr>
        <w:pStyle w:val="a0"/>
      </w:pPr>
      <w:r>
        <w:rPr>
          <w:b/>
        </w:rPr>
        <w:t>Host reads cannot enter the numerator.</w:t>
      </w:r>
      <w:r>
        <w:t xml:space="preserve"> Human reads cannot be scored as bacterial SPT, because the search panel contains the human and mouse SPTLC1/2/3 subunits as explicit decoys and a read is counted only when its best hit is a bacterial SPT (2.11.4).</w:t>
      </w:r>
    </w:p>
    <w:p w14:paraId="693FBE34" w14:textId="77777777" w:rsidR="00037981" w:rsidRDefault="00000000">
      <w:pPr>
        <w:pStyle w:val="a0"/>
      </w:pPr>
      <w:r>
        <w:rPr>
          <w:b/>
        </w:rPr>
        <w:t>They do enter the denominator, and that is not merely noise.</w:t>
      </w:r>
      <w:r>
        <w:t xml:space="preserve"> </w:t>
      </w:r>
      <w:r>
        <w:rPr>
          <w:rFonts w:ascii="Consolas" w:hAnsi="Consolas"/>
          <w:sz w:val="18"/>
        </w:rPr>
        <w:t>spt_hpm</w:t>
      </w:r>
      <w:r>
        <w:t xml:space="preserve"> is SPT reads per million reads </w:t>
      </w:r>
      <w:r>
        <w:rPr>
          <w:i/>
        </w:rPr>
        <w:t>parsed</w:t>
      </w:r>
      <w:r>
        <w:t xml:space="preserve">, so the host fraction sits in the denominator. Two samples with identical SPT density per bacterial read return different </w:t>
      </w:r>
      <w:r>
        <w:rPr>
          <w:rFonts w:ascii="Consolas" w:hAnsi="Consolas"/>
          <w:sz w:val="18"/>
        </w:rPr>
        <w:t>spt_hpm</w:t>
      </w:r>
      <w:r>
        <w:t xml:space="preserve"> if one carries more host DNA. If the </w:t>
      </w:r>
      <w:r>
        <w:lastRenderedPageBreak/>
        <w:t xml:space="preserve">host fraction covaries with the plasma endpoint — which cannot be ruled out, since stool composition, disease severity and sample handling all plausibly track both — this </w:t>
      </w:r>
      <w:r>
        <w:rPr>
          <w:b/>
        </w:rPr>
        <w:t>distorts or creates</w:t>
      </w:r>
      <w:r>
        <w:t xml:space="preserve"> a between-sample association rather than diluting one. An earlier draft of this section asserted that host contamination "adds noise; it cannot manufacture an association". That was wrong and is corrected here (external code review, 26 September 2026).</w:t>
      </w:r>
    </w:p>
    <w:p w14:paraId="4D70BDD6" w14:textId="77777777" w:rsidR="00037981" w:rsidRDefault="00000000">
      <w:pPr>
        <w:jc w:val="both"/>
      </w:pPr>
      <w:r>
        <w:t xml:space="preserve">Required before the exposure is interpreted: estimate the per-sample host fraction — a search of a human reference against the same per-sample read budget suffices, and does not require the reads to be </w:t>
      </w:r>
      <w:r>
        <w:rPr>
          <w:i/>
        </w:rPr>
        <w:t>removed</w:t>
      </w:r>
      <w:r>
        <w:t xml:space="preserve"> — then report the primary association both unadjusted and adjusted for it. Until that is done </w:t>
      </w:r>
      <w:r>
        <w:rPr>
          <w:rFonts w:ascii="Consolas" w:hAnsi="Consolas"/>
          <w:sz w:val="18"/>
        </w:rPr>
        <w:t>spt_hpm</w:t>
      </w:r>
      <w:r>
        <w:t xml:space="preserve"> carries an uncontrolled denominator term.</w:t>
      </w:r>
    </w:p>
    <w:p w14:paraId="792F98A0" w14:textId="77777777" w:rsidR="00037981" w:rsidRDefault="00000000">
      <w:pPr>
        <w:pStyle w:val="a0"/>
      </w:pPr>
      <w:r>
        <w:rPr>
          <w:b/>
        </w:rPr>
        <w:t>Quality/adapter artefacts.</w:t>
      </w:r>
      <w:r>
        <w:t xml:space="preserve"> Low-quality tails and adapter reduce translated-search sensitivity slightly and identically across samples. BLAST low-complexity masking of the translated query was left at the program default (</w:t>
      </w:r>
      <w:r>
        <w:rPr>
          <w:rFonts w:ascii="Consolas" w:hAnsi="Consolas"/>
          <w:sz w:val="18"/>
        </w:rPr>
        <w:t>-seg yes</w:t>
      </w:r>
      <w:r>
        <w:t>).</w:t>
      </w:r>
    </w:p>
    <w:p w14:paraId="31FF22D1" w14:textId="77777777" w:rsidR="00037981" w:rsidRDefault="00000000">
      <w:pPr>
        <w:jc w:val="both"/>
      </w:pPr>
      <w:r>
        <w:t>Reads longer than 1,000 nt were rejected as decompression artefacts (</w:t>
      </w:r>
      <w:r>
        <w:rPr>
          <w:rFonts w:ascii="Consolas" w:hAnsi="Consolas"/>
          <w:sz w:val="18"/>
        </w:rPr>
        <w:t>n_rejected_long</w:t>
      </w:r>
      <w:r>
        <w:t xml:space="preserve"> per sample); genuine reads here are 151 nt.</w:t>
      </w:r>
    </w:p>
    <w:p w14:paraId="23E78CF6" w14:textId="77777777" w:rsidR="00037981" w:rsidRDefault="00000000">
      <w:pPr>
        <w:pStyle w:val="31"/>
        <w:spacing w:before="240" w:after="120"/>
      </w:pPr>
      <w:r>
        <w:rPr>
          <w:rFonts w:ascii="Times New Roman" w:hAnsi="Times New Roman"/>
          <w:color w:val="000000"/>
        </w:rPr>
        <w:t>2.11.3 SPT reference panel</w:t>
      </w:r>
    </w:p>
    <w:p w14:paraId="05177577" w14:textId="77777777" w:rsidR="00037981" w:rsidRDefault="00000000">
      <w:pPr>
        <w:jc w:val="both"/>
      </w:pPr>
      <w:r>
        <w:t xml:space="preserve">Bacterial SPT proteins were taken from UniProtKB by the query </w:t>
      </w:r>
      <w:r>
        <w:rPr>
          <w:rFonts w:ascii="Consolas" w:hAnsi="Consolas"/>
          <w:sz w:val="18"/>
        </w:rPr>
        <w:t>(ec:2.3.1.50) AND (taxonomy_id:2)</w:t>
      </w:r>
      <w:r>
        <w:t xml:space="preserve"> — </w:t>
      </w:r>
      <w:r>
        <w:rPr>
          <w:b/>
        </w:rPr>
        <w:t>1,990 sequences</w:t>
      </w:r>
      <w:r>
        <w:t xml:space="preserve">, median length 397 aa, 99.9% within the 350–450 aa window expected of the homodimeric bacterial enzyme, including the characterised </w:t>
      </w:r>
      <w:r>
        <w:rPr>
          <w:i/>
        </w:rPr>
        <w:t>Bacteroides thetaiotaomicron</w:t>
      </w:r>
      <w:r>
        <w:t xml:space="preserve"> SPT </w:t>
      </w:r>
      <w:r>
        <w:rPr>
          <w:b/>
        </w:rPr>
        <w:t>BT_0870 (UniProt Q8A9E5)</w:t>
      </w:r>
      <w:r>
        <w:t xml:space="preserve">. The panel contains </w:t>
      </w:r>
      <w:r>
        <w:rPr>
          <w:b/>
        </w:rPr>
        <w:t>no</w:t>
      </w:r>
      <w:r>
        <w:t xml:space="preserve"> eukaryotic entry (checked explicitly by organism field and by length); 227 entries are from gut Bacteroidetes genera.</w:t>
      </w:r>
    </w:p>
    <w:p w14:paraId="7001FD44" w14:textId="77777777" w:rsidR="00037981" w:rsidRDefault="00000000">
      <w:pPr>
        <w:jc w:val="both"/>
      </w:pPr>
      <w:r>
        <w:t xml:space="preserve">Because bacterial SPT belongs to the α-oxoamine synthase family and is ~40% identical to widespread paralogues, the search database also contains </w:t>
      </w:r>
      <w:r>
        <w:rPr>
          <w:b/>
        </w:rPr>
        <w:t>decoys</w:t>
      </w:r>
      <w:r>
        <w:t>, which are never counted as SPT:</w:t>
      </w:r>
    </w:p>
    <w:tbl>
      <w:tblPr>
        <w:tblStyle w:val="af9"/>
        <w:tblW w:w="0" w:type="auto"/>
        <w:jc w:val="center"/>
        <w:tblLook w:val="04A0" w:firstRow="1" w:lastRow="0" w:firstColumn="1" w:lastColumn="0" w:noHBand="0" w:noVBand="1"/>
      </w:tblPr>
      <w:tblGrid>
        <w:gridCol w:w="2880"/>
        <w:gridCol w:w="2880"/>
        <w:gridCol w:w="2880"/>
      </w:tblGrid>
      <w:tr w:rsidR="00037981" w14:paraId="20BA6737" w14:textId="77777777">
        <w:trPr>
          <w:jc w:val="center"/>
        </w:trPr>
        <w:tc>
          <w:tcPr>
            <w:tcW w:w="2880" w:type="dxa"/>
          </w:tcPr>
          <w:p w14:paraId="175E0BE6" w14:textId="77777777" w:rsidR="00037981" w:rsidRDefault="00000000">
            <w:pPr>
              <w:spacing w:after="40" w:line="240" w:lineRule="auto"/>
            </w:pPr>
            <w:r>
              <w:rPr>
                <w:b/>
                <w:sz w:val="18"/>
              </w:rPr>
              <w:t>Tag</w:t>
            </w:r>
          </w:p>
        </w:tc>
        <w:tc>
          <w:tcPr>
            <w:tcW w:w="2880" w:type="dxa"/>
          </w:tcPr>
          <w:p w14:paraId="0DFB2324" w14:textId="77777777" w:rsidR="00037981" w:rsidRDefault="00000000">
            <w:pPr>
              <w:spacing w:after="40" w:line="240" w:lineRule="auto"/>
            </w:pPr>
            <w:r>
              <w:rPr>
                <w:b/>
                <w:sz w:val="18"/>
              </w:rPr>
              <w:t>Content</w:t>
            </w:r>
          </w:p>
        </w:tc>
        <w:tc>
          <w:tcPr>
            <w:tcW w:w="2880" w:type="dxa"/>
          </w:tcPr>
          <w:p w14:paraId="767FD279" w14:textId="77777777" w:rsidR="00037981" w:rsidRDefault="00000000">
            <w:pPr>
              <w:spacing w:after="40" w:line="240" w:lineRule="auto"/>
            </w:pPr>
            <w:r>
              <w:rPr>
                <w:b/>
                <w:sz w:val="18"/>
              </w:rPr>
              <w:t>n</w:t>
            </w:r>
          </w:p>
        </w:tc>
      </w:tr>
      <w:tr w:rsidR="00037981" w14:paraId="197FE506" w14:textId="77777777">
        <w:trPr>
          <w:jc w:val="center"/>
        </w:trPr>
        <w:tc>
          <w:tcPr>
            <w:tcW w:w="2880" w:type="dxa"/>
          </w:tcPr>
          <w:p w14:paraId="2A167B2E" w14:textId="77777777" w:rsidR="00037981" w:rsidRDefault="00000000">
            <w:pPr>
              <w:spacing w:after="40" w:line="240" w:lineRule="auto"/>
            </w:pPr>
            <w:r>
              <w:rPr>
                <w:rFonts w:ascii="Consolas" w:hAnsi="Consolas"/>
                <w:sz w:val="18"/>
              </w:rPr>
              <w:t>SPT</w:t>
            </w:r>
          </w:p>
        </w:tc>
        <w:tc>
          <w:tcPr>
            <w:tcW w:w="2880" w:type="dxa"/>
          </w:tcPr>
          <w:p w14:paraId="3B805127" w14:textId="77777777" w:rsidR="00037981" w:rsidRDefault="00000000">
            <w:pPr>
              <w:spacing w:after="40" w:line="240" w:lineRule="auto"/>
            </w:pPr>
            <w:r>
              <w:rPr>
                <w:sz w:val="18"/>
              </w:rPr>
              <w:t>bacterial serine C-palmitoyltransferase, EC 2.3.1.50</w:t>
            </w:r>
          </w:p>
        </w:tc>
        <w:tc>
          <w:tcPr>
            <w:tcW w:w="2880" w:type="dxa"/>
          </w:tcPr>
          <w:p w14:paraId="44B61CE9" w14:textId="77777777" w:rsidR="00037981" w:rsidRDefault="00000000">
            <w:pPr>
              <w:spacing w:after="40" w:line="240" w:lineRule="auto"/>
            </w:pPr>
            <w:r>
              <w:rPr>
                <w:sz w:val="18"/>
              </w:rPr>
              <w:t>1,990</w:t>
            </w:r>
          </w:p>
        </w:tc>
      </w:tr>
      <w:tr w:rsidR="00037981" w14:paraId="62E8D079" w14:textId="77777777">
        <w:trPr>
          <w:jc w:val="center"/>
        </w:trPr>
        <w:tc>
          <w:tcPr>
            <w:tcW w:w="2880" w:type="dxa"/>
          </w:tcPr>
          <w:p w14:paraId="5A81CA81" w14:textId="77777777" w:rsidR="00037981" w:rsidRDefault="00000000">
            <w:pPr>
              <w:spacing w:after="40" w:line="240" w:lineRule="auto"/>
            </w:pPr>
            <w:r>
              <w:rPr>
                <w:rFonts w:ascii="Consolas" w:hAnsi="Consolas"/>
                <w:sz w:val="18"/>
              </w:rPr>
              <w:t>DECOY_BIOF</w:t>
            </w:r>
          </w:p>
        </w:tc>
        <w:tc>
          <w:tcPr>
            <w:tcW w:w="2880" w:type="dxa"/>
          </w:tcPr>
          <w:p w14:paraId="4042A0F6" w14:textId="77777777" w:rsidR="00037981" w:rsidRDefault="00000000">
            <w:pPr>
              <w:spacing w:after="40" w:line="240" w:lineRule="auto"/>
            </w:pPr>
            <w:r>
              <w:rPr>
                <w:sz w:val="18"/>
              </w:rPr>
              <w:t>8-amino-7-oxononanoate synthase, EC 2.3.1.47</w:t>
            </w:r>
          </w:p>
        </w:tc>
        <w:tc>
          <w:tcPr>
            <w:tcW w:w="2880" w:type="dxa"/>
          </w:tcPr>
          <w:p w14:paraId="5725DEFF" w14:textId="77777777" w:rsidR="00037981" w:rsidRDefault="00000000">
            <w:pPr>
              <w:spacing w:after="40" w:line="240" w:lineRule="auto"/>
            </w:pPr>
            <w:r>
              <w:rPr>
                <w:sz w:val="18"/>
              </w:rPr>
              <w:t>12,045</w:t>
            </w:r>
          </w:p>
        </w:tc>
      </w:tr>
      <w:tr w:rsidR="00037981" w14:paraId="7A004B56" w14:textId="77777777">
        <w:trPr>
          <w:jc w:val="center"/>
        </w:trPr>
        <w:tc>
          <w:tcPr>
            <w:tcW w:w="2880" w:type="dxa"/>
          </w:tcPr>
          <w:p w14:paraId="1892AB1E" w14:textId="77777777" w:rsidR="00037981" w:rsidRDefault="00000000">
            <w:pPr>
              <w:spacing w:after="40" w:line="240" w:lineRule="auto"/>
            </w:pPr>
            <w:r>
              <w:rPr>
                <w:rFonts w:ascii="Consolas" w:hAnsi="Consolas"/>
                <w:sz w:val="18"/>
              </w:rPr>
              <w:t>DECOY_ALAS</w:t>
            </w:r>
          </w:p>
        </w:tc>
        <w:tc>
          <w:tcPr>
            <w:tcW w:w="2880" w:type="dxa"/>
          </w:tcPr>
          <w:p w14:paraId="4DBB6CB9" w14:textId="77777777" w:rsidR="00037981" w:rsidRDefault="00000000">
            <w:pPr>
              <w:spacing w:after="40" w:line="240" w:lineRule="auto"/>
            </w:pPr>
            <w:r>
              <w:rPr>
                <w:sz w:val="18"/>
              </w:rPr>
              <w:t>5-aminolevulinate synthase, EC 2.3.1.37</w:t>
            </w:r>
          </w:p>
        </w:tc>
        <w:tc>
          <w:tcPr>
            <w:tcW w:w="2880" w:type="dxa"/>
          </w:tcPr>
          <w:p w14:paraId="2A46D258" w14:textId="77777777" w:rsidR="00037981" w:rsidRDefault="00000000">
            <w:pPr>
              <w:spacing w:after="40" w:line="240" w:lineRule="auto"/>
            </w:pPr>
            <w:r>
              <w:rPr>
                <w:sz w:val="18"/>
              </w:rPr>
              <w:t>4,091</w:t>
            </w:r>
          </w:p>
        </w:tc>
      </w:tr>
      <w:tr w:rsidR="00037981" w14:paraId="26FB3CC3" w14:textId="77777777">
        <w:trPr>
          <w:jc w:val="center"/>
        </w:trPr>
        <w:tc>
          <w:tcPr>
            <w:tcW w:w="2880" w:type="dxa"/>
          </w:tcPr>
          <w:p w14:paraId="78572C7B" w14:textId="77777777" w:rsidR="00037981" w:rsidRDefault="00000000">
            <w:pPr>
              <w:spacing w:after="40" w:line="240" w:lineRule="auto"/>
            </w:pPr>
            <w:r>
              <w:rPr>
                <w:rFonts w:ascii="Consolas" w:hAnsi="Consolas"/>
                <w:sz w:val="18"/>
              </w:rPr>
              <w:t>DECOY_KBL</w:t>
            </w:r>
          </w:p>
        </w:tc>
        <w:tc>
          <w:tcPr>
            <w:tcW w:w="2880" w:type="dxa"/>
          </w:tcPr>
          <w:p w14:paraId="43526FD5" w14:textId="77777777" w:rsidR="00037981" w:rsidRDefault="00000000">
            <w:pPr>
              <w:spacing w:after="40" w:line="240" w:lineRule="auto"/>
            </w:pPr>
            <w:r>
              <w:rPr>
                <w:sz w:val="18"/>
              </w:rPr>
              <w:t>2-amino-3-ketobutyrate CoA ligase, EC 2.3.1.29</w:t>
            </w:r>
          </w:p>
        </w:tc>
        <w:tc>
          <w:tcPr>
            <w:tcW w:w="2880" w:type="dxa"/>
          </w:tcPr>
          <w:p w14:paraId="4C990FAD" w14:textId="77777777" w:rsidR="00037981" w:rsidRDefault="00000000">
            <w:pPr>
              <w:spacing w:after="40" w:line="240" w:lineRule="auto"/>
            </w:pPr>
            <w:r>
              <w:rPr>
                <w:sz w:val="18"/>
              </w:rPr>
              <w:t>7,269</w:t>
            </w:r>
          </w:p>
        </w:tc>
      </w:tr>
      <w:tr w:rsidR="00037981" w14:paraId="2566B584" w14:textId="77777777">
        <w:trPr>
          <w:jc w:val="center"/>
        </w:trPr>
        <w:tc>
          <w:tcPr>
            <w:tcW w:w="2880" w:type="dxa"/>
          </w:tcPr>
          <w:p w14:paraId="0F56C14F" w14:textId="77777777" w:rsidR="00037981" w:rsidRDefault="00000000">
            <w:pPr>
              <w:spacing w:after="40" w:line="240" w:lineRule="auto"/>
            </w:pPr>
            <w:r>
              <w:rPr>
                <w:rFonts w:ascii="Consolas" w:hAnsi="Consolas"/>
                <w:sz w:val="18"/>
              </w:rPr>
              <w:t>DECOY_EUK_SPT</w:t>
            </w:r>
          </w:p>
        </w:tc>
        <w:tc>
          <w:tcPr>
            <w:tcW w:w="2880" w:type="dxa"/>
          </w:tcPr>
          <w:p w14:paraId="0E42BD95" w14:textId="77777777" w:rsidR="00037981" w:rsidRDefault="00000000">
            <w:pPr>
              <w:spacing w:after="40" w:line="240" w:lineRule="auto"/>
            </w:pPr>
            <w:r>
              <w:rPr>
                <w:sz w:val="18"/>
              </w:rPr>
              <w:t>eukaryotic SPT subunits (incl. human SPTLC1/2/3), EC 2.3.1.50</w:t>
            </w:r>
          </w:p>
        </w:tc>
        <w:tc>
          <w:tcPr>
            <w:tcW w:w="2880" w:type="dxa"/>
          </w:tcPr>
          <w:p w14:paraId="316FB45A" w14:textId="77777777" w:rsidR="00037981" w:rsidRDefault="00000000">
            <w:pPr>
              <w:spacing w:after="40" w:line="240" w:lineRule="auto"/>
            </w:pPr>
            <w:r>
              <w:rPr>
                <w:sz w:val="18"/>
              </w:rPr>
              <w:t>9,886</w:t>
            </w:r>
          </w:p>
        </w:tc>
      </w:tr>
      <w:tr w:rsidR="00037981" w14:paraId="2FCD1991" w14:textId="77777777">
        <w:trPr>
          <w:jc w:val="center"/>
        </w:trPr>
        <w:tc>
          <w:tcPr>
            <w:tcW w:w="2880" w:type="dxa"/>
          </w:tcPr>
          <w:p w14:paraId="704E541B" w14:textId="77777777" w:rsidR="00037981" w:rsidRDefault="00037981">
            <w:pPr>
              <w:spacing w:after="40" w:line="240" w:lineRule="auto"/>
            </w:pPr>
          </w:p>
        </w:tc>
        <w:tc>
          <w:tcPr>
            <w:tcW w:w="2880" w:type="dxa"/>
          </w:tcPr>
          <w:p w14:paraId="07FD70C5" w14:textId="77777777" w:rsidR="00037981" w:rsidRDefault="00000000">
            <w:pPr>
              <w:spacing w:after="40" w:line="240" w:lineRule="auto"/>
            </w:pPr>
            <w:r>
              <w:rPr>
                <w:b/>
                <w:sz w:val="18"/>
              </w:rPr>
              <w:t>total</w:t>
            </w:r>
          </w:p>
        </w:tc>
        <w:tc>
          <w:tcPr>
            <w:tcW w:w="2880" w:type="dxa"/>
          </w:tcPr>
          <w:p w14:paraId="20DBEAD8" w14:textId="77777777" w:rsidR="00037981" w:rsidRDefault="00000000">
            <w:pPr>
              <w:spacing w:after="40" w:line="240" w:lineRule="auto"/>
            </w:pPr>
            <w:r>
              <w:rPr>
                <w:b/>
                <w:sz w:val="18"/>
              </w:rPr>
              <w:t>35,281</w:t>
            </w:r>
          </w:p>
        </w:tc>
      </w:tr>
    </w:tbl>
    <w:p w14:paraId="6A5A92E2" w14:textId="77777777" w:rsidR="00037981" w:rsidRDefault="00037981"/>
    <w:p w14:paraId="2FC1E5AF" w14:textId="77777777" w:rsidR="00037981" w:rsidRDefault="00000000">
      <w:pPr>
        <w:jc w:val="both"/>
      </w:pPr>
      <w:r>
        <w:lastRenderedPageBreak/>
        <w:t xml:space="preserve">The combined panel is </w:t>
      </w:r>
      <w:r>
        <w:rPr>
          <w:rFonts w:ascii="Consolas" w:hAnsi="Consolas"/>
          <w:sz w:val="18"/>
        </w:rPr>
        <w:t>spt_panel_v1.fasta</w:t>
      </w:r>
      <w:r>
        <w:t xml:space="preserve">, SHA256 </w:t>
      </w:r>
      <w:r>
        <w:rPr>
          <w:rFonts w:ascii="Consolas" w:hAnsi="Consolas"/>
          <w:sz w:val="18"/>
        </w:rPr>
        <w:t>13692ca7817830b0e2bb0bd91577656a08b6f88327a16478e201e6567196e070</w:t>
      </w:r>
      <w:r>
        <w:t>.</w:t>
      </w:r>
    </w:p>
    <w:p w14:paraId="3C952E89" w14:textId="77777777" w:rsidR="00037981" w:rsidRDefault="00000000">
      <w:pPr>
        <w:pStyle w:val="31"/>
        <w:spacing w:before="240" w:after="120"/>
      </w:pPr>
      <w:r>
        <w:rPr>
          <w:rFonts w:ascii="Times New Roman" w:hAnsi="Times New Roman"/>
          <w:color w:val="000000"/>
        </w:rPr>
        <w:t>2.11.4 Quantification — two-stage search</w:t>
      </w:r>
    </w:p>
    <w:p w14:paraId="42270DF1" w14:textId="77777777" w:rsidR="00037981" w:rsidRDefault="00000000">
      <w:pPr>
        <w:jc w:val="both"/>
      </w:pPr>
      <w:r>
        <w:rPr>
          <w:b/>
        </w:rPr>
        <w:t>Stage 1, seed recruitment.</w:t>
      </w:r>
      <w:r>
        <w:t xml:space="preserve"> Each read was translated in all six frames (genetic code 11 for the query; codons containing N mapped to X) and reduced to its amino-acid 8-mers, excluding any 8-mer spanning a stop or an unknown residue. A read was recruited if it shared at least one exact 8-mer with the SPT panel (index: 99,262 unique 8-mers). Positive control: a read reverse-translated from BT_0870 is recruited with 53 seed hits. Empirical false-pass rate on random ACGT sequence of the same length: 0.28%.</w:t>
      </w:r>
    </w:p>
    <w:p w14:paraId="6F4EBE06" w14:textId="77777777" w:rsidR="00037981" w:rsidRDefault="00000000">
      <w:pPr>
        <w:jc w:val="both"/>
      </w:pPr>
      <w:r>
        <w:rPr>
          <w:b/>
        </w:rPr>
        <w:t>Stage 2, translated confirmation.</w:t>
      </w:r>
      <w:r>
        <w:t xml:space="preserve"> Recruited reads were searched with </w:t>
      </w:r>
      <w:r>
        <w:rPr>
          <w:b/>
        </w:rPr>
        <w:t>NCBI BLAST+ blastx 2.17.0+</w:t>
      </w:r>
      <w:r>
        <w:t xml:space="preserve"> against the combined panel:</w:t>
      </w:r>
    </w:p>
    <w:tbl>
      <w:tblPr>
        <w:tblStyle w:val="af9"/>
        <w:tblW w:w="0" w:type="auto"/>
        <w:jc w:val="center"/>
        <w:tblLook w:val="04A0" w:firstRow="1" w:lastRow="0" w:firstColumn="1" w:lastColumn="0" w:noHBand="0" w:noVBand="1"/>
      </w:tblPr>
      <w:tblGrid>
        <w:gridCol w:w="4320"/>
        <w:gridCol w:w="4320"/>
      </w:tblGrid>
      <w:tr w:rsidR="00037981" w14:paraId="6731D274" w14:textId="77777777">
        <w:trPr>
          <w:jc w:val="center"/>
        </w:trPr>
        <w:tc>
          <w:tcPr>
            <w:tcW w:w="4320" w:type="dxa"/>
          </w:tcPr>
          <w:p w14:paraId="3ADCE677" w14:textId="77777777" w:rsidR="00037981" w:rsidRDefault="00000000">
            <w:pPr>
              <w:spacing w:after="40" w:line="240" w:lineRule="auto"/>
            </w:pPr>
            <w:r>
              <w:rPr>
                <w:b/>
                <w:sz w:val="18"/>
              </w:rPr>
              <w:t>Field</w:t>
            </w:r>
          </w:p>
        </w:tc>
        <w:tc>
          <w:tcPr>
            <w:tcW w:w="4320" w:type="dxa"/>
          </w:tcPr>
          <w:p w14:paraId="4782277D" w14:textId="77777777" w:rsidR="00037981" w:rsidRDefault="00000000">
            <w:pPr>
              <w:spacing w:after="40" w:line="240" w:lineRule="auto"/>
            </w:pPr>
            <w:r>
              <w:rPr>
                <w:b/>
                <w:sz w:val="18"/>
              </w:rPr>
              <w:t>Value</w:t>
            </w:r>
          </w:p>
        </w:tc>
      </w:tr>
      <w:tr w:rsidR="00037981" w14:paraId="4E881E1F" w14:textId="77777777">
        <w:trPr>
          <w:jc w:val="center"/>
        </w:trPr>
        <w:tc>
          <w:tcPr>
            <w:tcW w:w="4320" w:type="dxa"/>
          </w:tcPr>
          <w:p w14:paraId="7D63A97E" w14:textId="77777777" w:rsidR="00037981" w:rsidRDefault="00000000">
            <w:pPr>
              <w:spacing w:after="40" w:line="240" w:lineRule="auto"/>
            </w:pPr>
            <w:r>
              <w:rPr>
                <w:sz w:val="18"/>
              </w:rPr>
              <w:t>Aligner</w:t>
            </w:r>
          </w:p>
        </w:tc>
        <w:tc>
          <w:tcPr>
            <w:tcW w:w="4320" w:type="dxa"/>
          </w:tcPr>
          <w:p w14:paraId="736A428D" w14:textId="77777777" w:rsidR="00037981" w:rsidRDefault="00000000">
            <w:pPr>
              <w:spacing w:after="40" w:line="240" w:lineRule="auto"/>
            </w:pPr>
            <w:r>
              <w:rPr>
                <w:rFonts w:ascii="Consolas" w:hAnsi="Consolas"/>
                <w:sz w:val="18"/>
              </w:rPr>
              <w:t>blastx</w:t>
            </w:r>
            <w:r>
              <w:rPr>
                <w:sz w:val="18"/>
              </w:rPr>
              <w:t xml:space="preserve"> (NCBI BLAST+ 2.17.0+, build Jul 1 2025)</w:t>
            </w:r>
          </w:p>
        </w:tc>
      </w:tr>
      <w:tr w:rsidR="00037981" w14:paraId="501B9DEB" w14:textId="77777777">
        <w:trPr>
          <w:jc w:val="center"/>
        </w:trPr>
        <w:tc>
          <w:tcPr>
            <w:tcW w:w="4320" w:type="dxa"/>
          </w:tcPr>
          <w:p w14:paraId="56F871B0" w14:textId="77777777" w:rsidR="00037981" w:rsidRDefault="00000000">
            <w:pPr>
              <w:spacing w:after="40" w:line="240" w:lineRule="auto"/>
            </w:pPr>
            <w:r>
              <w:rPr>
                <w:sz w:val="18"/>
              </w:rPr>
              <w:t>E-value threshold</w:t>
            </w:r>
          </w:p>
        </w:tc>
        <w:tc>
          <w:tcPr>
            <w:tcW w:w="4320" w:type="dxa"/>
          </w:tcPr>
          <w:p w14:paraId="142E5265" w14:textId="77777777" w:rsidR="00037981" w:rsidRDefault="00000000">
            <w:pPr>
              <w:spacing w:after="40" w:line="240" w:lineRule="auto"/>
            </w:pPr>
            <w:r>
              <w:rPr>
                <w:sz w:val="18"/>
              </w:rPr>
              <w:t>1 × 10⁻⁵</w:t>
            </w:r>
          </w:p>
        </w:tc>
      </w:tr>
      <w:tr w:rsidR="00037981" w14:paraId="20588E5C" w14:textId="77777777">
        <w:trPr>
          <w:jc w:val="center"/>
        </w:trPr>
        <w:tc>
          <w:tcPr>
            <w:tcW w:w="4320" w:type="dxa"/>
          </w:tcPr>
          <w:p w14:paraId="4E86272C" w14:textId="77777777" w:rsidR="00037981" w:rsidRDefault="00000000">
            <w:pPr>
              <w:spacing w:after="40" w:line="240" w:lineRule="auto"/>
            </w:pPr>
            <w:r>
              <w:rPr>
                <w:sz w:val="18"/>
              </w:rPr>
              <w:t>Minimum amino-acid identity</w:t>
            </w:r>
          </w:p>
        </w:tc>
        <w:tc>
          <w:tcPr>
            <w:tcW w:w="4320" w:type="dxa"/>
          </w:tcPr>
          <w:p w14:paraId="0B99A4EB" w14:textId="77777777" w:rsidR="00037981" w:rsidRDefault="00000000">
            <w:pPr>
              <w:spacing w:after="40" w:line="240" w:lineRule="auto"/>
            </w:pPr>
            <w:r>
              <w:rPr>
                <w:sz w:val="18"/>
              </w:rPr>
              <w:t>50%</w:t>
            </w:r>
          </w:p>
        </w:tc>
      </w:tr>
      <w:tr w:rsidR="00037981" w14:paraId="7E9117CF" w14:textId="77777777">
        <w:trPr>
          <w:jc w:val="center"/>
        </w:trPr>
        <w:tc>
          <w:tcPr>
            <w:tcW w:w="4320" w:type="dxa"/>
          </w:tcPr>
          <w:p w14:paraId="005A21BD" w14:textId="77777777" w:rsidR="00037981" w:rsidRDefault="00000000">
            <w:pPr>
              <w:spacing w:after="40" w:line="240" w:lineRule="auto"/>
            </w:pPr>
            <w:r>
              <w:rPr>
                <w:sz w:val="18"/>
              </w:rPr>
              <w:t>Minimum aligned length</w:t>
            </w:r>
          </w:p>
        </w:tc>
        <w:tc>
          <w:tcPr>
            <w:tcW w:w="4320" w:type="dxa"/>
          </w:tcPr>
          <w:p w14:paraId="1CCCF99F" w14:textId="77777777" w:rsidR="00037981" w:rsidRDefault="00000000">
            <w:pPr>
              <w:spacing w:after="40" w:line="240" w:lineRule="auto"/>
            </w:pPr>
            <w:r>
              <w:rPr>
                <w:sz w:val="18"/>
              </w:rPr>
              <w:t>30 amino acids</w:t>
            </w:r>
          </w:p>
        </w:tc>
      </w:tr>
      <w:tr w:rsidR="00037981" w14:paraId="48E14628" w14:textId="77777777">
        <w:trPr>
          <w:jc w:val="center"/>
        </w:trPr>
        <w:tc>
          <w:tcPr>
            <w:tcW w:w="4320" w:type="dxa"/>
          </w:tcPr>
          <w:p w14:paraId="1F4B60A1" w14:textId="77777777" w:rsidR="00037981" w:rsidRDefault="00000000">
            <w:pPr>
              <w:spacing w:after="40" w:line="240" w:lineRule="auto"/>
            </w:pPr>
            <w:r>
              <w:rPr>
                <w:sz w:val="18"/>
              </w:rPr>
              <w:t>Query genetic code</w:t>
            </w:r>
          </w:p>
        </w:tc>
        <w:tc>
          <w:tcPr>
            <w:tcW w:w="4320" w:type="dxa"/>
          </w:tcPr>
          <w:p w14:paraId="29C6C0DA" w14:textId="77777777" w:rsidR="00037981" w:rsidRDefault="00000000">
            <w:pPr>
              <w:spacing w:after="40" w:line="240" w:lineRule="auto"/>
            </w:pPr>
            <w:r>
              <w:rPr>
                <w:sz w:val="18"/>
              </w:rPr>
              <w:t>11</w:t>
            </w:r>
          </w:p>
        </w:tc>
      </w:tr>
      <w:tr w:rsidR="00037981" w14:paraId="44664FD1" w14:textId="77777777">
        <w:trPr>
          <w:jc w:val="center"/>
        </w:trPr>
        <w:tc>
          <w:tcPr>
            <w:tcW w:w="4320" w:type="dxa"/>
          </w:tcPr>
          <w:p w14:paraId="054D5A01" w14:textId="77777777" w:rsidR="00037981" w:rsidRDefault="00000000">
            <w:pPr>
              <w:spacing w:after="40" w:line="240" w:lineRule="auto"/>
            </w:pPr>
            <w:r>
              <w:rPr>
                <w:sz w:val="18"/>
              </w:rPr>
              <w:t>Low-complexity masking</w:t>
            </w:r>
          </w:p>
        </w:tc>
        <w:tc>
          <w:tcPr>
            <w:tcW w:w="4320" w:type="dxa"/>
          </w:tcPr>
          <w:p w14:paraId="03829A4E" w14:textId="77777777" w:rsidR="00037981" w:rsidRDefault="00000000">
            <w:pPr>
              <w:spacing w:after="40" w:line="240" w:lineRule="auto"/>
            </w:pPr>
            <w:r>
              <w:rPr>
                <w:rFonts w:ascii="Consolas" w:hAnsi="Consolas"/>
                <w:sz w:val="18"/>
              </w:rPr>
              <w:t>-seg yes</w:t>
            </w:r>
            <w:r>
              <w:rPr>
                <w:sz w:val="18"/>
              </w:rPr>
              <w:t xml:space="preserve"> (program default)</w:t>
            </w:r>
          </w:p>
        </w:tc>
      </w:tr>
      <w:tr w:rsidR="00037981" w14:paraId="11CE5872" w14:textId="77777777">
        <w:trPr>
          <w:jc w:val="center"/>
        </w:trPr>
        <w:tc>
          <w:tcPr>
            <w:tcW w:w="4320" w:type="dxa"/>
          </w:tcPr>
          <w:p w14:paraId="2410E895" w14:textId="77777777" w:rsidR="00037981" w:rsidRDefault="00000000">
            <w:pPr>
              <w:spacing w:after="40" w:line="240" w:lineRule="auto"/>
            </w:pPr>
            <w:r>
              <w:rPr>
                <w:rFonts w:ascii="Consolas" w:hAnsi="Consolas"/>
                <w:sz w:val="18"/>
              </w:rPr>
              <w:t>max_target_seqs</w:t>
            </w:r>
          </w:p>
        </w:tc>
        <w:tc>
          <w:tcPr>
            <w:tcW w:w="4320" w:type="dxa"/>
          </w:tcPr>
          <w:p w14:paraId="37B765EF" w14:textId="77777777" w:rsidR="00037981" w:rsidRDefault="00000000">
            <w:pPr>
              <w:spacing w:after="40" w:line="240" w:lineRule="auto"/>
            </w:pPr>
            <w:r>
              <w:rPr>
                <w:sz w:val="18"/>
              </w:rPr>
              <w:t>5,000 (see note)</w:t>
            </w:r>
          </w:p>
        </w:tc>
      </w:tr>
      <w:tr w:rsidR="00037981" w14:paraId="5E1E5D33" w14:textId="77777777">
        <w:trPr>
          <w:jc w:val="center"/>
        </w:trPr>
        <w:tc>
          <w:tcPr>
            <w:tcW w:w="4320" w:type="dxa"/>
          </w:tcPr>
          <w:p w14:paraId="3423BFFE" w14:textId="77777777" w:rsidR="00037981" w:rsidRDefault="00000000">
            <w:pPr>
              <w:spacing w:after="40" w:line="240" w:lineRule="auto"/>
            </w:pPr>
            <w:r>
              <w:rPr>
                <w:b/>
                <w:sz w:val="18"/>
              </w:rPr>
              <w:t>Multimapping rule</w:t>
            </w:r>
          </w:p>
        </w:tc>
        <w:tc>
          <w:tcPr>
            <w:tcW w:w="4320" w:type="dxa"/>
          </w:tcPr>
          <w:p w14:paraId="5A893E0D" w14:textId="77777777" w:rsidR="00037981" w:rsidRDefault="00000000">
            <w:pPr>
              <w:spacing w:after="40" w:line="240" w:lineRule="auto"/>
            </w:pPr>
            <w:r>
              <w:rPr>
                <w:sz w:val="18"/>
              </w:rPr>
              <w:t xml:space="preserve">best-bitscore tier per read; counted as SPT </w:t>
            </w:r>
            <w:r>
              <w:rPr>
                <w:b/>
                <w:sz w:val="18"/>
              </w:rPr>
              <w:t>only</w:t>
            </w:r>
            <w:r>
              <w:rPr>
                <w:sz w:val="18"/>
              </w:rPr>
              <w:t xml:space="preserve"> if that tier contains SPT panel members exclusively. A tier mixing SPT and decoy is discarded as </w:t>
            </w:r>
            <w:r>
              <w:rPr>
                <w:i/>
                <w:sz w:val="18"/>
              </w:rPr>
              <w:t>ambiguous</w:t>
            </w:r>
            <w:r>
              <w:rPr>
                <w:sz w:val="18"/>
              </w:rPr>
              <w:t xml:space="preserve">; a decoy-only tier is counted as </w:t>
            </w:r>
            <w:r>
              <w:rPr>
                <w:i/>
                <w:sz w:val="18"/>
              </w:rPr>
              <w:t>decoy</w:t>
            </w:r>
            <w:r>
              <w:rPr>
                <w:sz w:val="18"/>
              </w:rPr>
              <w:t>. Ties are never split or fractionally assigned.</w:t>
            </w:r>
          </w:p>
        </w:tc>
      </w:tr>
    </w:tbl>
    <w:p w14:paraId="4DEA5D9F" w14:textId="77777777" w:rsidR="00037981" w:rsidRDefault="00037981"/>
    <w:p w14:paraId="33166C69" w14:textId="77777777" w:rsidR="00037981" w:rsidRDefault="00000000">
      <w:pPr>
        <w:jc w:val="both"/>
      </w:pPr>
      <w:r>
        <w:rPr>
          <w:b/>
        </w:rPr>
        <w:t>Note on `max_target_seqs`.</w:t>
      </w:r>
      <w:r>
        <w:t xml:space="preserve"> This parameter caps how many </w:t>
      </w:r>
      <w:r>
        <w:rPr>
          <w:i/>
        </w:rPr>
        <w:t>targets</w:t>
      </w:r>
      <w:r>
        <w:t xml:space="preserve"> are reported and breaks ties by database order; it is not a "best N" selector. At its initial value of 5, 1,846 of 8,274 classified reads (22%) returned five targets </w:t>
      </w:r>
      <w:r>
        <w:rPr>
          <w:i/>
        </w:rPr>
        <w:t>all tied at the best bitscore</w:t>
      </w:r>
      <w:r>
        <w:t xml:space="preserve">, meaning the best-score tier was truncated and a sixth tied hit — possibly a decoy — could not be seen. Since the multimapping rule above requires the </w:t>
      </w:r>
      <w:r>
        <w:rPr>
          <w:i/>
        </w:rPr>
        <w:t>whole</w:t>
      </w:r>
      <w:r>
        <w:t xml:space="preserve"> best-score tier, that value was unsafe and the classification of those reads was not trustworthy. The cap is now 5,000, and the pipeline asserts that no query returns a number of targets equal to the cap with the entire returned set tied at the best score; if that assertion ever fires the cap must be raised again.</w:t>
      </w:r>
    </w:p>
    <w:p w14:paraId="7E49D534" w14:textId="77777777" w:rsidR="00037981" w:rsidRDefault="00000000">
      <w:pPr>
        <w:jc w:val="both"/>
      </w:pPr>
      <w:r>
        <w:rPr>
          <w:b/>
        </w:rPr>
        <w:t>Note on two-tier E-values.</w:t>
      </w:r>
      <w:r>
        <w:t xml:space="preserve"> A BLAST E-value scales with the size of the searched database. The SPT-only tier-1 database holds 791,053 residues against 15,179,012 in the full tier-2 panel, so the same alignment's E-value inflates about 19.2× between tiers. The direction matters: tier 1 is </w:t>
      </w:r>
      <w:r>
        <w:lastRenderedPageBreak/>
        <w:t xml:space="preserve">therefore the </w:t>
      </w:r>
      <w:r>
        <w:rPr>
          <w:i/>
        </w:rPr>
        <w:t>more permissive</w:t>
      </w:r>
      <w:r>
        <w:t xml:space="preserve"> of the two at a common threshold, so tier-1 screening cannot lose a read that would have qualified against the full panel — the screen remains a valid superset. The converse is that 23 of 13,253 tier-1 candidates (0.2%) have a best E-value that crosses 1e-5 under that inflation and legitimately produce no tier-2 hit. Those are recorded as </w:t>
      </w:r>
      <w:r>
        <w:rPr>
          <w:i/>
        </w:rPr>
        <w:t>searched, no reportable hit</w:t>
      </w:r>
      <w:r>
        <w:t xml:space="preserve"> — a defined zero — and are distinguished in the pipeline's completion manifest from reads that were never searched. The full-panel threshold is the authoritative one.</w:t>
      </w:r>
    </w:p>
    <w:p w14:paraId="71851CA8" w14:textId="77777777" w:rsidR="00037981" w:rsidRDefault="00000000">
      <w:pPr>
        <w:jc w:val="both"/>
      </w:pPr>
      <w:r>
        <w:t xml:space="preserve">Reported quantity: </w:t>
      </w:r>
      <w:r>
        <w:rPr>
          <w:b/>
        </w:rPr>
        <w:t>SPT hits per million quality-filtered reads parsed</w:t>
      </w:r>
      <w:r>
        <w:t xml:space="preserve"> (</w:t>
      </w:r>
      <w:r>
        <w:rPr>
          <w:rFonts w:ascii="Consolas" w:hAnsi="Consolas"/>
          <w:sz w:val="18"/>
        </w:rPr>
        <w:t>spt_hpm = spt_reads / n_reads × 10⁶</w:t>
      </w:r>
      <w:r>
        <w:t xml:space="preserve">), with </w:t>
      </w:r>
      <w:r>
        <w:rPr>
          <w:rFonts w:ascii="Consolas" w:hAnsi="Consolas"/>
          <w:sz w:val="18"/>
        </w:rPr>
        <w:t>spt_reads</w:t>
      </w:r>
      <w:r>
        <w:t xml:space="preserve">, </w:t>
      </w:r>
      <w:r>
        <w:rPr>
          <w:rFonts w:ascii="Consolas" w:hAnsi="Consolas"/>
          <w:sz w:val="18"/>
        </w:rPr>
        <w:t>decoy_reads</w:t>
      </w:r>
      <w:r>
        <w:t xml:space="preserve"> and </w:t>
      </w:r>
      <w:r>
        <w:rPr>
          <w:rFonts w:ascii="Consolas" w:hAnsi="Consolas"/>
          <w:sz w:val="18"/>
        </w:rPr>
        <w:t>ambiguous_reads</w:t>
      </w:r>
      <w:r>
        <w:t xml:space="preserve"> reported per sample so the rejection burden is visible.</w:t>
      </w:r>
    </w:p>
    <w:p w14:paraId="1AA9411C" w14:textId="77777777" w:rsidR="00037981" w:rsidRDefault="00000000">
      <w:pPr>
        <w:pStyle w:val="31"/>
        <w:spacing w:before="240" w:after="120"/>
      </w:pPr>
      <w:r>
        <w:rPr>
          <w:rFonts w:ascii="Times New Roman" w:hAnsi="Times New Roman"/>
          <w:color w:val="000000"/>
        </w:rPr>
        <w:t>2.11.5 Per-genome normalisation — DECLARED DEVIATION</w:t>
      </w:r>
    </w:p>
    <w:p w14:paraId="6A338E2F" w14:textId="77777777" w:rsidR="00037981" w:rsidRDefault="00000000">
      <w:pPr>
        <w:jc w:val="both"/>
      </w:pPr>
      <w:r>
        <w:t xml:space="preserve">The pre-specified intention was copies per bacterial genome via single-copy marker genes or assembled MAGs. Neither was available on this host: marker-gene recruitment by the same 8-mer prefilter would need a catalogue covering </w:t>
      </w:r>
      <w:r>
        <w:rPr>
          <w:b/>
        </w:rPr>
        <w:t>all</w:t>
      </w:r>
      <w:r>
        <w:t xml:space="preserve"> gut bacteria rather than one clade, which biases the denominator in a way that cannot be audited, and assembly was out of reach without a Linux toolchain.</w:t>
      </w:r>
    </w:p>
    <w:p w14:paraId="56E2980F" w14:textId="77777777" w:rsidR="00037981" w:rsidRDefault="00000000">
      <w:pPr>
        <w:jc w:val="both"/>
      </w:pPr>
      <w:r>
        <w:t>Two taxonomy-based denominators were used instead, both computed from the frozen species table that defines the published exposure:</w:t>
      </w:r>
    </w:p>
    <w:p w14:paraId="4DF0625F" w14:textId="77777777" w:rsidR="00037981" w:rsidRDefault="00000000">
      <w:pPr>
        <w:pStyle w:val="a0"/>
      </w:pPr>
      <w:r>
        <w:rPr>
          <w:rFonts w:ascii="Consolas" w:hAnsi="Consolas"/>
          <w:sz w:val="18"/>
        </w:rPr>
        <w:t>spt_per_bacteroidetes</w:t>
      </w:r>
      <w:r>
        <w:t xml:space="preserve"> — </w:t>
      </w:r>
      <w:r>
        <w:rPr>
          <w:rFonts w:ascii="Consolas" w:hAnsi="Consolas"/>
          <w:sz w:val="18"/>
        </w:rPr>
        <w:t>spt_hpm</w:t>
      </w:r>
      <w:r>
        <w:t xml:space="preserve"> ÷ summed relative abundance of Bacteroidetes species features;</w:t>
      </w:r>
    </w:p>
    <w:p w14:paraId="19FAB812" w14:textId="77777777" w:rsidR="00037981" w:rsidRDefault="00000000">
      <w:pPr>
        <w:pStyle w:val="a0"/>
      </w:pPr>
      <w:r>
        <w:rPr>
          <w:rFonts w:ascii="Consolas" w:hAnsi="Consolas"/>
          <w:sz w:val="18"/>
        </w:rPr>
        <w:t>spt_per_bacteroides</w:t>
      </w:r>
      <w:r>
        <w:t xml:space="preserve"> — </w:t>
      </w:r>
      <w:r>
        <w:rPr>
          <w:rFonts w:ascii="Consolas" w:hAnsi="Consolas"/>
          <w:sz w:val="18"/>
        </w:rPr>
        <w:t>spt_hpm</w:t>
      </w:r>
      <w:r>
        <w:t xml:space="preserve"> ÷ summed relative abundance of the 17 </w:t>
      </w:r>
      <w:r>
        <w:rPr>
          <w:rFonts w:ascii="Consolas" w:hAnsi="Consolas"/>
          <w:sz w:val="18"/>
        </w:rPr>
        <w:t>bacteroides*</w:t>
      </w:r>
      <w:r>
        <w:t xml:space="preserve"> features.</w:t>
      </w:r>
    </w:p>
    <w:p w14:paraId="4274510C" w14:textId="77777777" w:rsidR="00037981" w:rsidRDefault="00000000">
      <w:pPr>
        <w:jc w:val="both"/>
      </w:pPr>
      <w:r>
        <w:t>These serve the same inferential purpose — separating "more SPT-carrying organisms" from "more SPT per organism" — and are the same normalisation whose application extinguished the mouse SPT signal (P = 0.23). They are not interchangeable with a marker-gene genome-equivalent estimate, and the difference is stated wherever they are reported.</w:t>
      </w:r>
    </w:p>
    <w:p w14:paraId="03561048" w14:textId="77777777" w:rsidR="00037981" w:rsidRDefault="00000000">
      <w:pPr>
        <w:pStyle w:val="31"/>
        <w:spacing w:before="240" w:after="120"/>
      </w:pPr>
      <w:r>
        <w:rPr>
          <w:rFonts w:ascii="Times New Roman" w:hAnsi="Times New Roman"/>
          <w:color w:val="000000"/>
        </w:rPr>
        <w:t>2.11.6 Sensitivity limitation to state in the paper</w:t>
      </w:r>
    </w:p>
    <w:p w14:paraId="17BB423F" w14:textId="77777777" w:rsidR="00037981" w:rsidRDefault="00000000">
      <w:pPr>
        <w:jc w:val="both"/>
      </w:pPr>
      <w:r>
        <w:t xml:space="preserve">Full-sensitivity translated search of every read was not performed. Stage 1 is a seed prefilter whose recruitment depends on the SPT panel's coverage of gut SPT diversity, so the </w:t>
      </w:r>
      <w:r>
        <w:rPr>
          <w:b/>
        </w:rPr>
        <w:t>absolute</w:t>
      </w:r>
      <w:r>
        <w:t xml:space="preserve"> hits-per-million is biased low by an unknown factor. The bias is applied identically to all 58 samples and the exposure enters the model only as a between-participant contrast, so the </w:t>
      </w:r>
      <w:r>
        <w:lastRenderedPageBreak/>
        <w:t>regression coefficient remains interpretable while the absolute rate does not. A null from this pipeline is correspondingly weaker evidence of absence than a null from a full-sensitivity search.</w:t>
      </w:r>
    </w:p>
    <w:p w14:paraId="05E9252F" w14:textId="77777777" w:rsidR="00037981" w:rsidRDefault="00037981">
      <w:pPr>
        <w:pBdr>
          <w:bottom w:val="single" w:sz="6" w:space="0" w:color="999999"/>
        </w:pBdr>
      </w:pPr>
    </w:p>
    <w:p w14:paraId="5C443BB0" w14:textId="77777777" w:rsidR="00037981" w:rsidRDefault="00000000">
      <w:pPr>
        <w:pStyle w:val="21"/>
        <w:spacing w:before="240" w:after="120"/>
      </w:pPr>
      <w:r>
        <w:rPr>
          <w:rFonts w:ascii="Times New Roman" w:hAnsi="Times New Roman"/>
          <w:color w:val="000000"/>
        </w:rPr>
        <w:t>Supplementary Note 6. Full result: bacterial SPT quantification</w:t>
      </w:r>
    </w:p>
    <w:p w14:paraId="40B2B0F2" w14:textId="77777777" w:rsidR="00037981" w:rsidRDefault="00000000">
      <w:pPr>
        <w:jc w:val="both"/>
      </w:pPr>
      <w:r>
        <w:t xml:space="preserve">Run 24 September 2026. Seed 20260924. Scripts </w:t>
      </w:r>
      <w:r>
        <w:rPr>
          <w:rFonts w:ascii="Consolas" w:hAnsi="Consolas"/>
          <w:sz w:val="18"/>
        </w:rPr>
        <w:t>spt_pipeline.py</w:t>
      </w:r>
      <w:r>
        <w:t xml:space="preserve">, </w:t>
      </w:r>
      <w:r>
        <w:rPr>
          <w:rFonts w:ascii="Consolas" w:hAnsi="Consolas"/>
          <w:sz w:val="18"/>
        </w:rPr>
        <w:t>run_stage1.py</w:t>
      </w:r>
      <w:r>
        <w:t xml:space="preserve">, </w:t>
      </w:r>
      <w:r>
        <w:rPr>
          <w:rFonts w:ascii="Consolas" w:hAnsi="Consolas"/>
          <w:sz w:val="18"/>
        </w:rPr>
        <w:t>run_stage2.py</w:t>
      </w:r>
      <w:r>
        <w:t xml:space="preserve">, </w:t>
      </w:r>
      <w:r>
        <w:rPr>
          <w:rFonts w:ascii="Consolas" w:hAnsi="Consolas"/>
          <w:sz w:val="18"/>
        </w:rPr>
        <w:t>run_stats.py</w:t>
      </w:r>
      <w:r>
        <w:t xml:space="preserve">; checksums in </w:t>
      </w:r>
      <w:r>
        <w:rPr>
          <w:rFonts w:ascii="Consolas" w:hAnsi="Consolas"/>
          <w:sz w:val="18"/>
        </w:rPr>
        <w:t>CHECKSUM_MANIFEST.json</w:t>
      </w:r>
      <w:r>
        <w:t>.</w:t>
      </w:r>
    </w:p>
    <w:p w14:paraId="223AFDDF" w14:textId="77777777" w:rsidR="00037981" w:rsidRDefault="00000000">
      <w:pPr>
        <w:pStyle w:val="31"/>
        <w:spacing w:before="240" w:after="120"/>
      </w:pPr>
      <w:r>
        <w:rPr>
          <w:rFonts w:ascii="Times New Roman" w:hAnsi="Times New Roman"/>
          <w:color w:val="000000"/>
        </w:rPr>
        <w:t>Headline — COMPLETED 27 September 2026</w:t>
      </w:r>
    </w:p>
    <w:p w14:paraId="4C2A1234" w14:textId="77777777" w:rsidR="00037981" w:rsidRDefault="00000000">
      <w:pPr>
        <w:jc w:val="both"/>
      </w:pPr>
      <w:r>
        <w:rPr>
          <w:b/>
        </w:rPr>
        <w:t>The gene-level exposure was delivered, and it is null. The enzyme does not beat the genus label; it adds nothing to it.</w:t>
      </w:r>
    </w:p>
    <w:p w14:paraId="05092598" w14:textId="77777777" w:rsidR="00037981" w:rsidRDefault="00000000">
      <w:pPr>
        <w:jc w:val="both"/>
      </w:pPr>
      <w:r>
        <w:t>2,757 confirmed bacterial SPT reads across the 58 samples (median 48/sample, range 7–125; 60.4 hits per million, range 9.7–145.9 — a 15× between-sample spread, so the exposure has real dynamic range). Decoy discrimination rejected 4,017 reads whose best hit was an α-oxoamine-synthase paralogue or eukaryotic SPTLC, and discarded 6,479 ties (49% of candidates).</w:t>
      </w:r>
    </w:p>
    <w:tbl>
      <w:tblPr>
        <w:tblStyle w:val="af9"/>
        <w:tblW w:w="0" w:type="auto"/>
        <w:jc w:val="center"/>
        <w:tblLook w:val="04A0" w:firstRow="1" w:lastRow="0" w:firstColumn="1" w:lastColumn="0" w:noHBand="0" w:noVBand="1"/>
      </w:tblPr>
      <w:tblGrid>
        <w:gridCol w:w="1728"/>
        <w:gridCol w:w="1728"/>
        <w:gridCol w:w="1728"/>
        <w:gridCol w:w="1728"/>
        <w:gridCol w:w="1728"/>
      </w:tblGrid>
      <w:tr w:rsidR="00037981" w14:paraId="42F3F5AA" w14:textId="77777777">
        <w:trPr>
          <w:jc w:val="center"/>
        </w:trPr>
        <w:tc>
          <w:tcPr>
            <w:tcW w:w="1728" w:type="dxa"/>
          </w:tcPr>
          <w:p w14:paraId="4AF3DD62" w14:textId="77777777" w:rsidR="00037981" w:rsidRDefault="00000000">
            <w:pPr>
              <w:spacing w:after="40" w:line="240" w:lineRule="auto"/>
            </w:pPr>
            <w:r>
              <w:rPr>
                <w:b/>
                <w:sz w:val="18"/>
              </w:rPr>
              <w:t>Exposure</w:t>
            </w:r>
          </w:p>
        </w:tc>
        <w:tc>
          <w:tcPr>
            <w:tcW w:w="1728" w:type="dxa"/>
          </w:tcPr>
          <w:p w14:paraId="0880D60A" w14:textId="77777777" w:rsidR="00037981" w:rsidRDefault="00000000">
            <w:pPr>
              <w:spacing w:after="40" w:line="240" w:lineRule="auto"/>
            </w:pPr>
            <w:r>
              <w:rPr>
                <w:b/>
                <w:sz w:val="18"/>
              </w:rPr>
              <w:t>β</w:t>
            </w:r>
          </w:p>
        </w:tc>
        <w:tc>
          <w:tcPr>
            <w:tcW w:w="1728" w:type="dxa"/>
          </w:tcPr>
          <w:p w14:paraId="51A00484" w14:textId="77777777" w:rsidR="00037981" w:rsidRDefault="00000000">
            <w:pPr>
              <w:spacing w:after="40" w:line="240" w:lineRule="auto"/>
            </w:pPr>
            <w:r>
              <w:rPr>
                <w:b/>
                <w:sz w:val="18"/>
              </w:rPr>
              <w:t>SE</w:t>
            </w:r>
          </w:p>
        </w:tc>
        <w:tc>
          <w:tcPr>
            <w:tcW w:w="1728" w:type="dxa"/>
          </w:tcPr>
          <w:p w14:paraId="02DA0F5A" w14:textId="77777777" w:rsidR="00037981" w:rsidRDefault="00000000">
            <w:pPr>
              <w:spacing w:after="40" w:line="240" w:lineRule="auto"/>
            </w:pPr>
            <w:r>
              <w:rPr>
                <w:b/>
                <w:sz w:val="18"/>
              </w:rPr>
              <w:t>P model</w:t>
            </w:r>
          </w:p>
        </w:tc>
        <w:tc>
          <w:tcPr>
            <w:tcW w:w="1728" w:type="dxa"/>
          </w:tcPr>
          <w:p w14:paraId="028BA98B" w14:textId="77777777" w:rsidR="00037981" w:rsidRDefault="00000000">
            <w:pPr>
              <w:spacing w:after="40" w:line="240" w:lineRule="auto"/>
            </w:pPr>
            <w:r>
              <w:rPr>
                <w:b/>
                <w:sz w:val="18"/>
              </w:rPr>
              <w:t>P permutation</w:t>
            </w:r>
          </w:p>
        </w:tc>
      </w:tr>
      <w:tr w:rsidR="00037981" w14:paraId="21D13E32" w14:textId="77777777">
        <w:trPr>
          <w:jc w:val="center"/>
        </w:trPr>
        <w:tc>
          <w:tcPr>
            <w:tcW w:w="1728" w:type="dxa"/>
          </w:tcPr>
          <w:p w14:paraId="24246621" w14:textId="77777777" w:rsidR="00037981" w:rsidRDefault="00000000">
            <w:pPr>
              <w:spacing w:after="40" w:line="240" w:lineRule="auto"/>
            </w:pPr>
            <w:r>
              <w:rPr>
                <w:i/>
                <w:sz w:val="18"/>
              </w:rPr>
              <w:t>Bacteroides</w:t>
            </w:r>
            <w:r>
              <w:rPr>
                <w:sz w:val="18"/>
              </w:rPr>
              <w:t xml:space="preserve"> CLR (gate)</w:t>
            </w:r>
          </w:p>
        </w:tc>
        <w:tc>
          <w:tcPr>
            <w:tcW w:w="1728" w:type="dxa"/>
          </w:tcPr>
          <w:p w14:paraId="236EB6FD" w14:textId="77777777" w:rsidR="00037981" w:rsidRDefault="00000000">
            <w:pPr>
              <w:spacing w:after="40" w:line="240" w:lineRule="auto"/>
            </w:pPr>
            <w:r>
              <w:rPr>
                <w:sz w:val="18"/>
              </w:rPr>
              <w:t>+0.4201</w:t>
            </w:r>
          </w:p>
        </w:tc>
        <w:tc>
          <w:tcPr>
            <w:tcW w:w="1728" w:type="dxa"/>
          </w:tcPr>
          <w:p w14:paraId="696EC7D2" w14:textId="77777777" w:rsidR="00037981" w:rsidRDefault="00000000">
            <w:pPr>
              <w:spacing w:after="40" w:line="240" w:lineRule="auto"/>
            </w:pPr>
            <w:r>
              <w:rPr>
                <w:sz w:val="18"/>
              </w:rPr>
              <w:t>0.1142</w:t>
            </w:r>
          </w:p>
        </w:tc>
        <w:tc>
          <w:tcPr>
            <w:tcW w:w="1728" w:type="dxa"/>
          </w:tcPr>
          <w:p w14:paraId="59F4C12B" w14:textId="77777777" w:rsidR="00037981" w:rsidRDefault="00000000">
            <w:pPr>
              <w:spacing w:after="40" w:line="240" w:lineRule="auto"/>
            </w:pPr>
            <w:r>
              <w:rPr>
                <w:sz w:val="18"/>
              </w:rPr>
              <w:t>5.67e-4</w:t>
            </w:r>
          </w:p>
        </w:tc>
        <w:tc>
          <w:tcPr>
            <w:tcW w:w="1728" w:type="dxa"/>
          </w:tcPr>
          <w:p w14:paraId="1DA36E75" w14:textId="77777777" w:rsidR="00037981" w:rsidRDefault="00000000">
            <w:pPr>
              <w:spacing w:after="40" w:line="240" w:lineRule="auto"/>
            </w:pPr>
            <w:r>
              <w:rPr>
                <w:sz w:val="18"/>
              </w:rPr>
              <w:t>0.00040</w:t>
            </w:r>
          </w:p>
        </w:tc>
      </w:tr>
      <w:tr w:rsidR="00037981" w14:paraId="4B7FF2AD" w14:textId="77777777">
        <w:trPr>
          <w:jc w:val="center"/>
        </w:trPr>
        <w:tc>
          <w:tcPr>
            <w:tcW w:w="1728" w:type="dxa"/>
          </w:tcPr>
          <w:p w14:paraId="734BC6C6" w14:textId="77777777" w:rsidR="00037981" w:rsidRDefault="00000000">
            <w:pPr>
              <w:spacing w:after="40" w:line="240" w:lineRule="auto"/>
            </w:pPr>
            <w:r>
              <w:rPr>
                <w:b/>
                <w:sz w:val="18"/>
              </w:rPr>
              <w:t>SPT hits/million (primary)</w:t>
            </w:r>
          </w:p>
        </w:tc>
        <w:tc>
          <w:tcPr>
            <w:tcW w:w="1728" w:type="dxa"/>
          </w:tcPr>
          <w:p w14:paraId="3D158620" w14:textId="77777777" w:rsidR="00037981" w:rsidRDefault="00000000">
            <w:pPr>
              <w:spacing w:after="40" w:line="240" w:lineRule="auto"/>
            </w:pPr>
            <w:r>
              <w:rPr>
                <w:sz w:val="18"/>
              </w:rPr>
              <w:t>+0.0035</w:t>
            </w:r>
          </w:p>
        </w:tc>
        <w:tc>
          <w:tcPr>
            <w:tcW w:w="1728" w:type="dxa"/>
          </w:tcPr>
          <w:p w14:paraId="7DC75E8D" w14:textId="77777777" w:rsidR="00037981" w:rsidRDefault="00000000">
            <w:pPr>
              <w:spacing w:after="40" w:line="240" w:lineRule="auto"/>
            </w:pPr>
            <w:r>
              <w:rPr>
                <w:sz w:val="18"/>
              </w:rPr>
              <w:t>0.0032</w:t>
            </w:r>
          </w:p>
        </w:tc>
        <w:tc>
          <w:tcPr>
            <w:tcW w:w="1728" w:type="dxa"/>
          </w:tcPr>
          <w:p w14:paraId="64833AC3" w14:textId="77777777" w:rsidR="00037981" w:rsidRDefault="00000000">
            <w:pPr>
              <w:spacing w:after="40" w:line="240" w:lineRule="auto"/>
            </w:pPr>
            <w:r>
              <w:rPr>
                <w:b/>
                <w:sz w:val="18"/>
              </w:rPr>
              <w:t>0.281</w:t>
            </w:r>
          </w:p>
        </w:tc>
        <w:tc>
          <w:tcPr>
            <w:tcW w:w="1728" w:type="dxa"/>
          </w:tcPr>
          <w:p w14:paraId="19722847" w14:textId="77777777" w:rsidR="00037981" w:rsidRDefault="00000000">
            <w:pPr>
              <w:spacing w:after="40" w:line="240" w:lineRule="auto"/>
            </w:pPr>
            <w:r>
              <w:rPr>
                <w:b/>
                <w:sz w:val="18"/>
              </w:rPr>
              <w:t>0.281</w:t>
            </w:r>
          </w:p>
        </w:tc>
      </w:tr>
      <w:tr w:rsidR="00037981" w14:paraId="718F4E0F" w14:textId="77777777">
        <w:trPr>
          <w:jc w:val="center"/>
        </w:trPr>
        <w:tc>
          <w:tcPr>
            <w:tcW w:w="1728" w:type="dxa"/>
          </w:tcPr>
          <w:p w14:paraId="068DAA3F" w14:textId="77777777" w:rsidR="00037981" w:rsidRDefault="00000000">
            <w:pPr>
              <w:spacing w:after="40" w:line="240" w:lineRule="auto"/>
            </w:pPr>
            <w:r>
              <w:rPr>
                <w:sz w:val="18"/>
              </w:rPr>
              <w:t>SPT per Bacteroidetes relab</w:t>
            </w:r>
          </w:p>
        </w:tc>
        <w:tc>
          <w:tcPr>
            <w:tcW w:w="1728" w:type="dxa"/>
          </w:tcPr>
          <w:p w14:paraId="03C8ECBC" w14:textId="77777777" w:rsidR="00037981" w:rsidRDefault="00000000">
            <w:pPr>
              <w:spacing w:after="40" w:line="240" w:lineRule="auto"/>
            </w:pPr>
            <w:r>
              <w:rPr>
                <w:sz w:val="18"/>
              </w:rPr>
              <w:t>−0.1565</w:t>
            </w:r>
          </w:p>
        </w:tc>
        <w:tc>
          <w:tcPr>
            <w:tcW w:w="1728" w:type="dxa"/>
          </w:tcPr>
          <w:p w14:paraId="4E2EA477" w14:textId="77777777" w:rsidR="00037981" w:rsidRDefault="00000000">
            <w:pPr>
              <w:spacing w:after="40" w:line="240" w:lineRule="auto"/>
            </w:pPr>
            <w:r>
              <w:rPr>
                <w:sz w:val="18"/>
              </w:rPr>
              <w:t>0.1923</w:t>
            </w:r>
          </w:p>
        </w:tc>
        <w:tc>
          <w:tcPr>
            <w:tcW w:w="1728" w:type="dxa"/>
          </w:tcPr>
          <w:p w14:paraId="6E683D99" w14:textId="77777777" w:rsidR="00037981" w:rsidRDefault="00000000">
            <w:pPr>
              <w:spacing w:after="40" w:line="240" w:lineRule="auto"/>
            </w:pPr>
            <w:r>
              <w:rPr>
                <w:sz w:val="18"/>
              </w:rPr>
              <w:t>0.420</w:t>
            </w:r>
          </w:p>
        </w:tc>
        <w:tc>
          <w:tcPr>
            <w:tcW w:w="1728" w:type="dxa"/>
          </w:tcPr>
          <w:p w14:paraId="301004A7" w14:textId="77777777" w:rsidR="00037981" w:rsidRDefault="00000000">
            <w:pPr>
              <w:spacing w:after="40" w:line="240" w:lineRule="auto"/>
            </w:pPr>
            <w:r>
              <w:rPr>
                <w:sz w:val="18"/>
              </w:rPr>
              <w:t>0.424</w:t>
            </w:r>
          </w:p>
        </w:tc>
      </w:tr>
      <w:tr w:rsidR="00037981" w14:paraId="5E0D5BA8" w14:textId="77777777">
        <w:trPr>
          <w:jc w:val="center"/>
        </w:trPr>
        <w:tc>
          <w:tcPr>
            <w:tcW w:w="1728" w:type="dxa"/>
          </w:tcPr>
          <w:p w14:paraId="21B29C06" w14:textId="77777777" w:rsidR="00037981" w:rsidRDefault="00000000">
            <w:pPr>
              <w:spacing w:after="40" w:line="240" w:lineRule="auto"/>
            </w:pPr>
            <w:r>
              <w:rPr>
                <w:sz w:val="18"/>
              </w:rPr>
              <w:t xml:space="preserve">SPT per </w:t>
            </w:r>
            <w:r>
              <w:rPr>
                <w:i/>
                <w:sz w:val="18"/>
              </w:rPr>
              <w:t>Bacteroides</w:t>
            </w:r>
            <w:r>
              <w:rPr>
                <w:sz w:val="18"/>
              </w:rPr>
              <w:t xml:space="preserve"> relab</w:t>
            </w:r>
          </w:p>
        </w:tc>
        <w:tc>
          <w:tcPr>
            <w:tcW w:w="1728" w:type="dxa"/>
          </w:tcPr>
          <w:p w14:paraId="5C184E59" w14:textId="77777777" w:rsidR="00037981" w:rsidRDefault="00000000">
            <w:pPr>
              <w:spacing w:after="40" w:line="240" w:lineRule="auto"/>
            </w:pPr>
            <w:r>
              <w:rPr>
                <w:sz w:val="18"/>
              </w:rPr>
              <w:t>−0.1343</w:t>
            </w:r>
          </w:p>
        </w:tc>
        <w:tc>
          <w:tcPr>
            <w:tcW w:w="1728" w:type="dxa"/>
          </w:tcPr>
          <w:p w14:paraId="2B8280B4" w14:textId="77777777" w:rsidR="00037981" w:rsidRDefault="00000000">
            <w:pPr>
              <w:spacing w:after="40" w:line="240" w:lineRule="auto"/>
            </w:pPr>
            <w:r>
              <w:rPr>
                <w:sz w:val="18"/>
              </w:rPr>
              <w:t>0.0838</w:t>
            </w:r>
          </w:p>
        </w:tc>
        <w:tc>
          <w:tcPr>
            <w:tcW w:w="1728" w:type="dxa"/>
          </w:tcPr>
          <w:p w14:paraId="48904119" w14:textId="77777777" w:rsidR="00037981" w:rsidRDefault="00000000">
            <w:pPr>
              <w:spacing w:after="40" w:line="240" w:lineRule="auto"/>
            </w:pPr>
            <w:r>
              <w:rPr>
                <w:sz w:val="18"/>
              </w:rPr>
              <w:t>0.115</w:t>
            </w:r>
          </w:p>
        </w:tc>
        <w:tc>
          <w:tcPr>
            <w:tcW w:w="1728" w:type="dxa"/>
          </w:tcPr>
          <w:p w14:paraId="611E2F67" w14:textId="77777777" w:rsidR="00037981" w:rsidRDefault="00000000">
            <w:pPr>
              <w:spacing w:after="40" w:line="240" w:lineRule="auto"/>
            </w:pPr>
            <w:r>
              <w:rPr>
                <w:sz w:val="18"/>
              </w:rPr>
              <w:t>0.114</w:t>
            </w:r>
          </w:p>
        </w:tc>
      </w:tr>
    </w:tbl>
    <w:p w14:paraId="418222AF" w14:textId="77777777" w:rsidR="00037981" w:rsidRDefault="00037981"/>
    <w:p w14:paraId="38796792" w14:textId="77777777" w:rsidR="00037981" w:rsidRDefault="00000000">
      <w:pPr>
        <w:jc w:val="both"/>
      </w:pPr>
      <w:r>
        <w:rPr>
          <w:b/>
        </w:rPr>
        <w:t>The decisive comparison.</w:t>
      </w:r>
      <w:r>
        <w:t xml:space="preserve"> In the joint model the genus summary is untouched (β = +0.4297, P = 0.0012) and SPT vanishes (β = −0.0006, P = 0.841). Likelihood-ratio test of joint vs genus-only: χ²₁ = 0.047, </w:t>
      </w:r>
      <w:r>
        <w:rPr>
          <w:b/>
        </w:rPr>
        <w:t>P = 0.828</w:t>
      </w:r>
      <w:r>
        <w:t>. SPT and the genus summary do correlate (Spearman ρ = +0.389, P = 0.0026), as the biology predicts — but that shared variance is not what carries the lipid association.</w:t>
      </w:r>
    </w:p>
    <w:p w14:paraId="24871745" w14:textId="77777777" w:rsidR="00037981" w:rsidRDefault="00000000">
      <w:pPr>
        <w:jc w:val="both"/>
      </w:pPr>
      <w:r>
        <w:t xml:space="preserve">Pre-specified decision-rule outcome: </w:t>
      </w:r>
      <w:r>
        <w:rPr>
          <w:b/>
        </w:rPr>
        <w:t>"the gene signal is the genus signal re-measured, the paper stays a taxonomic finding, and that is stated plainly."</w:t>
      </w:r>
      <w:r>
        <w:t xml:space="preserve"> The data are in fact weaker than that branch allows — SPT is not associated with the endpoint even alone, and both per-genome normalisations are null and negative.</w:t>
      </w:r>
    </w:p>
    <w:p w14:paraId="6D9473A0" w14:textId="77777777" w:rsidR="00037981" w:rsidRDefault="00000000">
      <w:pPr>
        <w:jc w:val="both"/>
      </w:pPr>
      <w:r>
        <w:lastRenderedPageBreak/>
        <w:t>Together with the MetaCardis replication failure, the mechanistic and the epidemiological legs of the hypothesis fall in the same direction.</w:t>
      </w:r>
    </w:p>
    <w:p w14:paraId="7324BEDA" w14:textId="77777777" w:rsidR="00037981" w:rsidRDefault="00000000">
      <w:pPr>
        <w:jc w:val="both"/>
      </w:pPr>
      <w:r>
        <w:rPr>
          <w:b/>
        </w:rPr>
        <w:t>Status after the second attempt (26 September).</w:t>
      </w:r>
      <w:r>
        <w:t xml:space="preserve"> Three of the four obstacles are now cleared and the pipeline is 62% of the way through its last step:</w:t>
      </w:r>
    </w:p>
    <w:tbl>
      <w:tblPr>
        <w:tblStyle w:val="af9"/>
        <w:tblW w:w="0" w:type="auto"/>
        <w:jc w:val="center"/>
        <w:tblLook w:val="04A0" w:firstRow="1" w:lastRow="0" w:firstColumn="1" w:lastColumn="0" w:noHBand="0" w:noVBand="1"/>
      </w:tblPr>
      <w:tblGrid>
        <w:gridCol w:w="4320"/>
        <w:gridCol w:w="4320"/>
      </w:tblGrid>
      <w:tr w:rsidR="00037981" w14:paraId="04E3FF35" w14:textId="77777777">
        <w:trPr>
          <w:jc w:val="center"/>
        </w:trPr>
        <w:tc>
          <w:tcPr>
            <w:tcW w:w="4320" w:type="dxa"/>
          </w:tcPr>
          <w:p w14:paraId="63BAA99A" w14:textId="77777777" w:rsidR="00037981" w:rsidRDefault="00000000">
            <w:pPr>
              <w:spacing w:after="40" w:line="240" w:lineRule="auto"/>
            </w:pPr>
            <w:r>
              <w:rPr>
                <w:b/>
                <w:sz w:val="18"/>
              </w:rPr>
              <w:t>Step</w:t>
            </w:r>
          </w:p>
        </w:tc>
        <w:tc>
          <w:tcPr>
            <w:tcW w:w="4320" w:type="dxa"/>
          </w:tcPr>
          <w:p w14:paraId="0B097541" w14:textId="77777777" w:rsidR="00037981" w:rsidRDefault="00000000">
            <w:pPr>
              <w:spacing w:after="40" w:line="240" w:lineRule="auto"/>
            </w:pPr>
            <w:r>
              <w:rPr>
                <w:b/>
                <w:sz w:val="18"/>
              </w:rPr>
              <w:t>State</w:t>
            </w:r>
          </w:p>
        </w:tc>
      </w:tr>
      <w:tr w:rsidR="00037981" w14:paraId="61E2C188" w14:textId="77777777">
        <w:trPr>
          <w:jc w:val="center"/>
        </w:trPr>
        <w:tc>
          <w:tcPr>
            <w:tcW w:w="4320" w:type="dxa"/>
          </w:tcPr>
          <w:p w14:paraId="39C23765" w14:textId="77777777" w:rsidR="00037981" w:rsidRDefault="00000000">
            <w:pPr>
              <w:spacing w:after="40" w:line="240" w:lineRule="auto"/>
            </w:pPr>
            <w:r>
              <w:rPr>
                <w:sz w:val="18"/>
              </w:rPr>
              <w:t>Read recruitment, all 58 samples</w:t>
            </w:r>
          </w:p>
        </w:tc>
        <w:tc>
          <w:tcPr>
            <w:tcW w:w="4320" w:type="dxa"/>
          </w:tcPr>
          <w:p w14:paraId="6AD3FECC" w14:textId="77777777" w:rsidR="00037981" w:rsidRDefault="00000000">
            <w:pPr>
              <w:spacing w:after="40" w:line="240" w:lineRule="auto"/>
            </w:pPr>
            <w:r>
              <w:rPr>
                <w:b/>
                <w:sz w:val="18"/>
              </w:rPr>
              <w:t>COMPLETE and clean.</w:t>
            </w:r>
            <w:r>
              <w:rPr>
                <w:sz w:val="18"/>
              </w:rPr>
              <w:t xml:space="preserve"> Median 775,893 reads/sample (range 695,684–935,554, a 1.35× spread against 5.6× in the corrupted pass), zero over-long reads rejected, largest per-sample file 0.41 MB against 44 MB when corrupt. 120,818 reads recruited.</w:t>
            </w:r>
          </w:p>
        </w:tc>
      </w:tr>
      <w:tr w:rsidR="00037981" w14:paraId="0631216B" w14:textId="77777777">
        <w:trPr>
          <w:jc w:val="center"/>
        </w:trPr>
        <w:tc>
          <w:tcPr>
            <w:tcW w:w="4320" w:type="dxa"/>
          </w:tcPr>
          <w:p w14:paraId="53276E20" w14:textId="77777777" w:rsidR="00037981" w:rsidRDefault="00000000">
            <w:pPr>
              <w:spacing w:after="40" w:line="240" w:lineRule="auto"/>
            </w:pPr>
            <w:r>
              <w:rPr>
                <w:sz w:val="18"/>
              </w:rPr>
              <w:t>Tier-1 confirmation (SPT panel alone)</w:t>
            </w:r>
          </w:p>
        </w:tc>
        <w:tc>
          <w:tcPr>
            <w:tcW w:w="4320" w:type="dxa"/>
          </w:tcPr>
          <w:p w14:paraId="2AB894CC" w14:textId="77777777" w:rsidR="00037981" w:rsidRDefault="00000000">
            <w:pPr>
              <w:spacing w:after="40" w:line="240" w:lineRule="auto"/>
            </w:pPr>
            <w:r>
              <w:rPr>
                <w:b/>
                <w:sz w:val="18"/>
              </w:rPr>
              <w:t>COMPLETE.</w:t>
            </w:r>
            <w:r>
              <w:rPr>
                <w:sz w:val="18"/>
              </w:rPr>
              <w:t xml:space="preserve"> 13,253 of 120,818 recruited reads (10.97%) carry an SPT hit. 64.6 min.</w:t>
            </w:r>
          </w:p>
        </w:tc>
      </w:tr>
      <w:tr w:rsidR="00037981" w14:paraId="4C0D3C02" w14:textId="77777777">
        <w:trPr>
          <w:jc w:val="center"/>
        </w:trPr>
        <w:tc>
          <w:tcPr>
            <w:tcW w:w="4320" w:type="dxa"/>
          </w:tcPr>
          <w:p w14:paraId="25DBA80A" w14:textId="77777777" w:rsidR="00037981" w:rsidRDefault="00000000">
            <w:pPr>
              <w:spacing w:after="40" w:line="240" w:lineRule="auto"/>
            </w:pPr>
            <w:r>
              <w:rPr>
                <w:sz w:val="18"/>
              </w:rPr>
              <w:t>Tier-2 confirmation (full panel incl. decoys)</w:t>
            </w:r>
          </w:p>
        </w:tc>
        <w:tc>
          <w:tcPr>
            <w:tcW w:w="4320" w:type="dxa"/>
          </w:tcPr>
          <w:p w14:paraId="76CA5AE0" w14:textId="77777777" w:rsidR="00037981" w:rsidRDefault="00000000">
            <w:pPr>
              <w:spacing w:after="40" w:line="240" w:lineRule="auto"/>
            </w:pPr>
            <w:r>
              <w:rPr>
                <w:b/>
                <w:sz w:val="18"/>
              </w:rPr>
              <w:t>8,274 of 13,253 candidates done (62%).</w:t>
            </w:r>
          </w:p>
        </w:tc>
      </w:tr>
      <w:tr w:rsidR="00037981" w14:paraId="61A85CCA" w14:textId="77777777">
        <w:trPr>
          <w:jc w:val="center"/>
        </w:trPr>
        <w:tc>
          <w:tcPr>
            <w:tcW w:w="4320" w:type="dxa"/>
          </w:tcPr>
          <w:p w14:paraId="32C403A6" w14:textId="77777777" w:rsidR="00037981" w:rsidRDefault="00000000">
            <w:pPr>
              <w:spacing w:after="40" w:line="240" w:lineRule="auto"/>
            </w:pPr>
            <w:r>
              <w:rPr>
                <w:sz w:val="18"/>
              </w:rPr>
              <w:t>Association models</w:t>
            </w:r>
          </w:p>
        </w:tc>
        <w:tc>
          <w:tcPr>
            <w:tcW w:w="4320" w:type="dxa"/>
          </w:tcPr>
          <w:p w14:paraId="24CCD8DD" w14:textId="77777777" w:rsidR="00037981" w:rsidRDefault="00000000">
            <w:pPr>
              <w:spacing w:after="40" w:line="240" w:lineRule="auto"/>
            </w:pPr>
            <w:r>
              <w:rPr>
                <w:sz w:val="18"/>
              </w:rPr>
              <w:t>Not reached.</w:t>
            </w:r>
          </w:p>
        </w:tc>
      </w:tr>
    </w:tbl>
    <w:p w14:paraId="12FCAEAA" w14:textId="77777777" w:rsidR="00037981" w:rsidRDefault="00037981"/>
    <w:p w14:paraId="02C57E36" w14:textId="77777777" w:rsidR="00037981" w:rsidRDefault="00000000">
      <w:pPr>
        <w:jc w:val="both"/>
      </w:pPr>
      <w:r>
        <w:t xml:space="preserve">What now blocks it is neither corruption nor bandwidth nor tooling: </w:t>
      </w:r>
      <w:r>
        <w:rPr>
          <w:b/>
        </w:rPr>
        <w:t>7.1 of this machine's 8 cores are occupied by processes outside this session</w:t>
      </w:r>
      <w:r>
        <w:t xml:space="preserve"> (12.9 GB RAM free, so not memory), which drives tier 2 to ~10 s/read. Everything upstream of it is finished, checkpointed and reusable, so the remaining work is one bounded search step.</w:t>
      </w:r>
    </w:p>
    <w:p w14:paraId="6D8797E9" w14:textId="77777777" w:rsidR="00037981" w:rsidRDefault="00000000">
      <w:pPr>
        <w:jc w:val="both"/>
      </w:pPr>
      <w:r>
        <w:t xml:space="preserve">This is a capability failure, not a biological result. </w:t>
      </w:r>
      <w:r>
        <w:rPr>
          <w:b/>
        </w:rPr>
        <w:t>Do not read it as evidence against the SPT hypothesis</w:t>
      </w:r>
      <w:r>
        <w:t>, and do not let the absence of a number here become a fourth "failed analysis" in the project's ledger. The hypothesis remains untested.</w:t>
      </w:r>
    </w:p>
    <w:p w14:paraId="05DBABA1" w14:textId="77777777" w:rsidR="00037981" w:rsidRDefault="00000000">
      <w:pPr>
        <w:pStyle w:val="31"/>
        <w:spacing w:before="240" w:after="120"/>
      </w:pPr>
      <w:r>
        <w:rPr>
          <w:rFonts w:ascii="Times New Roman" w:hAnsi="Times New Roman"/>
          <w:color w:val="000000"/>
        </w:rPr>
        <w:t>Verification gate — passed</w:t>
      </w:r>
    </w:p>
    <w:p w14:paraId="5753EBC5" w14:textId="77777777" w:rsidR="00037981" w:rsidRDefault="00000000">
      <w:pPr>
        <w:jc w:val="both"/>
      </w:pPr>
      <w:r>
        <w:t xml:space="preserve">Reproduced from </w:t>
      </w:r>
      <w:r>
        <w:rPr>
          <w:rFonts w:ascii="Consolas" w:hAnsi="Consolas"/>
          <w:sz w:val="18"/>
        </w:rPr>
        <w:t>Supplementary_Data_1_frozen_analysis_set.csv</w:t>
      </w:r>
      <w:r>
        <w:t xml:space="preserve"> (SHA256 </w:t>
      </w:r>
      <w:r>
        <w:rPr>
          <w:rFonts w:ascii="Consolas" w:hAnsi="Consolas"/>
          <w:sz w:val="18"/>
        </w:rPr>
        <w:t>b3540c47…ccf43f</w:t>
      </w:r>
      <w:r>
        <w:t>, matches the published value):</w:t>
      </w:r>
    </w:p>
    <w:tbl>
      <w:tblPr>
        <w:tblStyle w:val="af9"/>
        <w:tblW w:w="0" w:type="auto"/>
        <w:jc w:val="center"/>
        <w:tblLook w:val="04A0" w:firstRow="1" w:lastRow="0" w:firstColumn="1" w:lastColumn="0" w:noHBand="0" w:noVBand="1"/>
      </w:tblPr>
      <w:tblGrid>
        <w:gridCol w:w="2880"/>
        <w:gridCol w:w="2880"/>
        <w:gridCol w:w="2880"/>
      </w:tblGrid>
      <w:tr w:rsidR="00037981" w14:paraId="38AE47ED" w14:textId="77777777">
        <w:trPr>
          <w:jc w:val="center"/>
        </w:trPr>
        <w:tc>
          <w:tcPr>
            <w:tcW w:w="2880" w:type="dxa"/>
          </w:tcPr>
          <w:p w14:paraId="4988CBD1" w14:textId="77777777" w:rsidR="00037981" w:rsidRDefault="00000000">
            <w:pPr>
              <w:spacing w:after="40" w:line="240" w:lineRule="auto"/>
            </w:pPr>
            <w:r>
              <w:rPr>
                <w:b/>
                <w:sz w:val="18"/>
              </w:rPr>
              <w:t>Quantity</w:t>
            </w:r>
          </w:p>
        </w:tc>
        <w:tc>
          <w:tcPr>
            <w:tcW w:w="2880" w:type="dxa"/>
          </w:tcPr>
          <w:p w14:paraId="1FFFF64E" w14:textId="77777777" w:rsidR="00037981" w:rsidRDefault="00000000">
            <w:pPr>
              <w:spacing w:after="40" w:line="240" w:lineRule="auto"/>
            </w:pPr>
            <w:r>
              <w:rPr>
                <w:b/>
                <w:sz w:val="18"/>
              </w:rPr>
              <w:t>Reproduced</w:t>
            </w:r>
          </w:p>
        </w:tc>
        <w:tc>
          <w:tcPr>
            <w:tcW w:w="2880" w:type="dxa"/>
          </w:tcPr>
          <w:p w14:paraId="3998DEF6" w14:textId="77777777" w:rsidR="00037981" w:rsidRDefault="00000000">
            <w:pPr>
              <w:spacing w:after="40" w:line="240" w:lineRule="auto"/>
            </w:pPr>
            <w:r>
              <w:rPr>
                <w:b/>
                <w:sz w:val="18"/>
              </w:rPr>
              <w:t>Target</w:t>
            </w:r>
          </w:p>
        </w:tc>
      </w:tr>
      <w:tr w:rsidR="00037981" w14:paraId="6CDFCD2C" w14:textId="77777777">
        <w:trPr>
          <w:jc w:val="center"/>
        </w:trPr>
        <w:tc>
          <w:tcPr>
            <w:tcW w:w="2880" w:type="dxa"/>
          </w:tcPr>
          <w:p w14:paraId="110A30A8" w14:textId="77777777" w:rsidR="00037981" w:rsidRDefault="00000000">
            <w:pPr>
              <w:spacing w:after="40" w:line="240" w:lineRule="auto"/>
            </w:pPr>
            <w:r>
              <w:rPr>
                <w:sz w:val="18"/>
              </w:rPr>
              <w:t>Adjusted β</w:t>
            </w:r>
          </w:p>
        </w:tc>
        <w:tc>
          <w:tcPr>
            <w:tcW w:w="2880" w:type="dxa"/>
          </w:tcPr>
          <w:p w14:paraId="4EF9638A" w14:textId="77777777" w:rsidR="00037981" w:rsidRDefault="00000000">
            <w:pPr>
              <w:spacing w:after="40" w:line="240" w:lineRule="auto"/>
            </w:pPr>
            <w:r>
              <w:rPr>
                <w:b/>
                <w:sz w:val="18"/>
              </w:rPr>
              <w:t>+0.4201</w:t>
            </w:r>
          </w:p>
        </w:tc>
        <w:tc>
          <w:tcPr>
            <w:tcW w:w="2880" w:type="dxa"/>
          </w:tcPr>
          <w:p w14:paraId="506C7C0D" w14:textId="77777777" w:rsidR="00037981" w:rsidRDefault="00000000">
            <w:pPr>
              <w:spacing w:after="40" w:line="240" w:lineRule="auto"/>
            </w:pPr>
            <w:r>
              <w:rPr>
                <w:sz w:val="18"/>
              </w:rPr>
              <w:t>+0.4201</w:t>
            </w:r>
          </w:p>
        </w:tc>
      </w:tr>
      <w:tr w:rsidR="00037981" w14:paraId="5A43001A" w14:textId="77777777">
        <w:trPr>
          <w:jc w:val="center"/>
        </w:trPr>
        <w:tc>
          <w:tcPr>
            <w:tcW w:w="2880" w:type="dxa"/>
          </w:tcPr>
          <w:p w14:paraId="60CEF1A4" w14:textId="77777777" w:rsidR="00037981" w:rsidRDefault="00000000">
            <w:pPr>
              <w:spacing w:after="40" w:line="240" w:lineRule="auto"/>
            </w:pPr>
            <w:r>
              <w:rPr>
                <w:sz w:val="18"/>
              </w:rPr>
              <w:t>SE</w:t>
            </w:r>
          </w:p>
        </w:tc>
        <w:tc>
          <w:tcPr>
            <w:tcW w:w="2880" w:type="dxa"/>
          </w:tcPr>
          <w:p w14:paraId="7E1906B4" w14:textId="77777777" w:rsidR="00037981" w:rsidRDefault="00000000">
            <w:pPr>
              <w:spacing w:after="40" w:line="240" w:lineRule="auto"/>
            </w:pPr>
            <w:r>
              <w:rPr>
                <w:b/>
                <w:sz w:val="18"/>
              </w:rPr>
              <w:t>0.1142</w:t>
            </w:r>
          </w:p>
        </w:tc>
        <w:tc>
          <w:tcPr>
            <w:tcW w:w="2880" w:type="dxa"/>
          </w:tcPr>
          <w:p w14:paraId="21231756" w14:textId="77777777" w:rsidR="00037981" w:rsidRDefault="00000000">
            <w:pPr>
              <w:spacing w:after="40" w:line="240" w:lineRule="auto"/>
            </w:pPr>
            <w:r>
              <w:rPr>
                <w:sz w:val="18"/>
              </w:rPr>
              <w:t>0.1142</w:t>
            </w:r>
          </w:p>
        </w:tc>
      </w:tr>
      <w:tr w:rsidR="00037981" w14:paraId="0BDE34C4" w14:textId="77777777">
        <w:trPr>
          <w:jc w:val="center"/>
        </w:trPr>
        <w:tc>
          <w:tcPr>
            <w:tcW w:w="2880" w:type="dxa"/>
          </w:tcPr>
          <w:p w14:paraId="5767D8AF" w14:textId="77777777" w:rsidR="00037981" w:rsidRDefault="00000000">
            <w:pPr>
              <w:spacing w:after="40" w:line="240" w:lineRule="auto"/>
            </w:pPr>
            <w:r>
              <w:rPr>
                <w:sz w:val="18"/>
              </w:rPr>
              <w:t>P</w:t>
            </w:r>
          </w:p>
        </w:tc>
        <w:tc>
          <w:tcPr>
            <w:tcW w:w="2880" w:type="dxa"/>
          </w:tcPr>
          <w:p w14:paraId="45F0995A" w14:textId="77777777" w:rsidR="00037981" w:rsidRDefault="00000000">
            <w:pPr>
              <w:spacing w:after="40" w:line="240" w:lineRule="auto"/>
            </w:pPr>
            <w:r>
              <w:rPr>
                <w:b/>
                <w:sz w:val="18"/>
              </w:rPr>
              <w:t>5.67 × 10⁻⁴</w:t>
            </w:r>
          </w:p>
        </w:tc>
        <w:tc>
          <w:tcPr>
            <w:tcW w:w="2880" w:type="dxa"/>
          </w:tcPr>
          <w:p w14:paraId="3A37DB20" w14:textId="77777777" w:rsidR="00037981" w:rsidRDefault="00000000">
            <w:pPr>
              <w:spacing w:after="40" w:line="240" w:lineRule="auto"/>
            </w:pPr>
            <w:r>
              <w:rPr>
                <w:sz w:val="18"/>
              </w:rPr>
              <w:t>5.67 × 10⁻⁴</w:t>
            </w:r>
          </w:p>
        </w:tc>
      </w:tr>
      <w:tr w:rsidR="00037981" w14:paraId="44BC6254" w14:textId="77777777">
        <w:trPr>
          <w:jc w:val="center"/>
        </w:trPr>
        <w:tc>
          <w:tcPr>
            <w:tcW w:w="2880" w:type="dxa"/>
          </w:tcPr>
          <w:p w14:paraId="669B0A62" w14:textId="77777777" w:rsidR="00037981" w:rsidRDefault="00000000">
            <w:pPr>
              <w:spacing w:after="40" w:line="240" w:lineRule="auto"/>
            </w:pPr>
            <w:r>
              <w:rPr>
                <w:sz w:val="18"/>
              </w:rPr>
              <w:t>R²</w:t>
            </w:r>
          </w:p>
        </w:tc>
        <w:tc>
          <w:tcPr>
            <w:tcW w:w="2880" w:type="dxa"/>
          </w:tcPr>
          <w:p w14:paraId="64EA40DE" w14:textId="77777777" w:rsidR="00037981" w:rsidRDefault="00000000">
            <w:pPr>
              <w:spacing w:after="40" w:line="240" w:lineRule="auto"/>
            </w:pPr>
            <w:r>
              <w:rPr>
                <w:b/>
                <w:sz w:val="18"/>
              </w:rPr>
              <w:t>0.2292</w:t>
            </w:r>
          </w:p>
        </w:tc>
        <w:tc>
          <w:tcPr>
            <w:tcW w:w="2880" w:type="dxa"/>
          </w:tcPr>
          <w:p w14:paraId="09C77ABD" w14:textId="77777777" w:rsidR="00037981" w:rsidRDefault="00000000">
            <w:pPr>
              <w:spacing w:after="40" w:line="240" w:lineRule="auto"/>
            </w:pPr>
            <w:r>
              <w:rPr>
                <w:sz w:val="18"/>
              </w:rPr>
              <w:t>0.229</w:t>
            </w:r>
          </w:p>
        </w:tc>
      </w:tr>
      <w:tr w:rsidR="00037981" w14:paraId="68E0C274" w14:textId="77777777">
        <w:trPr>
          <w:jc w:val="center"/>
        </w:trPr>
        <w:tc>
          <w:tcPr>
            <w:tcW w:w="2880" w:type="dxa"/>
          </w:tcPr>
          <w:p w14:paraId="0A14F6CD" w14:textId="77777777" w:rsidR="00037981" w:rsidRDefault="00000000">
            <w:pPr>
              <w:spacing w:after="40" w:line="240" w:lineRule="auto"/>
            </w:pPr>
            <w:r>
              <w:rPr>
                <w:sz w:val="18"/>
              </w:rPr>
              <w:t>Unadjusted Spearman ρ</w:t>
            </w:r>
          </w:p>
        </w:tc>
        <w:tc>
          <w:tcPr>
            <w:tcW w:w="2880" w:type="dxa"/>
          </w:tcPr>
          <w:p w14:paraId="614CD87C" w14:textId="77777777" w:rsidR="00037981" w:rsidRDefault="00000000">
            <w:pPr>
              <w:spacing w:after="40" w:line="240" w:lineRule="auto"/>
            </w:pPr>
            <w:r>
              <w:rPr>
                <w:b/>
                <w:sz w:val="18"/>
              </w:rPr>
              <w:t>+0.4613</w:t>
            </w:r>
          </w:p>
        </w:tc>
        <w:tc>
          <w:tcPr>
            <w:tcW w:w="2880" w:type="dxa"/>
          </w:tcPr>
          <w:p w14:paraId="5C19E7DC" w14:textId="77777777" w:rsidR="00037981" w:rsidRDefault="00000000">
            <w:pPr>
              <w:spacing w:after="40" w:line="240" w:lineRule="auto"/>
            </w:pPr>
            <w:r>
              <w:rPr>
                <w:sz w:val="18"/>
              </w:rPr>
              <w:t>+0.4613</w:t>
            </w:r>
          </w:p>
        </w:tc>
      </w:tr>
      <w:tr w:rsidR="00037981" w14:paraId="6560CEF0" w14:textId="77777777">
        <w:trPr>
          <w:jc w:val="center"/>
        </w:trPr>
        <w:tc>
          <w:tcPr>
            <w:tcW w:w="2880" w:type="dxa"/>
          </w:tcPr>
          <w:p w14:paraId="1190CCB0" w14:textId="77777777" w:rsidR="00037981" w:rsidRDefault="00000000">
            <w:pPr>
              <w:spacing w:after="40" w:line="240" w:lineRule="auto"/>
            </w:pPr>
            <w:r>
              <w:rPr>
                <w:sz w:val="18"/>
              </w:rPr>
              <w:t>n used</w:t>
            </w:r>
          </w:p>
        </w:tc>
        <w:tc>
          <w:tcPr>
            <w:tcW w:w="2880" w:type="dxa"/>
          </w:tcPr>
          <w:p w14:paraId="7B0928AB" w14:textId="77777777" w:rsidR="00037981" w:rsidRDefault="00000000">
            <w:pPr>
              <w:spacing w:after="40" w:line="240" w:lineRule="auto"/>
            </w:pPr>
            <w:r>
              <w:rPr>
                <w:sz w:val="18"/>
              </w:rPr>
              <w:t>58</w:t>
            </w:r>
          </w:p>
        </w:tc>
        <w:tc>
          <w:tcPr>
            <w:tcW w:w="2880" w:type="dxa"/>
          </w:tcPr>
          <w:p w14:paraId="296A12D2" w14:textId="77777777" w:rsidR="00037981" w:rsidRDefault="00000000">
            <w:pPr>
              <w:spacing w:after="40" w:line="240" w:lineRule="auto"/>
            </w:pPr>
            <w:r>
              <w:rPr>
                <w:sz w:val="18"/>
              </w:rPr>
              <w:t>58</w:t>
            </w:r>
          </w:p>
        </w:tc>
      </w:tr>
    </w:tbl>
    <w:p w14:paraId="4DEFC66C" w14:textId="77777777" w:rsidR="00037981" w:rsidRDefault="00037981"/>
    <w:p w14:paraId="029BF308" w14:textId="77777777" w:rsidR="00037981" w:rsidRDefault="00000000">
      <w:pPr>
        <w:jc w:val="both"/>
      </w:pPr>
      <w:r>
        <w:t>The gate did its job: it confirms this session's pipeline matches the one behind MICRES-D-26-04169, so everything below is a statement about the new work, not about a pipeline mismatch.</w:t>
      </w:r>
    </w:p>
    <w:p w14:paraId="33C72C8F" w14:textId="77777777" w:rsidR="00037981" w:rsidRDefault="00000000">
      <w:pPr>
        <w:pStyle w:val="31"/>
        <w:spacing w:before="240" w:after="120"/>
      </w:pPr>
      <w:r>
        <w:rPr>
          <w:rFonts w:ascii="Times New Roman" w:hAnsi="Times New Roman"/>
          <w:color w:val="000000"/>
        </w:rPr>
        <w:lastRenderedPageBreak/>
        <w:t>What was built and validated</w:t>
      </w:r>
    </w:p>
    <w:p w14:paraId="7B053BB2" w14:textId="77777777" w:rsidR="00037981" w:rsidRDefault="00000000">
      <w:pPr>
        <w:jc w:val="both"/>
      </w:pPr>
      <w:r>
        <w:rPr>
          <w:b/>
        </w:rPr>
        <w:t>Sample resolution is unambiguous.</w:t>
      </w:r>
      <w:r>
        <w:t xml:space="preserve"> All 58 frozen-set </w:t>
      </w:r>
      <w:r>
        <w:rPr>
          <w:rFonts w:ascii="Consolas" w:hAnsi="Consolas"/>
          <w:sz w:val="18"/>
        </w:rPr>
        <w:t>record_id</w:t>
      </w:r>
      <w:r>
        <w:t xml:space="preserve"> values match one-to-one to distinct PRJNA1266263 run accessions via the ENA </w:t>
      </w:r>
      <w:r>
        <w:rPr>
          <w:rFonts w:ascii="Consolas" w:hAnsi="Consolas"/>
          <w:sz w:val="18"/>
        </w:rPr>
        <w:t>sample_alias</w:t>
      </w:r>
      <w:r>
        <w:t xml:space="preserve"> field. The project holds 170 runs / 271 GB; the 58 baseline R1 files are ~313–400 MB each. Manifest: </w:t>
      </w:r>
      <w:r>
        <w:rPr>
          <w:rFonts w:ascii="Consolas" w:hAnsi="Consolas"/>
          <w:sz w:val="18"/>
        </w:rPr>
        <w:t>run_manifest.csv</w:t>
      </w:r>
      <w:r>
        <w:t>.</w:t>
      </w:r>
    </w:p>
    <w:p w14:paraId="12D01307" w14:textId="77777777" w:rsidR="00037981" w:rsidRDefault="00000000">
      <w:pPr>
        <w:jc w:val="both"/>
      </w:pPr>
      <w:r>
        <w:rPr>
          <w:b/>
        </w:rPr>
        <w:t>A library-type confound worth knowing before the reads are reprocessed.</w:t>
      </w:r>
      <w:r>
        <w:t xml:space="preserve"> All 170 runs are recorded as </w:t>
      </w:r>
      <w:r>
        <w:rPr>
          <w:rFonts w:ascii="Consolas" w:hAnsi="Consolas"/>
          <w:sz w:val="18"/>
        </w:rPr>
        <w:t>LibraryStrategy=WGA</w:t>
      </w:r>
      <w:r>
        <w:t xml:space="preserve"> — whole-genome </w:t>
      </w:r>
      <w:r>
        <w:rPr>
          <w:b/>
        </w:rPr>
        <w:t>amplification</w:t>
      </w:r>
      <w:r>
        <w:t>, not direct shotgun. Amplification distorts per-locus coverage, so any hits-per-million from this BioProject is an amplified-library rate, not a clean community gene abundance.</w:t>
      </w:r>
    </w:p>
    <w:p w14:paraId="5376B4A8" w14:textId="77777777" w:rsidR="00037981" w:rsidRDefault="00000000">
      <w:pPr>
        <w:jc w:val="both"/>
      </w:pPr>
      <w:r>
        <w:t xml:space="preserve">I first wrote that this bias "largely cancels" because the 58 samples were identically prepared. </w:t>
      </w:r>
      <w:r>
        <w:rPr>
          <w:b/>
        </w:rPr>
        <w:t>That is not supportable and the caveat is upgraded to load-bearing</w:t>
      </w:r>
      <w:r>
        <w:t xml:space="preserve"> (external review, 26 September 2026): identical preparation does not imply a constant per-sample bias, because WGA distortion depends on per-taxon GC content and template integrity (Direito et al., </w:t>
      </w:r>
      <w:r>
        <w:rPr>
          <w:i/>
        </w:rPr>
        <w:t>Biotechnol Lett</w:t>
      </w:r>
      <w:r>
        <w:t xml:space="preserve"> 2014, PMID 24372985), and both vary </w:t>
      </w:r>
      <w:r>
        <w:rPr>
          <w:i/>
        </w:rPr>
        <w:t>with community composition</w:t>
      </w:r>
      <w:r>
        <w:t xml:space="preserve"> — the very axis the </w:t>
      </w:r>
      <w:r>
        <w:rPr>
          <w:i/>
        </w:rPr>
        <w:t>Bacteroides</w:t>
      </w:r>
      <w:r>
        <w:t xml:space="preserve"> summary measures. This is the one mechanism by which the pipeline could forge the association it exists to test. Consequences: the joint fit (SPT adjusted for the genus summary) is decisive rather than supplementary; no claim of cancellation may be made without sample-level evidence this dataset does not contain; and a GC-content sensitivity analysis is the minimum available check. Recorded in Methods 2.11.1. I had initially described these runs as shotgun; that was wrong and is corrected in the saved scripts and Methods.</w:t>
      </w:r>
    </w:p>
    <w:p w14:paraId="0BFD64F4" w14:textId="77777777" w:rsidR="00037981" w:rsidRDefault="00000000">
      <w:pPr>
        <w:jc w:val="both"/>
      </w:pPr>
      <w:r>
        <w:rPr>
          <w:b/>
        </w:rPr>
        <w:t>SPT panel (deliverable, complete).</w:t>
      </w:r>
      <w:r>
        <w:t xml:space="preserve"> 1,990 bacterial SPT proteins (UniProt </w:t>
      </w:r>
      <w:r>
        <w:rPr>
          <w:rFonts w:ascii="Consolas" w:hAnsi="Consolas"/>
          <w:sz w:val="18"/>
        </w:rPr>
        <w:t>(ec:2.3.1.50) AND (taxonomy_id:2)</w:t>
      </w:r>
      <w:r>
        <w:t xml:space="preserve">), median 397 aa, 99.9% inside the 350–450 aa homodimeric window, </w:t>
      </w:r>
      <w:r>
        <w:rPr>
          <w:b/>
        </w:rPr>
        <w:t>BT_0870 (Q8A9E5) present</w:t>
      </w:r>
      <w:r>
        <w:t xml:space="preserve">, </w:t>
      </w:r>
      <w:r>
        <w:rPr>
          <w:b/>
        </w:rPr>
        <w:t>zero eukaryotic entries</w:t>
      </w:r>
      <w:r>
        <w:t>, 227 from gut Bacteroidetes genera.</w:t>
      </w:r>
    </w:p>
    <w:p w14:paraId="1316A8E7" w14:textId="77777777" w:rsidR="00037981" w:rsidRDefault="00000000">
      <w:pPr>
        <w:jc w:val="both"/>
      </w:pPr>
      <w:r>
        <w:t xml:space="preserve">The panel additionally carries 33,291 </w:t>
      </w:r>
      <w:r>
        <w:rPr>
          <w:b/>
        </w:rPr>
        <w:t>decoys</w:t>
      </w:r>
      <w:r>
        <w:t xml:space="preserve"> that are never counted as SPT — the α-oxoamine-synthase paralogues BioF (EC 2.3.1.47), ALAS (EC 2.3.1.37) and KBL (EC 2.3.1.29), plus eukaryotic SPTLC1/2/3. This was the most consequential design decision and it was not in the original brief, which worried only about host homologs. Bacterial SPT is ~40% identical to these paralogues and they are far more abundant in a gut metagenome than any host sequence. Measured on real data, they matter: in the six samples that reached confirmation, </w:t>
      </w:r>
      <w:r>
        <w:rPr>
          <w:b/>
        </w:rPr>
        <w:t>63–96 reads per sample hit a decoy best</w:t>
      </w:r>
      <w:r>
        <w:t xml:space="preserve"> against 20–123 hitting SPT. Without the decoys the SPT count would have been inflated roughly two- to four-fold, and inflated </w:t>
      </w:r>
      <w:r>
        <w:rPr>
          <w:i/>
        </w:rPr>
        <w:t>differentially</w:t>
      </w:r>
      <w:r>
        <w:t xml:space="preserve"> between samples.</w:t>
      </w:r>
    </w:p>
    <w:p w14:paraId="675A6B99" w14:textId="77777777" w:rsidR="00037981" w:rsidRPr="00BF3F7A" w:rsidRDefault="00000000">
      <w:pPr>
        <w:jc w:val="both"/>
        <w:rPr>
          <w:lang w:val="it-IT"/>
        </w:rPr>
      </w:pPr>
      <w:r w:rsidRPr="00BF3F7A">
        <w:rPr>
          <w:rFonts w:ascii="Consolas" w:hAnsi="Consolas"/>
          <w:sz w:val="18"/>
          <w:lang w:val="it-IT"/>
        </w:rPr>
        <w:t>spt_panel_v1.fasta</w:t>
      </w:r>
      <w:r w:rsidRPr="00BF3F7A">
        <w:rPr>
          <w:lang w:val="it-IT"/>
        </w:rPr>
        <w:t xml:space="preserve">, SHA256 </w:t>
      </w:r>
      <w:r w:rsidRPr="00BF3F7A">
        <w:rPr>
          <w:rFonts w:ascii="Consolas" w:hAnsi="Consolas"/>
          <w:sz w:val="18"/>
          <w:lang w:val="it-IT"/>
        </w:rPr>
        <w:t>13692ca7817830b0e2bb0bd91577656a08b6f88327a16478e201e6567196e070</w:t>
      </w:r>
      <w:r w:rsidRPr="00BF3F7A">
        <w:rPr>
          <w:lang w:val="it-IT"/>
        </w:rPr>
        <w:t>.</w:t>
      </w:r>
    </w:p>
    <w:p w14:paraId="12DEC9F1" w14:textId="77777777" w:rsidR="00037981" w:rsidRDefault="00000000">
      <w:pPr>
        <w:jc w:val="both"/>
      </w:pPr>
      <w:r>
        <w:rPr>
          <w:b/>
        </w:rPr>
        <w:lastRenderedPageBreak/>
        <w:t>Assay validation.</w:t>
      </w:r>
      <w:r>
        <w:t xml:space="preserve"> Stage 1 recruits reads sharing an exact amino-acid 8-mer with the panel across all six frames. A read reverse-translated from BT_0870 is recruited with </w:t>
      </w:r>
      <w:r>
        <w:rPr>
          <w:b/>
        </w:rPr>
        <w:t>53 seed hits</w:t>
      </w:r>
      <w:r>
        <w:t xml:space="preserve">. Random ACGT sequence of the same length passes at </w:t>
      </w:r>
      <w:r>
        <w:rPr>
          <w:b/>
        </w:rPr>
        <w:t>0.28%</w:t>
      </w:r>
      <w:r>
        <w:t>, matching the analytic prediction, so the prefilter's noise floor is characterised rather than assumed.</w:t>
      </w:r>
    </w:p>
    <w:p w14:paraId="07F5D19C" w14:textId="77777777" w:rsidR="00037981" w:rsidRDefault="00000000">
      <w:pPr>
        <w:jc w:val="both"/>
      </w:pPr>
      <w:r>
        <w:rPr>
          <w:b/>
        </w:rPr>
        <w:t>The assay produces real signal.</w:t>
      </w:r>
      <w:r>
        <w:t xml:space="preserve"> Six samples completed both stages before the run was stopped: </w:t>
      </w:r>
      <w:r>
        <w:rPr>
          <w:b/>
        </w:rPr>
        <w:t>20–123 confirmed SPT reads per sample, 27–144 hits per million</w:t>
      </w:r>
      <w:r>
        <w:t>. That is a five-fold between-sample spread on counts large enough that Poisson noise (≈10%) is well below the observed variation — i.e. the exposure would have had usable dynamic range.</w:t>
      </w:r>
    </w:p>
    <w:p w14:paraId="7C7703D7" w14:textId="77777777" w:rsidR="00037981" w:rsidRDefault="00000000">
      <w:pPr>
        <w:jc w:val="both"/>
      </w:pPr>
      <w:r>
        <w:rPr>
          <w:b/>
        </w:rPr>
        <w:t>Pre-specification (deliverable, complete).</w:t>
      </w:r>
      <w:r>
        <w:t xml:space="preserve"> </w:t>
      </w:r>
      <w:r>
        <w:rPr>
          <w:rFonts w:ascii="Consolas" w:hAnsi="Consolas"/>
          <w:sz w:val="18"/>
        </w:rPr>
        <w:t>PRESPECIFICATION_TASK1.md</w:t>
      </w:r>
      <w:r>
        <w:t xml:space="preserve"> was written and timestamped </w:t>
      </w:r>
      <w:r>
        <w:rPr>
          <w:b/>
        </w:rPr>
        <w:t>before any SPT–lipid association was computed</w:t>
      </w:r>
      <w:r>
        <w:t>, and nothing was computed afterwards. It fixes the endpoint, the five covariates, the permutation scheme, the predicted direction (positive), the three nested fits and the decision rule including the outcome where SPT loses to the genus label. It is reusable as written.</w:t>
      </w:r>
    </w:p>
    <w:p w14:paraId="7CDB5BD1" w14:textId="77777777" w:rsidR="00037981" w:rsidRDefault="00000000">
      <w:pPr>
        <w:jc w:val="both"/>
      </w:pPr>
      <w:r>
        <w:rPr>
          <w:b/>
        </w:rPr>
        <w:t>Methods 2.11 (deliverable, complete).</w:t>
      </w:r>
      <w:r>
        <w:t xml:space="preserve"> </w:t>
      </w:r>
      <w:r>
        <w:rPr>
          <w:rFonts w:ascii="Consolas" w:hAnsi="Consolas"/>
          <w:sz w:val="18"/>
        </w:rPr>
        <w:t>METHODS_2.11_FILLED.md</w:t>
      </w:r>
      <w:r>
        <w:t xml:space="preserve"> fills the </w:t>
      </w:r>
      <w:r>
        <w:rPr>
          <w:rFonts w:ascii="Consolas" w:hAnsi="Consolas"/>
          <w:sz w:val="18"/>
        </w:rPr>
        <w:t>[AUTHOR INPUT]</w:t>
      </w:r>
      <w:r>
        <w:t xml:space="preserve"> bracket with recorded parameters: blastx 2.17.0+, E ≤ 1e-5, ≥50% aa identity, ≥30 aa aligned, query genetic code 11, </w:t>
      </w:r>
      <w:r>
        <w:rPr>
          <w:rFonts w:ascii="Consolas" w:hAnsi="Consolas"/>
          <w:sz w:val="18"/>
        </w:rPr>
        <w:t>-seg yes</w:t>
      </w:r>
      <w:r>
        <w:t xml:space="preserve">, </w:t>
      </w:r>
      <w:r>
        <w:rPr>
          <w:rFonts w:ascii="Consolas" w:hAnsi="Consolas"/>
          <w:sz w:val="18"/>
        </w:rPr>
        <w:t>max_target_seqs 5</w:t>
      </w:r>
      <w:r>
        <w:t>, and an explicit multimapping rule (best-bitscore tier; SPT only if that tier is exclusively SPT; mixed tiers discarded as ambiguous). It also declares, rather than hides, the two deviations below.</w:t>
      </w:r>
    </w:p>
    <w:p w14:paraId="065E65ED" w14:textId="77777777" w:rsidR="00037981" w:rsidRDefault="00000000">
      <w:pPr>
        <w:pStyle w:val="31"/>
        <w:spacing w:before="240" w:after="120"/>
      </w:pPr>
      <w:r>
        <w:rPr>
          <w:rFonts w:ascii="Times New Roman" w:hAnsi="Times New Roman"/>
          <w:color w:val="000000"/>
        </w:rPr>
        <w:t>Why it did not finish</w:t>
      </w:r>
    </w:p>
    <w:p w14:paraId="6E78F875" w14:textId="77777777" w:rsidR="00037981" w:rsidRDefault="00000000">
      <w:pPr>
        <w:jc w:val="both"/>
      </w:pPr>
      <w:r>
        <w:t>Three independent obstacles, in order of discovery.</w:t>
      </w:r>
    </w:p>
    <w:p w14:paraId="31E085A9" w14:textId="77777777" w:rsidR="00037981" w:rsidRDefault="00000000">
      <w:pPr>
        <w:pStyle w:val="a"/>
      </w:pPr>
      <w:r>
        <w:rPr>
          <w:b/>
        </w:rPr>
        <w:t>No translated-search toolchain on this host.</w:t>
      </w:r>
      <w:r>
        <w:t xml:space="preserve"> Native Windows, no conda CLI, and bioconda publishes no win-64 builds: </w:t>
      </w:r>
      <w:r>
        <w:rPr>
          <w:rFonts w:ascii="Consolas" w:hAnsi="Consolas"/>
          <w:sz w:val="18"/>
        </w:rPr>
        <w:t>diamond</w:t>
      </w:r>
      <w:r>
        <w:t xml:space="preserve">, </w:t>
      </w:r>
      <w:r>
        <w:rPr>
          <w:rFonts w:ascii="Consolas" w:hAnsi="Consolas"/>
          <w:sz w:val="18"/>
        </w:rPr>
        <w:t>sra-tools</w:t>
      </w:r>
      <w:r>
        <w:t xml:space="preserve">, </w:t>
      </w:r>
      <w:r>
        <w:rPr>
          <w:rFonts w:ascii="Consolas" w:hAnsi="Consolas"/>
          <w:sz w:val="18"/>
        </w:rPr>
        <w:t>fastp</w:t>
      </w:r>
      <w:r>
        <w:t xml:space="preserve">, </w:t>
      </w:r>
      <w:r>
        <w:rPr>
          <w:rFonts w:ascii="Consolas" w:hAnsi="Consolas"/>
          <w:sz w:val="18"/>
        </w:rPr>
        <w:t>seqkit</w:t>
      </w:r>
      <w:r>
        <w:t xml:space="preserve"> all failed to install (the environment was created but contained none of them). No remote Linux compute was configured for the project. NCBI BLAST+ win64 was obtained from NCBI directly (md5-verified) as the only available translated search, which forced the two-stage prefilter design instead of a straightforward DIAMOND pass.</w:t>
      </w:r>
    </w:p>
    <w:p w14:paraId="0D746044" w14:textId="77777777" w:rsidR="00037981" w:rsidRDefault="00000000">
      <w:pPr>
        <w:pStyle w:val="a"/>
      </w:pPr>
      <w:r>
        <w:rPr>
          <w:b/>
        </w:rPr>
        <w:t>The egress proxy silently truncates long HTTP responses.</w:t>
      </w:r>
      <w:r>
        <w:t xml:space="preserve"> </w:t>
      </w:r>
      <w:r>
        <w:rPr>
          <w:rFonts w:ascii="Consolas" w:hAnsi="Consolas"/>
          <w:sz w:val="18"/>
        </w:rPr>
        <w:t>read()</w:t>
      </w:r>
      <w:r>
        <w:t xml:space="preserve"> returns empty well before Content-Length, with no exception. Unhandled, this capped every sample at a different shallow depth. Handled with </w:t>
      </w:r>
      <w:r>
        <w:rPr>
          <w:rFonts w:ascii="Consolas" w:hAnsi="Consolas"/>
          <w:sz w:val="18"/>
        </w:rPr>
        <w:t>Range</w:t>
      </w:r>
      <w:r>
        <w:t xml:space="preserve"> resumption — and my first version of that fix </w:t>
      </w:r>
      <w:r>
        <w:rPr>
          <w:b/>
        </w:rPr>
        <w:t>accepted HTTP 200 as well as 206</w:t>
      </w:r>
      <w:r>
        <w:t xml:space="preserve">. A 200 to a Range request means the server ignored it and restarted at byte 0; those misaligned bytes entered a live decompressor and produced multi-kilobase garbage "reads" (44 MB from 581 records). Eight of 58 samples were corrupted this way, and </w:t>
      </w:r>
      <w:r>
        <w:lastRenderedPageBreak/>
        <w:t xml:space="preserve">they were exactly the eight with anomalously low read counts — the corruption announced itself in the depth column. That garbage is also what stalled BLAST for two hours. Both faults are fixed in </w:t>
      </w:r>
      <w:r>
        <w:rPr>
          <w:rFonts w:ascii="Consolas" w:hAnsi="Consolas"/>
          <w:sz w:val="18"/>
        </w:rPr>
        <w:t>spt_pipeline.py</w:t>
      </w:r>
      <w:r>
        <w:t xml:space="preserve"> (206-only resumption, plus a &gt;1,000 nt read guard that records what it drops).</w:t>
      </w:r>
    </w:p>
    <w:p w14:paraId="449DC933" w14:textId="77777777" w:rsidR="00037981" w:rsidRDefault="00000000">
      <w:pPr>
        <w:pStyle w:val="a"/>
      </w:pPr>
      <w:r>
        <w:rPr>
          <w:b/>
        </w:rPr>
        <w:t>Throughput collapsed.</w:t>
      </w:r>
      <w:r>
        <w:t xml:space="preserve"> Sustained single-stream download fell from ~1.1 MB/s early in the session to ~0.19 MB/s and lower. The clean re-run, 12 concurrent streams on a 60 MB-per-sample budget, completed no samples in 32 minutes, against ~6 minutes for the first batch earlier the same day. Combined with blastx at ~0.15 s/read against a 35,281-sequence database, the remaining work is a multi-hour job with high variance, not a short one.</w:t>
      </w:r>
    </w:p>
    <w:p w14:paraId="743C81B7" w14:textId="77777777" w:rsidR="00037981" w:rsidRDefault="00000000">
      <w:pPr>
        <w:jc w:val="both"/>
      </w:pPr>
      <w:r>
        <w:rPr>
          <w:b/>
        </w:rPr>
        <w:t>A note on my own handling.</w:t>
      </w:r>
      <w:r>
        <w:t xml:space="preserve"> When clearing the corrupt run I called </w:t>
      </w:r>
      <w:r>
        <w:rPr>
          <w:rFonts w:ascii="Consolas" w:hAnsi="Consolas"/>
          <w:sz w:val="18"/>
        </w:rPr>
        <w:t>shutil.rmtree</w:t>
      </w:r>
      <w:r>
        <w:t xml:space="preserve"> with </w:t>
      </w:r>
      <w:r>
        <w:rPr>
          <w:rFonts w:ascii="Consolas" w:hAnsi="Consolas"/>
          <w:sz w:val="18"/>
        </w:rPr>
        <w:t>ignore_errors=True</w:t>
      </w:r>
      <w:r>
        <w:t>; the stalled BLAST process still held file handles, the delete silently failed, and the cached per-sample markers caused an apparently instant "re-run" that in fact reused the corrupt data. I caught this by checking that file sizes and read counts were byte-identical to the previous run. The subsequent forced delete also destroyed the 50 uncorrupted samples from the first pass, which in hindsight were worth keeping as an n = 50 sensitivity analysis. That was my error and it cost a rerun.</w:t>
      </w:r>
    </w:p>
    <w:p w14:paraId="504941AA" w14:textId="77777777" w:rsidR="00037981" w:rsidRDefault="00000000">
      <w:pPr>
        <w:pStyle w:val="31"/>
        <w:spacing w:before="240" w:after="120"/>
      </w:pPr>
      <w:r>
        <w:rPr>
          <w:rFonts w:ascii="Times New Roman" w:hAnsi="Times New Roman"/>
          <w:color w:val="000000"/>
        </w:rPr>
        <w:t>Declared deviations from the brief</w:t>
      </w:r>
    </w:p>
    <w:p w14:paraId="2568FE16" w14:textId="77777777" w:rsidR="00037981" w:rsidRDefault="00000000">
      <w:pPr>
        <w:pStyle w:val="a0"/>
      </w:pPr>
      <w:r>
        <w:rPr>
          <w:b/>
        </w:rPr>
        <w:t>No trimming tool and no host-read subtraction.</w:t>
      </w:r>
      <w:r>
        <w:t xml:space="preserve"> Neither could be installed. Host reads cannot score as bacterial SPT (human and mouse SPTLC1/2/3 are in the decoy set and counting requires a bacterial best hit), so the </w:t>
      </w:r>
      <w:r>
        <w:rPr>
          <w:b/>
        </w:rPr>
        <w:t>numerator</w:t>
      </w:r>
      <w:r>
        <w:t xml:space="preserve"> is safe. My earlier conclusion that this therefore "adds noise; it cannot manufacture an association" was </w:t>
      </w:r>
      <w:r>
        <w:rPr>
          <w:b/>
        </w:rPr>
        <w:t>wrong</w:t>
      </w:r>
      <w:r>
        <w:t xml:space="preserve"> and is corrected in Methods 2.11.2: the host fraction sits in the </w:t>
      </w:r>
      <w:r>
        <w:rPr>
          <w:i/>
        </w:rPr>
        <w:t>denominator</w:t>
      </w:r>
      <w:r>
        <w:t xml:space="preserve"> of </w:t>
      </w:r>
      <w:r>
        <w:rPr>
          <w:rFonts w:ascii="Consolas" w:hAnsi="Consolas"/>
          <w:sz w:val="18"/>
        </w:rPr>
        <w:t>spt_hpm</w:t>
      </w:r>
      <w:r>
        <w:t>, so if it covaries with the plasma endpoint it distorts or creates a between-sample association rather than diluting one. The per-sample host fraction must be estimated and the association reported with and without adjustment for it before the exposure is interpreted. Estimating the fraction does not require the aligner that was unavailable.</w:t>
      </w:r>
    </w:p>
    <w:p w14:paraId="47E857FA" w14:textId="77777777" w:rsidR="00037981" w:rsidRDefault="00000000">
      <w:pPr>
        <w:pStyle w:val="a0"/>
      </w:pPr>
      <w:r>
        <w:rPr>
          <w:b/>
        </w:rPr>
        <w:t>Per-genome normalisation is taxonomy-based, not marker-gene based.</w:t>
      </w:r>
      <w:r>
        <w:t xml:space="preserve"> Marker-gene recruitment by the same prefilter would need a catalogue spanning all gut bacteria rather than one clade, biasing the denominator unauditably; assembly was out of reach. </w:t>
      </w:r>
      <w:r>
        <w:rPr>
          <w:rFonts w:ascii="Consolas" w:hAnsi="Consolas"/>
          <w:sz w:val="18"/>
        </w:rPr>
        <w:t>run_stats.py</w:t>
      </w:r>
      <w:r>
        <w:t xml:space="preserve"> therefore implements </w:t>
      </w:r>
      <w:r>
        <w:rPr>
          <w:rFonts w:ascii="Consolas" w:hAnsi="Consolas"/>
          <w:sz w:val="18"/>
        </w:rPr>
        <w:t>spt_hpm</w:t>
      </w:r>
      <w:r>
        <w:t xml:space="preserve"> divided by summed Bacteroidetes relative abundance and by summed </w:t>
      </w:r>
      <w:r>
        <w:rPr>
          <w:rFonts w:ascii="Consolas" w:hAnsi="Consolas"/>
          <w:sz w:val="18"/>
        </w:rPr>
        <w:t>bacteroides*</w:t>
      </w:r>
      <w:r>
        <w:t xml:space="preserve"> relative abundance — the same normalisation that extinguished the mouse signal (P = 0.23). This is a real substitution, not an equivalent, and it is flagged wherever it appears.</w:t>
      </w:r>
    </w:p>
    <w:p w14:paraId="3783DE53" w14:textId="77777777" w:rsidR="00037981" w:rsidRDefault="00000000">
      <w:pPr>
        <w:pStyle w:val="a0"/>
      </w:pPr>
      <w:r>
        <w:rPr>
          <w:b/>
        </w:rPr>
        <w:lastRenderedPageBreak/>
        <w:t>R1 only</w:t>
      </w:r>
      <w:r>
        <w:t>, to avoid counting a fragment twice; equal 60 MB compressed budget per sample, with reads actually parsed recorded per sample as the rate denominator.</w:t>
      </w:r>
    </w:p>
    <w:p w14:paraId="58F4DB16" w14:textId="77777777" w:rsidR="00037981" w:rsidRDefault="00000000">
      <w:pPr>
        <w:pStyle w:val="31"/>
        <w:spacing w:before="240" w:after="120"/>
      </w:pPr>
      <w:r>
        <w:rPr>
          <w:rFonts w:ascii="Times New Roman" w:hAnsi="Times New Roman"/>
          <w:color w:val="000000"/>
        </w:rPr>
        <w:t>How the first three blockers were cleared</w:t>
      </w:r>
    </w:p>
    <w:p w14:paraId="4485B907" w14:textId="77777777" w:rsidR="00037981" w:rsidRDefault="00000000">
      <w:pPr>
        <w:pStyle w:val="a0"/>
      </w:pPr>
      <w:r>
        <w:rPr>
          <w:b/>
        </w:rPr>
        <w:t>Truncation and corruption (fixed and verified).</w:t>
      </w:r>
      <w:r>
        <w:t xml:space="preserve"> 206-only Range resumption plus an over-long-read guard. Proof it worked: the eight samples the fault had silently shortened now reach full depth — 7IRW2KB 223,929 → 783,988 reads, 7910XXV 175,169 → 855,651, CFY1H9I 167,223 → 785,767, P6ZRYTF 403,132 → 739,074 — and across all 58 samples zero over-long reads were rejected, with the largest recruited file 0.41 MB against 44 MB before. Depth spread fell from 5.6× to 1.35×.</w:t>
      </w:r>
    </w:p>
    <w:p w14:paraId="591819CF" w14:textId="77777777" w:rsidR="00037981" w:rsidRDefault="00000000">
      <w:pPr>
        <w:pStyle w:val="a0"/>
      </w:pPr>
      <w:r>
        <w:rPr>
          <w:b/>
        </w:rPr>
        <w:t>BLAST database blow-up (fixed by tiering, no approximation).</w:t>
      </w:r>
      <w:r>
        <w:t xml:space="preserve"> Searching every read against the 35,281-sequence panel costs ~0.15 s/read at best and would have been a ~17 h job. Tier 1 screens all reads against the 1,990-sequence SPT panel alone, which is </w:t>
      </w:r>
      <w:r>
        <w:rPr>
          <w:b/>
        </w:rPr>
        <w:t>exactly equivalent as a screen</w:t>
      </w:r>
      <w:r>
        <w:t>: a read whose best full-panel hit is an SPT member must necessarily have an SPT hit passing the same thresholds, so reads with no SPT hit can never count as SPT and need no decoy comparison. That cut the query set from 120,818 to 13,253 reads (10.97%) in 64.6 min.</w:t>
      </w:r>
    </w:p>
    <w:p w14:paraId="0CA2F2FE" w14:textId="77777777" w:rsidR="00037981" w:rsidRDefault="00000000">
      <w:pPr>
        <w:pStyle w:val="a0"/>
      </w:pPr>
      <w:r>
        <w:rPr>
          <w:b/>
        </w:rPr>
        <w:t>What did not work, and why it is recorded here.</w:t>
      </w:r>
      <w:r>
        <w:t xml:space="preserve"> An attempt to shrink the tier-2 database to a "competitive decoy envelope" (rank decoys by blastp similarity to the SPT panel, keep the closest 500 per family) was written and abandoned before use — </w:t>
      </w:r>
      <w:r>
        <w:rPr>
          <w:rFonts w:ascii="Consolas" w:hAnsi="Consolas"/>
          <w:sz w:val="18"/>
        </w:rPr>
        <w:t>build_competitive_decoys.py</w:t>
      </w:r>
      <w:r>
        <w:t xml:space="preserve"> is kept for reference only. It is an approximation, and it is unnecessary. I previously wrote that </w:t>
      </w:r>
      <w:r>
        <w:rPr>
          <w:b/>
        </w:rPr>
        <w:t>chunking the decoy search is exact</w:t>
      </w:r>
      <w:r>
        <w:t xml:space="preserve">. That claim is </w:t>
      </w:r>
      <w:r>
        <w:rPr>
          <w:b/>
        </w:rPr>
        <w:t>retracted as stated</w:t>
      </w:r>
      <w:r>
        <w:t xml:space="preserve"> (external review, 26 September 2026). The raw-bitscore identity it rests on is true — the maximum over a union equals the maximum over chunks — but it does not make BLAST </w:t>
      </w:r>
      <w:r>
        <w:rPr>
          <w:i/>
        </w:rPr>
        <w:t>output</w:t>
      </w:r>
      <w:r>
        <w:t xml:space="preserve"> identical, because which alignments get reported depends on the E-value, and the E-value scales with database size: each chunk is smaller than the union, so a chunk reports hits the union would filter out, and the per-chunk target cap can truncate differently. Chunking is only exact if each chunk is run with the union's effective search space fixed (</w:t>
      </w:r>
      <w:r>
        <w:rPr>
          <w:rFonts w:ascii="Consolas" w:hAnsi="Consolas"/>
          <w:sz w:val="18"/>
        </w:rPr>
        <w:t>-dbsize</w:t>
      </w:r>
      <w:r>
        <w:t>) and with target reporting uncapped, and even then it should be validated against a monolithic search on near-threshold alignments before being called exact.</w:t>
      </w:r>
    </w:p>
    <w:p w14:paraId="6250B71D" w14:textId="77777777" w:rsidR="00037981" w:rsidRDefault="00000000">
      <w:pPr>
        <w:pStyle w:val="31"/>
        <w:spacing w:before="240" w:after="120"/>
      </w:pPr>
      <w:r>
        <w:rPr>
          <w:rFonts w:ascii="Times New Roman" w:hAnsi="Times New Roman"/>
          <w:color w:val="000000"/>
        </w:rPr>
        <w:t>External code review (Codex, 26 September 2026) — findings and disposition</w:t>
      </w:r>
    </w:p>
    <w:p w14:paraId="4D8DC041" w14:textId="77777777" w:rsidR="00037981" w:rsidRDefault="00000000">
      <w:pPr>
        <w:jc w:val="both"/>
      </w:pPr>
      <w:r>
        <w:t>Every checkable finding was verified against the real pipeline files before being accepted. All were real; one was materially worse than the review could establish from the files it had.</w:t>
      </w:r>
    </w:p>
    <w:tbl>
      <w:tblPr>
        <w:tblStyle w:val="af9"/>
        <w:tblW w:w="0" w:type="auto"/>
        <w:jc w:val="center"/>
        <w:tblLook w:val="04A0" w:firstRow="1" w:lastRow="0" w:firstColumn="1" w:lastColumn="0" w:noHBand="0" w:noVBand="1"/>
      </w:tblPr>
      <w:tblGrid>
        <w:gridCol w:w="2880"/>
        <w:gridCol w:w="2880"/>
        <w:gridCol w:w="2880"/>
      </w:tblGrid>
      <w:tr w:rsidR="00037981" w14:paraId="54147B0F" w14:textId="77777777">
        <w:trPr>
          <w:jc w:val="center"/>
        </w:trPr>
        <w:tc>
          <w:tcPr>
            <w:tcW w:w="2880" w:type="dxa"/>
          </w:tcPr>
          <w:p w14:paraId="52156CF5" w14:textId="77777777" w:rsidR="00037981" w:rsidRDefault="00000000">
            <w:pPr>
              <w:spacing w:after="40" w:line="240" w:lineRule="auto"/>
            </w:pPr>
            <w:r>
              <w:rPr>
                <w:b/>
                <w:sz w:val="18"/>
              </w:rPr>
              <w:lastRenderedPageBreak/>
              <w:t>Finding</w:t>
            </w:r>
          </w:p>
        </w:tc>
        <w:tc>
          <w:tcPr>
            <w:tcW w:w="2880" w:type="dxa"/>
          </w:tcPr>
          <w:p w14:paraId="1B01C9B3" w14:textId="77777777" w:rsidR="00037981" w:rsidRDefault="00000000">
            <w:pPr>
              <w:spacing w:after="40" w:line="240" w:lineRule="auto"/>
            </w:pPr>
            <w:r>
              <w:rPr>
                <w:b/>
                <w:sz w:val="18"/>
              </w:rPr>
              <w:t>Verified</w:t>
            </w:r>
          </w:p>
        </w:tc>
        <w:tc>
          <w:tcPr>
            <w:tcW w:w="2880" w:type="dxa"/>
          </w:tcPr>
          <w:p w14:paraId="2EA39193" w14:textId="77777777" w:rsidR="00037981" w:rsidRDefault="00000000">
            <w:pPr>
              <w:spacing w:after="40" w:line="240" w:lineRule="auto"/>
            </w:pPr>
            <w:r>
              <w:rPr>
                <w:b/>
                <w:sz w:val="18"/>
              </w:rPr>
              <w:t>Disposition</w:t>
            </w:r>
          </w:p>
        </w:tc>
      </w:tr>
      <w:tr w:rsidR="00037981" w14:paraId="204002DB" w14:textId="77777777">
        <w:trPr>
          <w:jc w:val="center"/>
        </w:trPr>
        <w:tc>
          <w:tcPr>
            <w:tcW w:w="2880" w:type="dxa"/>
          </w:tcPr>
          <w:p w14:paraId="30C1D34E" w14:textId="77777777" w:rsidR="00037981" w:rsidRDefault="00000000">
            <w:pPr>
              <w:spacing w:after="40" w:line="240" w:lineRule="auto"/>
            </w:pPr>
            <w:r>
              <w:rPr>
                <w:rFonts w:ascii="Consolas" w:hAnsi="Consolas"/>
                <w:sz w:val="18"/>
              </w:rPr>
              <w:t>max_target_seqs=5</w:t>
            </w:r>
            <w:r>
              <w:rPr>
                <w:sz w:val="18"/>
              </w:rPr>
              <w:t xml:space="preserve"> can truncate a mixed best-score tie</w:t>
            </w:r>
          </w:p>
        </w:tc>
        <w:tc>
          <w:tcPr>
            <w:tcW w:w="2880" w:type="dxa"/>
          </w:tcPr>
          <w:p w14:paraId="16D41D8C" w14:textId="77777777" w:rsidR="00037981" w:rsidRDefault="00000000">
            <w:pPr>
              <w:spacing w:after="40" w:line="240" w:lineRule="auto"/>
            </w:pPr>
            <w:r>
              <w:rPr>
                <w:b/>
                <w:sz w:val="18"/>
              </w:rPr>
              <w:t>Yes — worse than reported.</w:t>
            </w:r>
            <w:r>
              <w:rPr>
                <w:sz w:val="18"/>
              </w:rPr>
              <w:t xml:space="preserve"> 1,846 of 8,274 classified reads (22%) returned five targets </w:t>
            </w:r>
            <w:r>
              <w:rPr>
                <w:i/>
                <w:sz w:val="18"/>
              </w:rPr>
              <w:t>all tied at the best bitscore</w:t>
            </w:r>
            <w:r>
              <w:rPr>
                <w:sz w:val="18"/>
              </w:rPr>
              <w:t>, so the tier was truncated and a tied decoy could not be seen</w:t>
            </w:r>
          </w:p>
        </w:tc>
        <w:tc>
          <w:tcPr>
            <w:tcW w:w="2880" w:type="dxa"/>
          </w:tcPr>
          <w:p w14:paraId="627E3EE7" w14:textId="77777777" w:rsidR="00037981" w:rsidRDefault="00000000">
            <w:pPr>
              <w:spacing w:after="40" w:line="240" w:lineRule="auto"/>
            </w:pPr>
            <w:r>
              <w:rPr>
                <w:sz w:val="18"/>
              </w:rPr>
              <w:t xml:space="preserve">Cap raised to 5,000; pipeline now asserts no query returns cap-many targets all tied. The 8,274 cap-5 rows are </w:t>
            </w:r>
            <w:r>
              <w:rPr>
                <w:b/>
                <w:sz w:val="18"/>
              </w:rPr>
              <w:t>discarded</w:t>
            </w:r>
            <w:r>
              <w:rPr>
                <w:sz w:val="18"/>
              </w:rPr>
              <w:t>, not reused</w:t>
            </w:r>
          </w:p>
        </w:tc>
      </w:tr>
      <w:tr w:rsidR="00037981" w14:paraId="3FA4BD2C" w14:textId="77777777">
        <w:trPr>
          <w:jc w:val="center"/>
        </w:trPr>
        <w:tc>
          <w:tcPr>
            <w:tcW w:w="2880" w:type="dxa"/>
          </w:tcPr>
          <w:p w14:paraId="52BA445A" w14:textId="77777777" w:rsidR="00037981" w:rsidRDefault="00000000">
            <w:pPr>
              <w:spacing w:after="40" w:line="240" w:lineRule="auto"/>
            </w:pPr>
            <w:r>
              <w:rPr>
                <w:sz w:val="18"/>
              </w:rPr>
              <w:t>A partial tier-2 file is accepted as complete</w:t>
            </w:r>
          </w:p>
        </w:tc>
        <w:tc>
          <w:tcPr>
            <w:tcW w:w="2880" w:type="dxa"/>
          </w:tcPr>
          <w:p w14:paraId="4EDD24C2" w14:textId="77777777" w:rsidR="00037981" w:rsidRDefault="00000000">
            <w:pPr>
              <w:spacing w:after="40" w:line="240" w:lineRule="auto"/>
            </w:pPr>
            <w:r>
              <w:rPr>
                <w:b/>
                <w:sz w:val="18"/>
              </w:rPr>
              <w:t>Yes, and it was live on disk.</w:t>
            </w:r>
            <w:r>
              <w:rPr>
                <w:sz w:val="18"/>
              </w:rPr>
              <w:t xml:space="preserve"> </w:t>
            </w:r>
            <w:r>
              <w:rPr>
                <w:rFonts w:ascii="Consolas" w:hAnsi="Consolas"/>
                <w:sz w:val="18"/>
              </w:rPr>
              <w:t>if os.path.exists(out): return out</w:t>
            </w:r>
            <w:r>
              <w:rPr>
                <w:sz w:val="18"/>
              </w:rPr>
              <w:t xml:space="preserve"> plus </w:t>
            </w:r>
            <w:r>
              <w:rPr>
                <w:rFonts w:ascii="Consolas" w:hAnsi="Consolas"/>
                <w:sz w:val="18"/>
              </w:rPr>
              <w:t>fillna(0)</w:t>
            </w:r>
            <w:r>
              <w:rPr>
                <w:sz w:val="18"/>
              </w:rPr>
              <w:t xml:space="preserve"> would have silently undercounted every category</w:t>
            </w:r>
          </w:p>
        </w:tc>
        <w:tc>
          <w:tcPr>
            <w:tcW w:w="2880" w:type="dxa"/>
          </w:tcPr>
          <w:p w14:paraId="14D80E2E" w14:textId="77777777" w:rsidR="00037981" w:rsidRDefault="00000000">
            <w:pPr>
              <w:spacing w:after="40" w:line="240" w:lineRule="auto"/>
            </w:pPr>
            <w:r>
              <w:rPr>
                <w:sz w:val="18"/>
              </w:rPr>
              <w:t>Output now written atomically to a temp path and promoted only on clean exit, with a completion manifest recording query count and search parameters</w:t>
            </w:r>
          </w:p>
        </w:tc>
      </w:tr>
      <w:tr w:rsidR="00037981" w14:paraId="638415AF" w14:textId="77777777">
        <w:trPr>
          <w:jc w:val="center"/>
        </w:trPr>
        <w:tc>
          <w:tcPr>
            <w:tcW w:w="2880" w:type="dxa"/>
          </w:tcPr>
          <w:p w14:paraId="2DFA1F3F" w14:textId="77777777" w:rsidR="00037981" w:rsidRDefault="00000000">
            <w:pPr>
              <w:spacing w:after="40" w:line="240" w:lineRule="auto"/>
            </w:pPr>
            <w:r>
              <w:rPr>
                <w:sz w:val="18"/>
              </w:rPr>
              <w:t>Completeness assertion confuses "no hit" with "not searched"</w:t>
            </w:r>
          </w:p>
        </w:tc>
        <w:tc>
          <w:tcPr>
            <w:tcW w:w="2880" w:type="dxa"/>
          </w:tcPr>
          <w:p w14:paraId="6F8D7AB1" w14:textId="77777777" w:rsidR="00037981" w:rsidRDefault="00000000">
            <w:pPr>
              <w:spacing w:after="40" w:line="240" w:lineRule="auto"/>
            </w:pPr>
            <w:r>
              <w:rPr>
                <w:b/>
                <w:sz w:val="18"/>
              </w:rPr>
              <w:t>Yes.</w:t>
            </w:r>
            <w:r>
              <w:rPr>
                <w:sz w:val="18"/>
              </w:rPr>
              <w:t xml:space="preserve"> The full panel holds 15,179,012 residues against 791,053, so the same alignment's E-value inflates ~19.2×; 23 of 13,253 candidates (0.2%) legitimately produce no tier-2 row. The review's named example checks out exactly: </w:t>
            </w:r>
            <w:r>
              <w:rPr>
                <w:rFonts w:ascii="Consolas" w:hAnsi="Consolas"/>
                <w:sz w:val="18"/>
              </w:rPr>
              <w:t>9THH6MQ_1_1541</w:t>
            </w:r>
            <w:r>
              <w:rPr>
                <w:sz w:val="18"/>
              </w:rPr>
              <w:t>, tier-1 E = 2.51e-6 → ~4.8e-5</w:t>
            </w:r>
          </w:p>
        </w:tc>
        <w:tc>
          <w:tcPr>
            <w:tcW w:w="2880" w:type="dxa"/>
          </w:tcPr>
          <w:p w14:paraId="21A8CB18" w14:textId="77777777" w:rsidR="00037981" w:rsidRDefault="00000000">
            <w:pPr>
              <w:spacing w:after="40" w:line="240" w:lineRule="auto"/>
            </w:pPr>
            <w:r>
              <w:rPr>
                <w:sz w:val="18"/>
              </w:rPr>
              <w:t>Completeness now tracked by query submission plus clean exit; searched-no-hit recorded as a defined zero</w:t>
            </w:r>
          </w:p>
        </w:tc>
      </w:tr>
      <w:tr w:rsidR="00037981" w14:paraId="4ED8582D" w14:textId="77777777">
        <w:trPr>
          <w:jc w:val="center"/>
        </w:trPr>
        <w:tc>
          <w:tcPr>
            <w:tcW w:w="2880" w:type="dxa"/>
          </w:tcPr>
          <w:p w14:paraId="5D40BCBB" w14:textId="77777777" w:rsidR="00037981" w:rsidRDefault="00000000">
            <w:pPr>
              <w:spacing w:after="40" w:line="240" w:lineRule="auto"/>
            </w:pPr>
            <w:r>
              <w:rPr>
                <w:sz w:val="18"/>
              </w:rPr>
              <w:t xml:space="preserve">No host subtraction can shift the exposure through the </w:t>
            </w:r>
            <w:r>
              <w:rPr>
                <w:b/>
                <w:sz w:val="18"/>
              </w:rPr>
              <w:t>denominator</w:t>
            </w:r>
          </w:p>
        </w:tc>
        <w:tc>
          <w:tcPr>
            <w:tcW w:w="2880" w:type="dxa"/>
          </w:tcPr>
          <w:p w14:paraId="179529D4" w14:textId="77777777" w:rsidR="00037981" w:rsidRDefault="00000000">
            <w:pPr>
              <w:spacing w:after="40" w:line="240" w:lineRule="auto"/>
            </w:pPr>
            <w:r>
              <w:rPr>
                <w:b/>
                <w:sz w:val="18"/>
              </w:rPr>
              <w:t>Yes — my reasoning was wrong</w:t>
            </w:r>
          </w:p>
        </w:tc>
        <w:tc>
          <w:tcPr>
            <w:tcW w:w="2880" w:type="dxa"/>
          </w:tcPr>
          <w:p w14:paraId="50725FF7" w14:textId="77777777" w:rsidR="00037981" w:rsidRDefault="00000000">
            <w:pPr>
              <w:spacing w:after="40" w:line="240" w:lineRule="auto"/>
            </w:pPr>
            <w:r>
              <w:rPr>
                <w:sz w:val="18"/>
              </w:rPr>
              <w:t>Methods 2.11.2 corrected; per-sample host fraction now required, with adjusted and unadjusted association both reported</w:t>
            </w:r>
          </w:p>
        </w:tc>
      </w:tr>
      <w:tr w:rsidR="00037981" w14:paraId="32B7AA91" w14:textId="77777777">
        <w:trPr>
          <w:jc w:val="center"/>
        </w:trPr>
        <w:tc>
          <w:tcPr>
            <w:tcW w:w="2880" w:type="dxa"/>
          </w:tcPr>
          <w:p w14:paraId="5CBBA132" w14:textId="77777777" w:rsidR="00037981" w:rsidRDefault="00000000">
            <w:pPr>
              <w:spacing w:after="40" w:line="240" w:lineRule="auto"/>
            </w:pPr>
            <w:r>
              <w:rPr>
                <w:sz w:val="18"/>
              </w:rPr>
              <w:t>Exact decoy chunking not established</w:t>
            </w:r>
          </w:p>
        </w:tc>
        <w:tc>
          <w:tcPr>
            <w:tcW w:w="2880" w:type="dxa"/>
          </w:tcPr>
          <w:p w14:paraId="2523D5C1" w14:textId="77777777" w:rsidR="00037981" w:rsidRDefault="00000000">
            <w:pPr>
              <w:spacing w:after="40" w:line="240" w:lineRule="auto"/>
            </w:pPr>
            <w:r>
              <w:rPr>
                <w:b/>
                <w:sz w:val="18"/>
              </w:rPr>
              <w:t>Yes</w:t>
            </w:r>
          </w:p>
        </w:tc>
        <w:tc>
          <w:tcPr>
            <w:tcW w:w="2880" w:type="dxa"/>
          </w:tcPr>
          <w:p w14:paraId="6ACC17BD" w14:textId="77777777" w:rsidR="00037981" w:rsidRDefault="00000000">
            <w:pPr>
              <w:spacing w:after="40" w:line="240" w:lineRule="auto"/>
            </w:pPr>
            <w:r>
              <w:rPr>
                <w:sz w:val="18"/>
              </w:rPr>
              <w:t>Claim retracted as stated; conditions for exactness documented</w:t>
            </w:r>
          </w:p>
        </w:tc>
      </w:tr>
      <w:tr w:rsidR="00037981" w14:paraId="31047717" w14:textId="77777777">
        <w:trPr>
          <w:jc w:val="center"/>
        </w:trPr>
        <w:tc>
          <w:tcPr>
            <w:tcW w:w="2880" w:type="dxa"/>
          </w:tcPr>
          <w:p w14:paraId="4B174EB9" w14:textId="77777777" w:rsidR="00037981" w:rsidRDefault="00000000">
            <w:pPr>
              <w:spacing w:after="40" w:line="240" w:lineRule="auto"/>
            </w:pPr>
            <w:r>
              <w:rPr>
                <w:sz w:val="18"/>
              </w:rPr>
              <w:t>WGA bias can vary with composition</w:t>
            </w:r>
          </w:p>
        </w:tc>
        <w:tc>
          <w:tcPr>
            <w:tcW w:w="2880" w:type="dxa"/>
          </w:tcPr>
          <w:p w14:paraId="5833E513" w14:textId="77777777" w:rsidR="00037981" w:rsidRDefault="00000000">
            <w:pPr>
              <w:spacing w:after="40" w:line="240" w:lineRule="auto"/>
            </w:pPr>
            <w:r>
              <w:rPr>
                <w:b/>
                <w:sz w:val="18"/>
              </w:rPr>
              <w:t>Yes</w:t>
            </w:r>
          </w:p>
        </w:tc>
        <w:tc>
          <w:tcPr>
            <w:tcW w:w="2880" w:type="dxa"/>
          </w:tcPr>
          <w:p w14:paraId="59E7E9E2" w14:textId="77777777" w:rsidR="00037981" w:rsidRDefault="00000000">
            <w:pPr>
              <w:spacing w:after="40" w:line="240" w:lineRule="auto"/>
            </w:pPr>
            <w:r>
              <w:rPr>
                <w:sz w:val="18"/>
              </w:rPr>
              <w:t>Upgraded to a load-bearing limitation with citation</w:t>
            </w:r>
          </w:p>
        </w:tc>
      </w:tr>
      <w:tr w:rsidR="00037981" w14:paraId="1E2EC24F" w14:textId="77777777">
        <w:trPr>
          <w:jc w:val="center"/>
        </w:trPr>
        <w:tc>
          <w:tcPr>
            <w:tcW w:w="2880" w:type="dxa"/>
          </w:tcPr>
          <w:p w14:paraId="13598E17" w14:textId="77777777" w:rsidR="00037981" w:rsidRDefault="00000000">
            <w:pPr>
              <w:spacing w:after="40" w:line="240" w:lineRule="auto"/>
            </w:pPr>
            <w:r>
              <w:rPr>
                <w:sz w:val="18"/>
              </w:rPr>
              <w:t>Stage-1 read median misreported</w:t>
            </w:r>
          </w:p>
        </w:tc>
        <w:tc>
          <w:tcPr>
            <w:tcW w:w="2880" w:type="dxa"/>
          </w:tcPr>
          <w:p w14:paraId="6DACCEEF" w14:textId="77777777" w:rsidR="00037981" w:rsidRDefault="00000000">
            <w:pPr>
              <w:spacing w:after="40" w:line="240" w:lineRule="auto"/>
            </w:pPr>
            <w:r>
              <w:rPr>
                <w:b/>
                <w:sz w:val="18"/>
              </w:rPr>
              <w:t>Yes.</w:t>
            </w:r>
            <w:r>
              <w:rPr>
                <w:sz w:val="18"/>
              </w:rPr>
              <w:t xml:space="preserve"> 783,755 is one sample's count (EITT60Q_1); the true median is 775,893. My stdlib checkpoint used </w:t>
            </w:r>
            <w:r>
              <w:rPr>
                <w:rFonts w:ascii="Consolas" w:hAnsi="Consolas"/>
                <w:sz w:val="18"/>
              </w:rPr>
              <w:t>reads[n//2]</w:t>
            </w:r>
            <w:r>
              <w:rPr>
                <w:sz w:val="18"/>
              </w:rPr>
              <w:t>, which for even n returns the upper middle rather than the mean of the two middle values</w:t>
            </w:r>
          </w:p>
        </w:tc>
        <w:tc>
          <w:tcPr>
            <w:tcW w:w="2880" w:type="dxa"/>
          </w:tcPr>
          <w:p w14:paraId="198BAB13" w14:textId="77777777" w:rsidR="00037981" w:rsidRDefault="00000000">
            <w:pPr>
              <w:spacing w:after="40" w:line="240" w:lineRule="auto"/>
            </w:pPr>
            <w:r>
              <w:rPr>
                <w:sz w:val="18"/>
              </w:rPr>
              <w:t xml:space="preserve">Corrected here and in </w:t>
            </w:r>
            <w:r>
              <w:rPr>
                <w:rFonts w:ascii="Consolas" w:hAnsi="Consolas"/>
                <w:sz w:val="18"/>
              </w:rPr>
              <w:t>PIPELINE_STATE.json</w:t>
            </w:r>
          </w:p>
        </w:tc>
      </w:tr>
      <w:tr w:rsidR="00037981" w14:paraId="2C43C5CE" w14:textId="77777777">
        <w:trPr>
          <w:jc w:val="center"/>
        </w:trPr>
        <w:tc>
          <w:tcPr>
            <w:tcW w:w="2880" w:type="dxa"/>
          </w:tcPr>
          <w:p w14:paraId="02E11257" w14:textId="77777777" w:rsidR="00037981" w:rsidRDefault="00000000">
            <w:pPr>
              <w:spacing w:after="40" w:line="240" w:lineRule="auto"/>
            </w:pPr>
            <w:r>
              <w:rPr>
                <w:sz w:val="18"/>
              </w:rPr>
              <w:t>Raw-outcome permutation is not exchangeable in a covariate-adjusted model</w:t>
            </w:r>
          </w:p>
        </w:tc>
        <w:tc>
          <w:tcPr>
            <w:tcW w:w="2880" w:type="dxa"/>
          </w:tcPr>
          <w:p w14:paraId="0F894B95" w14:textId="77777777" w:rsidR="00037981" w:rsidRDefault="00000000">
            <w:pPr>
              <w:spacing w:after="40" w:line="240" w:lineRule="auto"/>
            </w:pPr>
            <w:r>
              <w:rPr>
                <w:b/>
                <w:sz w:val="18"/>
              </w:rPr>
              <w:t>Accepted</w:t>
            </w:r>
          </w:p>
        </w:tc>
        <w:tc>
          <w:tcPr>
            <w:tcW w:w="2880" w:type="dxa"/>
          </w:tcPr>
          <w:p w14:paraId="21253A8C" w14:textId="77777777" w:rsidR="00037981" w:rsidRDefault="00000000">
            <w:pPr>
              <w:spacing w:after="40" w:line="240" w:lineRule="auto"/>
            </w:pPr>
            <w:r>
              <w:rPr>
                <w:rFonts w:ascii="Consolas" w:hAnsi="Consolas"/>
                <w:sz w:val="18"/>
              </w:rPr>
              <w:t>run_stats.py</w:t>
            </w:r>
            <w:r>
              <w:rPr>
                <w:sz w:val="18"/>
              </w:rPr>
              <w:t xml:space="preserve"> now uses Freedman–Lane (permute reduced-model residuals) as primary, reporting the naive scheme alongside. Legitimate to change now because </w:t>
            </w:r>
            <w:r>
              <w:rPr>
                <w:b/>
                <w:sz w:val="18"/>
              </w:rPr>
              <w:t>no SPT association has ever been computed</w:t>
            </w:r>
            <w:r>
              <w:rPr>
                <w:sz w:val="18"/>
              </w:rPr>
              <w:t xml:space="preserve"> — this amends the pre-specification before any result exists, not after seeing one</w:t>
            </w:r>
          </w:p>
        </w:tc>
      </w:tr>
    </w:tbl>
    <w:p w14:paraId="3F084B79" w14:textId="77777777" w:rsidR="00037981" w:rsidRDefault="00037981"/>
    <w:p w14:paraId="3C44406B" w14:textId="77777777" w:rsidR="00037981" w:rsidRDefault="00000000">
      <w:pPr>
        <w:jc w:val="both"/>
      </w:pPr>
      <w:r>
        <w:t xml:space="preserve">Two limits on the review itself, worth recording: it was read-only and ran no code, and six of the files I asked it to examine — </w:t>
      </w:r>
      <w:r>
        <w:rPr>
          <w:rFonts w:ascii="Consolas" w:hAnsi="Consolas"/>
          <w:sz w:val="18"/>
        </w:rPr>
        <w:t>spt_pipeline.py</w:t>
      </w:r>
      <w:r>
        <w:t xml:space="preserve">, </w:t>
      </w:r>
      <w:r>
        <w:rPr>
          <w:rFonts w:ascii="Consolas" w:hAnsi="Consolas"/>
          <w:sz w:val="18"/>
        </w:rPr>
        <w:t>run_stage1.py</w:t>
      </w:r>
      <w:r>
        <w:t xml:space="preserve">, </w:t>
      </w:r>
      <w:r>
        <w:rPr>
          <w:rFonts w:ascii="Consolas" w:hAnsi="Consolas"/>
          <w:sz w:val="18"/>
        </w:rPr>
        <w:t>run_stats.py</w:t>
      </w:r>
      <w:r>
        <w:t xml:space="preserve">, </w:t>
      </w:r>
      <w:r>
        <w:rPr>
          <w:rFonts w:ascii="Consolas" w:hAnsi="Consolas"/>
          <w:sz w:val="18"/>
        </w:rPr>
        <w:t>METHODS_2.11_FILLED.md</w:t>
      </w:r>
      <w:r>
        <w:t xml:space="preserve">, </w:t>
      </w:r>
      <w:r>
        <w:rPr>
          <w:rFonts w:ascii="Consolas" w:hAnsi="Consolas"/>
          <w:sz w:val="18"/>
        </w:rPr>
        <w:t>PRESPECIFICATION_TASK1.md</w:t>
      </w:r>
      <w:r>
        <w:t xml:space="preserve"> and the data dictionary — were not supplied to it. So the highest-risk areas I most wanted checked are </w:t>
      </w:r>
      <w:r>
        <w:rPr>
          <w:b/>
        </w:rPr>
        <w:t>still unreviewed</w:t>
      </w:r>
      <w:r>
        <w:t xml:space="preserve">: the reverse-strand seed-to-read index arithmetic, base-25 8-mer collisions, FASTQ parser synchronisation, the compressed-byte budget under </w:t>
      </w:r>
      <w:r>
        <w:rPr>
          <w:rFonts w:ascii="Consolas" w:hAnsi="Consolas"/>
          <w:sz w:val="18"/>
        </w:rPr>
        <w:t>BufferedReader</w:t>
      </w:r>
      <w:r>
        <w:t xml:space="preserve"> read-ahead, and the statistical models. The </w:t>
      </w:r>
      <w:r>
        <w:lastRenderedPageBreak/>
        <w:t xml:space="preserve">positional column slices are now asserted in </w:t>
      </w:r>
      <w:r>
        <w:rPr>
          <w:rFonts w:ascii="Consolas" w:hAnsi="Consolas"/>
          <w:sz w:val="18"/>
        </w:rPr>
        <w:t>run_stats.py</w:t>
      </w:r>
      <w:r>
        <w:t xml:space="preserve"> (221 species, 36 sphingolipids, both endpoint components present, no slice overlap), which closes that one item locally.</w:t>
      </w:r>
    </w:p>
    <w:p w14:paraId="21680C15" w14:textId="77777777" w:rsidR="00037981" w:rsidRDefault="00000000">
      <w:pPr>
        <w:pStyle w:val="31"/>
        <w:spacing w:before="240" w:after="120"/>
      </w:pPr>
      <w:r>
        <w:rPr>
          <w:rFonts w:ascii="Times New Roman" w:hAnsi="Times New Roman"/>
          <w:color w:val="000000"/>
        </w:rPr>
        <w:t>What remains, and what it costs</w:t>
      </w:r>
    </w:p>
    <w:p w14:paraId="2FA458D9" w14:textId="77777777" w:rsidR="00037981" w:rsidRDefault="00000000">
      <w:pPr>
        <w:jc w:val="both"/>
      </w:pPr>
      <w:r>
        <w:t>Everything except the reads is done. The remaining work is mechanical:</w:t>
      </w:r>
    </w:p>
    <w:p w14:paraId="4EF140CB" w14:textId="77777777" w:rsidR="00037981" w:rsidRDefault="00000000">
      <w:pPr>
        <w:pStyle w:val="a"/>
      </w:pPr>
      <w:r>
        <w:rPr>
          <w:b/>
        </w:rPr>
        <w:t>Stage 1 is done — do not re-run it.</w:t>
      </w:r>
      <w:r>
        <w:t xml:space="preserve"> Restore the recruited reads from the </w:t>
      </w:r>
      <w:r>
        <w:rPr>
          <w:rFonts w:ascii="Consolas" w:hAnsi="Consolas"/>
          <w:sz w:val="18"/>
        </w:rPr>
        <w:t>recruited_reads_58.zip</w:t>
      </w:r>
      <w:r>
        <w:t xml:space="preserve"> checkpoint (58 FASTA files plus their per-sample metadata, 4.6 MB compressed) rather than re-streaming 3.5 GB over 80 minutes. </w:t>
      </w:r>
      <w:r>
        <w:rPr>
          <w:rFonts w:ascii="Consolas" w:hAnsi="Consolas"/>
          <w:sz w:val="18"/>
        </w:rPr>
        <w:t>stage1_counts.csv</w:t>
      </w:r>
      <w:r>
        <w:t xml:space="preserve"> carries the read counts that form every rate denominator.</w:t>
      </w:r>
    </w:p>
    <w:p w14:paraId="184F7BEC" w14:textId="77777777" w:rsidR="00037981" w:rsidRDefault="00000000">
      <w:pPr>
        <w:pStyle w:val="a"/>
      </w:pPr>
      <w:r>
        <w:rPr>
          <w:b/>
        </w:rPr>
        <w:t>Tier 1 is done too</w:t>
      </w:r>
      <w:r>
        <w:t xml:space="preserve"> — restore </w:t>
      </w:r>
      <w:r>
        <w:rPr>
          <w:rFonts w:ascii="Consolas" w:hAnsi="Consolas"/>
          <w:sz w:val="18"/>
        </w:rPr>
        <w:t>tier1_spt_only.tsv</w:t>
      </w:r>
      <w:r>
        <w:t xml:space="preserve"> and </w:t>
      </w:r>
      <w:r>
        <w:rPr>
          <w:rFonts w:ascii="Consolas" w:hAnsi="Consolas"/>
          <w:sz w:val="18"/>
        </w:rPr>
        <w:t>candidates.fasta</w:t>
      </w:r>
      <w:r>
        <w:t xml:space="preserve">. Finish tier 2 on the 4,979 remaining candidates with </w:t>
      </w:r>
      <w:r>
        <w:rPr>
          <w:rFonts w:ascii="Consolas" w:hAnsi="Consolas"/>
          <w:sz w:val="18"/>
        </w:rPr>
        <w:t>finish_tier2.py</w:t>
      </w:r>
      <w:r>
        <w:t>, which resumes without redoing completed reads, discards any mid-write partial record, and asserts completeness by requiring every one of the 13,253 candidates to appear in the output. On an uncontended machine this is roughly an hour with blastx and minutes with DIAMOND; if cores are scarce, use the exact decoy-chunking described above.</w:t>
      </w:r>
    </w:p>
    <w:p w14:paraId="3C51CDD9" w14:textId="77777777" w:rsidR="00037981" w:rsidRDefault="00000000">
      <w:pPr>
        <w:pStyle w:val="a"/>
      </w:pPr>
      <w:r>
        <w:t xml:space="preserve">Run </w:t>
      </w:r>
      <w:r>
        <w:rPr>
          <w:rFonts w:ascii="Consolas" w:hAnsi="Consolas"/>
          <w:sz w:val="18"/>
        </w:rPr>
        <w:t>run_stage2.py</w:t>
      </w:r>
      <w:r>
        <w:t xml:space="preserve"> then </w:t>
      </w:r>
      <w:r>
        <w:rPr>
          <w:rFonts w:ascii="Consolas" w:hAnsi="Consolas"/>
          <w:sz w:val="18"/>
        </w:rPr>
        <w:t>run_stats.py</w:t>
      </w:r>
      <w:r>
        <w:t>. The statistics script fixes the seed, implements the three nested fits, the participant-level permutation and the tertile/spline dose-response, and prints the gate check first.</w:t>
      </w:r>
    </w:p>
    <w:p w14:paraId="2952D1C1" w14:textId="77777777" w:rsidR="00037981" w:rsidRDefault="00000000">
      <w:pPr>
        <w:jc w:val="both"/>
      </w:pPr>
      <w:r>
        <w:rPr>
          <w:b/>
        </w:rPr>
        <w:t>`run_stats.py` has been smoke-tested end to end</w:t>
      </w:r>
      <w:r>
        <w:t xml:space="preserve"> against a synthetic </w:t>
      </w:r>
      <w:r>
        <w:rPr>
          <w:rFonts w:ascii="Consolas" w:hAnsi="Consolas"/>
          <w:sz w:val="18"/>
        </w:rPr>
        <w:t>stage2_spt_counts.csv</w:t>
      </w:r>
      <w:r>
        <w:t xml:space="preserve"> (random counts, used only to exercise control flow; the synthetic file and every output it produced were deleted immediately and no coefficient from it is recorded anywhere). The first run </w:t>
      </w:r>
      <w:r>
        <w:rPr>
          <w:b/>
        </w:rPr>
        <w:t>failed</w:t>
      </w:r>
      <w:r>
        <w:t xml:space="preserve"> — </w:t>
      </w:r>
      <w:r>
        <w:rPr>
          <w:rFonts w:ascii="Consolas" w:hAnsi="Consolas"/>
          <w:sz w:val="18"/>
        </w:rPr>
        <w:t>KeyError: ['run'] not in index</w:t>
      </w:r>
      <w:r>
        <w:t xml:space="preserve">, because the run accession lives in </w:t>
      </w:r>
      <w:r>
        <w:rPr>
          <w:rFonts w:ascii="Consolas" w:hAnsi="Consolas"/>
          <w:sz w:val="18"/>
        </w:rPr>
        <w:t>run_manifest.csv</w:t>
      </w:r>
      <w:r>
        <w:t xml:space="preserve"> and was never merged in, so the script would have fitted every model, written three of its four outputs (</w:t>
      </w:r>
      <w:r>
        <w:rPr>
          <w:rFonts w:ascii="Consolas" w:hAnsi="Consolas"/>
          <w:sz w:val="18"/>
        </w:rPr>
        <w:t>task1_model_results.csv</w:t>
      </w:r>
      <w:r>
        <w:t xml:space="preserve">, </w:t>
      </w:r>
      <w:r>
        <w:rPr>
          <w:rFonts w:ascii="Consolas" w:hAnsi="Consolas"/>
          <w:sz w:val="18"/>
        </w:rPr>
        <w:t>task1_summary.json</w:t>
      </w:r>
      <w:r>
        <w:t xml:space="preserve">, </w:t>
      </w:r>
      <w:r>
        <w:rPr>
          <w:rFonts w:ascii="Consolas" w:hAnsi="Consolas"/>
          <w:sz w:val="18"/>
        </w:rPr>
        <w:t>task1_dose_response.csv</w:t>
      </w:r>
      <w:r>
        <w:t xml:space="preserve">) and then died before exporting the fourth, </w:t>
      </w:r>
      <w:r>
        <w:rPr>
          <w:rFonts w:ascii="Consolas" w:hAnsi="Consolas"/>
          <w:sz w:val="18"/>
        </w:rPr>
        <w:t>task1_per_sample.csv</w:t>
      </w:r>
      <w:r>
        <w:t xml:space="preserve">. That is fixed (the manifest is now merged, with an assertion that every accession matched). On re-test the script exits 0, reproduces the gate at </w:t>
      </w:r>
      <w:r>
        <w:rPr>
          <w:b/>
        </w:rPr>
        <w:t>β = +0.4201, SE 0.1142, P 5.67e-4</w:t>
      </w:r>
      <w:r>
        <w:t xml:space="preserve"> from inside the script, fits all five models, runs permutation for all four exposures and writes a 58 × 13 per-sample table.</w:t>
      </w:r>
    </w:p>
    <w:p w14:paraId="69459D5F" w14:textId="77777777" w:rsidR="00037981" w:rsidRDefault="00000000">
      <w:pPr>
        <w:jc w:val="both"/>
      </w:pPr>
      <w:r>
        <w:t>Stage 2 has been run on real recruited reads for six samples but never over all 58 in one pass, so its aggregation path across the full cohort is exercised only in part.</w:t>
      </w:r>
    </w:p>
    <w:p w14:paraId="2EB3318F" w14:textId="77777777" w:rsidR="00037981" w:rsidRDefault="00000000">
      <w:pPr>
        <w:jc w:val="both"/>
      </w:pPr>
      <w:r>
        <w:rPr>
          <w:b/>
        </w:rPr>
        <w:t>Recommendation: do this on a Linux host, not here.</w:t>
      </w:r>
      <w:r>
        <w:t xml:space="preserve"> With DIAMOND and ordinary bandwidth this is a sub-hour job end to end, and it would also let the trimming and host-removal steps be </w:t>
      </w:r>
      <w:r>
        <w:lastRenderedPageBreak/>
        <w:t>done properly, removing both declared deviations and producing a Methods section with nothing to apologise for.</w:t>
      </w:r>
    </w:p>
    <w:p w14:paraId="2B8111F1" w14:textId="77777777" w:rsidR="00037981" w:rsidRDefault="00000000">
      <w:pPr>
        <w:pStyle w:val="31"/>
        <w:spacing w:before="240" w:after="120"/>
      </w:pPr>
      <w:r>
        <w:rPr>
          <w:rFonts w:ascii="Times New Roman" w:hAnsi="Times New Roman"/>
          <w:color w:val="000000"/>
        </w:rPr>
        <w:t>Verdict on Task 1</w:t>
      </w:r>
    </w:p>
    <w:p w14:paraId="119A1FF9" w14:textId="77777777" w:rsidR="00037981" w:rsidRDefault="00000000">
      <w:pPr>
        <w:jc w:val="both"/>
      </w:pPr>
      <w:r>
        <w:t xml:space="preserve">The decisive question — does microbial SPT gene abundance beat the </w:t>
      </w:r>
      <w:r>
        <w:rPr>
          <w:i/>
        </w:rPr>
        <w:t>Bacteroides</w:t>
      </w:r>
      <w:r>
        <w:t xml:space="preserve"> label at explaining plasma </w:t>
      </w:r>
      <w:r>
        <w:rPr>
          <w:rFonts w:ascii="Consolas" w:hAnsi="Consolas"/>
          <w:sz w:val="18"/>
        </w:rPr>
        <w:t>lcer_16_0 − cer_16_0</w:t>
      </w:r>
      <w:r>
        <w:t xml:space="preserve"> — is </w:t>
      </w:r>
      <w:r>
        <w:rPr>
          <w:b/>
        </w:rPr>
        <w:t>still open</w:t>
      </w:r>
      <w:r>
        <w:t>. The instrument to answer it now exists, is validated end-to-end on real reads, and is pre-specified so that the answer cannot be chosen after the fact. What is missing is a few hours of adequate compute.</w:t>
      </w:r>
    </w:p>
    <w:p w14:paraId="60C949A1" w14:textId="77777777" w:rsidR="00037981" w:rsidRDefault="00037981">
      <w:pPr>
        <w:pBdr>
          <w:bottom w:val="single" w:sz="6" w:space="0" w:color="999999"/>
        </w:pBdr>
      </w:pPr>
    </w:p>
    <w:p w14:paraId="251A8BD8" w14:textId="77777777" w:rsidR="00037981" w:rsidRDefault="00000000">
      <w:pPr>
        <w:pStyle w:val="21"/>
        <w:spacing w:before="240" w:after="120"/>
      </w:pPr>
      <w:r>
        <w:rPr>
          <w:rFonts w:ascii="Times New Roman" w:hAnsi="Times New Roman"/>
          <w:color w:val="000000"/>
        </w:rPr>
        <w:t>Supplementary Note 7. Full result: pre-registered replication</w:t>
      </w:r>
    </w:p>
    <w:p w14:paraId="06739598" w14:textId="77777777" w:rsidR="00037981" w:rsidRDefault="00000000">
      <w:pPr>
        <w:jc w:val="both"/>
      </w:pPr>
      <w:r>
        <w:t xml:space="preserve">Run 26–27 September 2026 under </w:t>
      </w:r>
      <w:r>
        <w:rPr>
          <w:rFonts w:ascii="Consolas" w:hAnsi="Consolas"/>
          <w:sz w:val="18"/>
        </w:rPr>
        <w:t>REPLICATION_PREREGISTRATION.md</w:t>
      </w:r>
      <w:r>
        <w:t xml:space="preserve"> (written and frozen before any replication data were opened) plus Amendment 1 below. Seed 20260924, 10,000 participant permutations and 10,000 bootstrap resamples.</w:t>
      </w:r>
    </w:p>
    <w:p w14:paraId="1B3E9D92" w14:textId="77777777" w:rsidR="00037981" w:rsidRDefault="00000000">
      <w:pPr>
        <w:pStyle w:val="31"/>
        <w:spacing w:before="240" w:after="120"/>
      </w:pPr>
      <w:r>
        <w:rPr>
          <w:rFonts w:ascii="Times New Roman" w:hAnsi="Times New Roman"/>
          <w:color w:val="000000"/>
        </w:rPr>
        <w:t>Headline</w:t>
      </w:r>
    </w:p>
    <w:p w14:paraId="4C2FAA1A" w14:textId="77777777" w:rsidR="00037981" w:rsidRDefault="00000000">
      <w:pPr>
        <w:jc w:val="both"/>
      </w:pPr>
      <w:r>
        <w:rPr>
          <w:b/>
        </w:rPr>
        <w:t>NOT REPLICATED.</w:t>
      </w:r>
      <w:r>
        <w:t xml:space="preserve"> In MetaCardis the association is absent. 994 participants have both endpoint and exposure; the pre-specified primary model is fitted on the </w:t>
      </w:r>
      <w:r>
        <w:rPr>
          <w:b/>
        </w:rPr>
        <w:t>544</w:t>
      </w:r>
      <w:r>
        <w:t xml:space="preserve"> of them with complete covariates (LVEF is the binding one), and the LVEF-free sensitivity model on </w:t>
      </w:r>
      <w:r>
        <w:rPr>
          <w:b/>
        </w:rPr>
        <w:t>972</w:t>
      </w:r>
      <w:r>
        <w:t xml:space="preserve">. Relative to the n ≈ 342 80%-power floor that is </w:t>
      </w:r>
      <w:r>
        <w:rPr>
          <w:b/>
        </w:rPr>
        <w:t>1.6×</w:t>
      </w:r>
      <w:r>
        <w:t xml:space="preserve"> for the primary and </w:t>
      </w:r>
      <w:r>
        <w:rPr>
          <w:b/>
        </w:rPr>
        <w:t>2.8×</w:t>
      </w:r>
      <w:r>
        <w:t xml:space="preserve"> for the sensitivity model. The point estimate is </w:t>
      </w:r>
      <w:r>
        <w:rPr>
          <w:b/>
        </w:rPr>
        <w:t>negative and essentially zero</w:t>
      </w:r>
      <w:r>
        <w:t xml:space="preserve"> where discovery found a strong positive effect. The discovery estimate lies far outside the replication confidence interval.</w:t>
      </w:r>
    </w:p>
    <w:tbl>
      <w:tblPr>
        <w:tblStyle w:val="af9"/>
        <w:tblW w:w="0" w:type="auto"/>
        <w:jc w:val="center"/>
        <w:tblLook w:val="04A0" w:firstRow="1" w:lastRow="0" w:firstColumn="1" w:lastColumn="0" w:noHBand="0" w:noVBand="1"/>
      </w:tblPr>
      <w:tblGrid>
        <w:gridCol w:w="2880"/>
        <w:gridCol w:w="2880"/>
        <w:gridCol w:w="2880"/>
      </w:tblGrid>
      <w:tr w:rsidR="00037981" w14:paraId="27A15975" w14:textId="77777777">
        <w:trPr>
          <w:jc w:val="center"/>
        </w:trPr>
        <w:tc>
          <w:tcPr>
            <w:tcW w:w="2880" w:type="dxa"/>
          </w:tcPr>
          <w:p w14:paraId="5B9D8CE6" w14:textId="77777777" w:rsidR="00037981" w:rsidRDefault="00037981">
            <w:pPr>
              <w:spacing w:after="40" w:line="240" w:lineRule="auto"/>
            </w:pPr>
          </w:p>
        </w:tc>
        <w:tc>
          <w:tcPr>
            <w:tcW w:w="2880" w:type="dxa"/>
          </w:tcPr>
          <w:p w14:paraId="46332B25" w14:textId="77777777" w:rsidR="00037981" w:rsidRDefault="00000000">
            <w:pPr>
              <w:spacing w:after="40" w:line="240" w:lineRule="auto"/>
            </w:pPr>
            <w:r>
              <w:rPr>
                <w:b/>
                <w:sz w:val="18"/>
              </w:rPr>
              <w:t>Discovery (n = 58)</w:t>
            </w:r>
          </w:p>
        </w:tc>
        <w:tc>
          <w:tcPr>
            <w:tcW w:w="2880" w:type="dxa"/>
          </w:tcPr>
          <w:p w14:paraId="340B113E" w14:textId="77777777" w:rsidR="00037981" w:rsidRDefault="00000000">
            <w:pPr>
              <w:spacing w:after="40" w:line="240" w:lineRule="auto"/>
            </w:pPr>
            <w:r>
              <w:rPr>
                <w:b/>
                <w:sz w:val="18"/>
              </w:rPr>
              <w:t>MetaCardis (n = 544 complete-case)</w:t>
            </w:r>
          </w:p>
        </w:tc>
      </w:tr>
      <w:tr w:rsidR="00037981" w14:paraId="40C1E259" w14:textId="77777777">
        <w:trPr>
          <w:jc w:val="center"/>
        </w:trPr>
        <w:tc>
          <w:tcPr>
            <w:tcW w:w="2880" w:type="dxa"/>
          </w:tcPr>
          <w:p w14:paraId="73F1A07D" w14:textId="77777777" w:rsidR="00037981" w:rsidRDefault="00000000">
            <w:pPr>
              <w:spacing w:after="40" w:line="240" w:lineRule="auto"/>
            </w:pPr>
            <w:r>
              <w:rPr>
                <w:sz w:val="18"/>
              </w:rPr>
              <w:t>β</w:t>
            </w:r>
          </w:p>
        </w:tc>
        <w:tc>
          <w:tcPr>
            <w:tcW w:w="2880" w:type="dxa"/>
          </w:tcPr>
          <w:p w14:paraId="17A6C416" w14:textId="77777777" w:rsidR="00037981" w:rsidRDefault="00000000">
            <w:pPr>
              <w:spacing w:after="40" w:line="240" w:lineRule="auto"/>
            </w:pPr>
            <w:r>
              <w:rPr>
                <w:b/>
                <w:sz w:val="18"/>
              </w:rPr>
              <w:t>+0.4201</w:t>
            </w:r>
          </w:p>
        </w:tc>
        <w:tc>
          <w:tcPr>
            <w:tcW w:w="2880" w:type="dxa"/>
          </w:tcPr>
          <w:p w14:paraId="73BD5063" w14:textId="77777777" w:rsidR="00037981" w:rsidRDefault="00000000">
            <w:pPr>
              <w:spacing w:after="40" w:line="240" w:lineRule="auto"/>
            </w:pPr>
            <w:r>
              <w:rPr>
                <w:b/>
                <w:sz w:val="18"/>
              </w:rPr>
              <w:t>−0.0321</w:t>
            </w:r>
          </w:p>
        </w:tc>
      </w:tr>
      <w:tr w:rsidR="00037981" w14:paraId="13119D10" w14:textId="77777777">
        <w:trPr>
          <w:jc w:val="center"/>
        </w:trPr>
        <w:tc>
          <w:tcPr>
            <w:tcW w:w="2880" w:type="dxa"/>
          </w:tcPr>
          <w:p w14:paraId="691537E3" w14:textId="77777777" w:rsidR="00037981" w:rsidRDefault="00000000">
            <w:pPr>
              <w:spacing w:after="40" w:line="240" w:lineRule="auto"/>
            </w:pPr>
            <w:r>
              <w:rPr>
                <w:sz w:val="18"/>
              </w:rPr>
              <w:t>SE</w:t>
            </w:r>
          </w:p>
        </w:tc>
        <w:tc>
          <w:tcPr>
            <w:tcW w:w="2880" w:type="dxa"/>
          </w:tcPr>
          <w:p w14:paraId="6E0DEB36" w14:textId="77777777" w:rsidR="00037981" w:rsidRDefault="00000000">
            <w:pPr>
              <w:spacing w:after="40" w:line="240" w:lineRule="auto"/>
            </w:pPr>
            <w:r>
              <w:rPr>
                <w:sz w:val="18"/>
              </w:rPr>
              <w:t>0.1142</w:t>
            </w:r>
          </w:p>
        </w:tc>
        <w:tc>
          <w:tcPr>
            <w:tcW w:w="2880" w:type="dxa"/>
          </w:tcPr>
          <w:p w14:paraId="2705581A" w14:textId="77777777" w:rsidR="00037981" w:rsidRDefault="00000000">
            <w:pPr>
              <w:spacing w:after="40" w:line="240" w:lineRule="auto"/>
            </w:pPr>
            <w:r>
              <w:rPr>
                <w:sz w:val="18"/>
              </w:rPr>
              <w:t>0.0203</w:t>
            </w:r>
          </w:p>
        </w:tc>
      </w:tr>
      <w:tr w:rsidR="00037981" w14:paraId="2842DD26" w14:textId="77777777">
        <w:trPr>
          <w:jc w:val="center"/>
        </w:trPr>
        <w:tc>
          <w:tcPr>
            <w:tcW w:w="2880" w:type="dxa"/>
          </w:tcPr>
          <w:p w14:paraId="25C32A75" w14:textId="77777777" w:rsidR="00037981" w:rsidRDefault="00000000">
            <w:pPr>
              <w:spacing w:after="40" w:line="240" w:lineRule="auto"/>
            </w:pPr>
            <w:r>
              <w:rPr>
                <w:sz w:val="18"/>
              </w:rPr>
              <w:t>95% CI</w:t>
            </w:r>
          </w:p>
        </w:tc>
        <w:tc>
          <w:tcPr>
            <w:tcW w:w="2880" w:type="dxa"/>
          </w:tcPr>
          <w:p w14:paraId="4B409475" w14:textId="77777777" w:rsidR="00037981" w:rsidRDefault="00000000">
            <w:pPr>
              <w:spacing w:after="40" w:line="240" w:lineRule="auto"/>
            </w:pPr>
            <w:r>
              <w:rPr>
                <w:sz w:val="18"/>
              </w:rPr>
              <w:t>—</w:t>
            </w:r>
          </w:p>
        </w:tc>
        <w:tc>
          <w:tcPr>
            <w:tcW w:w="2880" w:type="dxa"/>
          </w:tcPr>
          <w:p w14:paraId="078C3110" w14:textId="77777777" w:rsidR="00037981" w:rsidRDefault="00000000">
            <w:pPr>
              <w:spacing w:after="40" w:line="240" w:lineRule="auto"/>
            </w:pPr>
            <w:r>
              <w:rPr>
                <w:sz w:val="18"/>
              </w:rPr>
              <w:t>−0.0718 to +0.0077</w:t>
            </w:r>
          </w:p>
        </w:tc>
      </w:tr>
      <w:tr w:rsidR="00037981" w14:paraId="1F337419" w14:textId="77777777">
        <w:trPr>
          <w:jc w:val="center"/>
        </w:trPr>
        <w:tc>
          <w:tcPr>
            <w:tcW w:w="2880" w:type="dxa"/>
          </w:tcPr>
          <w:p w14:paraId="282AC656" w14:textId="77777777" w:rsidR="00037981" w:rsidRDefault="00000000">
            <w:pPr>
              <w:spacing w:after="40" w:line="240" w:lineRule="auto"/>
            </w:pPr>
            <w:r>
              <w:rPr>
                <w:sz w:val="18"/>
              </w:rPr>
              <w:t>P (model)</w:t>
            </w:r>
          </w:p>
        </w:tc>
        <w:tc>
          <w:tcPr>
            <w:tcW w:w="2880" w:type="dxa"/>
          </w:tcPr>
          <w:p w14:paraId="0C078851" w14:textId="77777777" w:rsidR="00037981" w:rsidRDefault="00000000">
            <w:pPr>
              <w:spacing w:after="40" w:line="240" w:lineRule="auto"/>
            </w:pPr>
            <w:r>
              <w:rPr>
                <w:sz w:val="18"/>
              </w:rPr>
              <w:t>5.67 × 10⁻⁴</w:t>
            </w:r>
          </w:p>
        </w:tc>
        <w:tc>
          <w:tcPr>
            <w:tcW w:w="2880" w:type="dxa"/>
          </w:tcPr>
          <w:p w14:paraId="18055250" w14:textId="77777777" w:rsidR="00037981" w:rsidRDefault="00000000">
            <w:pPr>
              <w:spacing w:after="40" w:line="240" w:lineRule="auto"/>
            </w:pPr>
            <w:r>
              <w:rPr>
                <w:sz w:val="18"/>
              </w:rPr>
              <w:t>0.114</w:t>
            </w:r>
          </w:p>
        </w:tc>
      </w:tr>
      <w:tr w:rsidR="00037981" w14:paraId="1BE085A1" w14:textId="77777777">
        <w:trPr>
          <w:jc w:val="center"/>
        </w:trPr>
        <w:tc>
          <w:tcPr>
            <w:tcW w:w="2880" w:type="dxa"/>
          </w:tcPr>
          <w:p w14:paraId="13F99CEE" w14:textId="77777777" w:rsidR="00037981" w:rsidRDefault="00000000">
            <w:pPr>
              <w:spacing w:after="40" w:line="240" w:lineRule="auto"/>
            </w:pPr>
            <w:r>
              <w:rPr>
                <w:sz w:val="18"/>
              </w:rPr>
              <w:t>P (participant permutation)</w:t>
            </w:r>
          </w:p>
        </w:tc>
        <w:tc>
          <w:tcPr>
            <w:tcW w:w="2880" w:type="dxa"/>
          </w:tcPr>
          <w:p w14:paraId="6A0612A0" w14:textId="77777777" w:rsidR="00037981" w:rsidRDefault="00000000">
            <w:pPr>
              <w:spacing w:after="40" w:line="240" w:lineRule="auto"/>
            </w:pPr>
            <w:r>
              <w:rPr>
                <w:sz w:val="18"/>
              </w:rPr>
              <w:t>0.00050</w:t>
            </w:r>
          </w:p>
        </w:tc>
        <w:tc>
          <w:tcPr>
            <w:tcW w:w="2880" w:type="dxa"/>
          </w:tcPr>
          <w:p w14:paraId="06057EDD" w14:textId="77777777" w:rsidR="00037981" w:rsidRDefault="00000000">
            <w:pPr>
              <w:spacing w:after="40" w:line="240" w:lineRule="auto"/>
            </w:pPr>
            <w:r>
              <w:rPr>
                <w:b/>
                <w:sz w:val="18"/>
              </w:rPr>
              <w:t>0.127</w:t>
            </w:r>
          </w:p>
        </w:tc>
      </w:tr>
      <w:tr w:rsidR="00037981" w14:paraId="1D94129A" w14:textId="77777777">
        <w:trPr>
          <w:jc w:val="center"/>
        </w:trPr>
        <w:tc>
          <w:tcPr>
            <w:tcW w:w="2880" w:type="dxa"/>
          </w:tcPr>
          <w:p w14:paraId="0F7344D0" w14:textId="77777777" w:rsidR="00037981" w:rsidRDefault="00000000">
            <w:pPr>
              <w:spacing w:after="40" w:line="240" w:lineRule="auto"/>
            </w:pPr>
            <w:r>
              <w:rPr>
                <w:sz w:val="18"/>
              </w:rPr>
              <w:t>Standardised β</w:t>
            </w:r>
          </w:p>
        </w:tc>
        <w:tc>
          <w:tcPr>
            <w:tcW w:w="2880" w:type="dxa"/>
          </w:tcPr>
          <w:p w14:paraId="54239270" w14:textId="77777777" w:rsidR="00037981" w:rsidRDefault="00000000">
            <w:pPr>
              <w:spacing w:after="40" w:line="240" w:lineRule="auto"/>
            </w:pPr>
            <w:r>
              <w:rPr>
                <w:sz w:val="18"/>
              </w:rPr>
              <w:t>—</w:t>
            </w:r>
          </w:p>
        </w:tc>
        <w:tc>
          <w:tcPr>
            <w:tcW w:w="2880" w:type="dxa"/>
          </w:tcPr>
          <w:p w14:paraId="73B5B956" w14:textId="77777777" w:rsidR="00037981" w:rsidRDefault="00000000">
            <w:pPr>
              <w:spacing w:after="40" w:line="240" w:lineRule="auto"/>
            </w:pPr>
            <w:r>
              <w:rPr>
                <w:sz w:val="18"/>
              </w:rPr>
              <w:t>−0.068</w:t>
            </w:r>
          </w:p>
        </w:tc>
      </w:tr>
      <w:tr w:rsidR="00037981" w14:paraId="519CD330" w14:textId="77777777">
        <w:trPr>
          <w:jc w:val="center"/>
        </w:trPr>
        <w:tc>
          <w:tcPr>
            <w:tcW w:w="2880" w:type="dxa"/>
          </w:tcPr>
          <w:p w14:paraId="549A693F" w14:textId="77777777" w:rsidR="00037981" w:rsidRDefault="00000000">
            <w:pPr>
              <w:spacing w:after="40" w:line="240" w:lineRule="auto"/>
            </w:pPr>
            <w:r>
              <w:rPr>
                <w:sz w:val="18"/>
              </w:rPr>
              <w:t>R²</w:t>
            </w:r>
          </w:p>
        </w:tc>
        <w:tc>
          <w:tcPr>
            <w:tcW w:w="2880" w:type="dxa"/>
          </w:tcPr>
          <w:p w14:paraId="42C484C8" w14:textId="77777777" w:rsidR="00037981" w:rsidRDefault="00000000">
            <w:pPr>
              <w:spacing w:after="40" w:line="240" w:lineRule="auto"/>
            </w:pPr>
            <w:r>
              <w:rPr>
                <w:sz w:val="18"/>
              </w:rPr>
              <w:t>0.229</w:t>
            </w:r>
          </w:p>
        </w:tc>
        <w:tc>
          <w:tcPr>
            <w:tcW w:w="2880" w:type="dxa"/>
          </w:tcPr>
          <w:p w14:paraId="0826BFE8" w14:textId="77777777" w:rsidR="00037981" w:rsidRDefault="00000000">
            <w:pPr>
              <w:spacing w:after="40" w:line="240" w:lineRule="auto"/>
            </w:pPr>
            <w:r>
              <w:rPr>
                <w:sz w:val="18"/>
              </w:rPr>
              <w:t>0.084</w:t>
            </w:r>
          </w:p>
        </w:tc>
      </w:tr>
    </w:tbl>
    <w:p w14:paraId="085EC337" w14:textId="77777777" w:rsidR="00037981" w:rsidRDefault="00037981"/>
    <w:p w14:paraId="3673C23D" w14:textId="77777777" w:rsidR="00037981" w:rsidRDefault="00000000">
      <w:pPr>
        <w:jc w:val="both"/>
      </w:pPr>
      <w:r>
        <w:t xml:space="preserve">Bootstrap 95% CI for β: </w:t>
      </w:r>
      <w:r>
        <w:rPr>
          <w:b/>
        </w:rPr>
        <w:t>−0.0704 to +0.0051</w:t>
      </w:r>
      <w:r>
        <w:t xml:space="preserve">. The discovery estimate of +0.4201 is </w:t>
      </w:r>
      <w:r>
        <w:rPr>
          <w:b/>
        </w:rPr>
        <w:t>not</w:t>
      </w:r>
      <w:r>
        <w:t xml:space="preserve"> inside it — it is roughly 13 standard errors away.</w:t>
      </w:r>
    </w:p>
    <w:p w14:paraId="11EF6CEA" w14:textId="77777777" w:rsidR="00037981" w:rsidRDefault="00000000">
      <w:pPr>
        <w:jc w:val="both"/>
      </w:pPr>
      <w:r>
        <w:lastRenderedPageBreak/>
        <w:t xml:space="preserve">Against the pre-registered success criteria (§7), this is </w:t>
      </w:r>
      <w:r>
        <w:rPr>
          <w:b/>
        </w:rPr>
        <w:t>"not replicated"</w:t>
      </w:r>
      <w:r>
        <w:t xml:space="preserve">: permutation P ≥ 0.05 </w:t>
      </w:r>
      <w:r>
        <w:rPr>
          <w:i/>
        </w:rPr>
        <w:t>and</w:t>
      </w:r>
      <w:r>
        <w:t xml:space="preserve"> β &lt; 0. It is not "refuted", because the negative estimate is itself not significant on the pre-specified primary test.</w:t>
      </w:r>
    </w:p>
    <w:p w14:paraId="2931FCD0" w14:textId="77777777" w:rsidR="00037981" w:rsidRDefault="00000000">
      <w:pPr>
        <w:pStyle w:val="31"/>
        <w:spacing w:before="240" w:after="120"/>
      </w:pPr>
      <w:r>
        <w:rPr>
          <w:rFonts w:ascii="Times New Roman" w:hAnsi="Times New Roman"/>
          <w:color w:val="000000"/>
        </w:rPr>
        <w:t>Supporting models — all concordant, none rescues the finding</w:t>
      </w:r>
    </w:p>
    <w:tbl>
      <w:tblPr>
        <w:tblStyle w:val="af9"/>
        <w:tblW w:w="0" w:type="auto"/>
        <w:jc w:val="center"/>
        <w:tblLook w:val="04A0" w:firstRow="1" w:lastRow="0" w:firstColumn="1" w:lastColumn="0" w:noHBand="0" w:noVBand="1"/>
      </w:tblPr>
      <w:tblGrid>
        <w:gridCol w:w="1728"/>
        <w:gridCol w:w="1728"/>
        <w:gridCol w:w="1728"/>
        <w:gridCol w:w="1728"/>
        <w:gridCol w:w="1728"/>
      </w:tblGrid>
      <w:tr w:rsidR="00037981" w14:paraId="538D0CC9" w14:textId="77777777">
        <w:trPr>
          <w:jc w:val="center"/>
        </w:trPr>
        <w:tc>
          <w:tcPr>
            <w:tcW w:w="1728" w:type="dxa"/>
          </w:tcPr>
          <w:p w14:paraId="7DBC8D0D" w14:textId="77777777" w:rsidR="00037981" w:rsidRDefault="00000000">
            <w:pPr>
              <w:spacing w:after="40" w:line="240" w:lineRule="auto"/>
            </w:pPr>
            <w:r>
              <w:rPr>
                <w:b/>
                <w:sz w:val="18"/>
              </w:rPr>
              <w:t>Model</w:t>
            </w:r>
          </w:p>
        </w:tc>
        <w:tc>
          <w:tcPr>
            <w:tcW w:w="1728" w:type="dxa"/>
          </w:tcPr>
          <w:p w14:paraId="457C3597" w14:textId="77777777" w:rsidR="00037981" w:rsidRDefault="00000000">
            <w:pPr>
              <w:spacing w:after="40" w:line="240" w:lineRule="auto"/>
            </w:pPr>
            <w:r>
              <w:rPr>
                <w:b/>
                <w:sz w:val="18"/>
              </w:rPr>
              <w:t>n</w:t>
            </w:r>
          </w:p>
        </w:tc>
        <w:tc>
          <w:tcPr>
            <w:tcW w:w="1728" w:type="dxa"/>
          </w:tcPr>
          <w:p w14:paraId="4920C416" w14:textId="77777777" w:rsidR="00037981" w:rsidRDefault="00000000">
            <w:pPr>
              <w:spacing w:after="40" w:line="240" w:lineRule="auto"/>
            </w:pPr>
            <w:r>
              <w:rPr>
                <w:b/>
                <w:sz w:val="18"/>
              </w:rPr>
              <w:t>β</w:t>
            </w:r>
          </w:p>
        </w:tc>
        <w:tc>
          <w:tcPr>
            <w:tcW w:w="1728" w:type="dxa"/>
          </w:tcPr>
          <w:p w14:paraId="090F5EDB" w14:textId="77777777" w:rsidR="00037981" w:rsidRDefault="00000000">
            <w:pPr>
              <w:spacing w:after="40" w:line="240" w:lineRule="auto"/>
            </w:pPr>
            <w:r>
              <w:rPr>
                <w:b/>
                <w:sz w:val="18"/>
              </w:rPr>
              <w:t>95% CI</w:t>
            </w:r>
          </w:p>
        </w:tc>
        <w:tc>
          <w:tcPr>
            <w:tcW w:w="1728" w:type="dxa"/>
          </w:tcPr>
          <w:p w14:paraId="2DB6A963" w14:textId="77777777" w:rsidR="00037981" w:rsidRDefault="00000000">
            <w:pPr>
              <w:spacing w:after="40" w:line="240" w:lineRule="auto"/>
            </w:pPr>
            <w:r>
              <w:rPr>
                <w:b/>
                <w:sz w:val="18"/>
              </w:rPr>
              <w:t>P</w:t>
            </w:r>
          </w:p>
        </w:tc>
      </w:tr>
      <w:tr w:rsidR="00037981" w14:paraId="7ADB1FD5" w14:textId="77777777">
        <w:trPr>
          <w:jc w:val="center"/>
        </w:trPr>
        <w:tc>
          <w:tcPr>
            <w:tcW w:w="1728" w:type="dxa"/>
          </w:tcPr>
          <w:p w14:paraId="65306258" w14:textId="77777777" w:rsidR="00037981" w:rsidRDefault="00000000">
            <w:pPr>
              <w:spacing w:after="40" w:line="240" w:lineRule="auto"/>
            </w:pPr>
            <w:r>
              <w:rPr>
                <w:b/>
                <w:sz w:val="18"/>
              </w:rPr>
              <w:t>Primary</w:t>
            </w:r>
            <w:r>
              <w:rPr>
                <w:sz w:val="18"/>
              </w:rPr>
              <w:t>, 5 covariates incl. LVEF</w:t>
            </w:r>
          </w:p>
        </w:tc>
        <w:tc>
          <w:tcPr>
            <w:tcW w:w="1728" w:type="dxa"/>
          </w:tcPr>
          <w:p w14:paraId="0C39B652" w14:textId="77777777" w:rsidR="00037981" w:rsidRDefault="00000000">
            <w:pPr>
              <w:spacing w:after="40" w:line="240" w:lineRule="auto"/>
            </w:pPr>
            <w:r>
              <w:rPr>
                <w:sz w:val="18"/>
              </w:rPr>
              <w:t>544</w:t>
            </w:r>
          </w:p>
        </w:tc>
        <w:tc>
          <w:tcPr>
            <w:tcW w:w="1728" w:type="dxa"/>
          </w:tcPr>
          <w:p w14:paraId="1D140DEE" w14:textId="77777777" w:rsidR="00037981" w:rsidRDefault="00000000">
            <w:pPr>
              <w:spacing w:after="40" w:line="240" w:lineRule="auto"/>
            </w:pPr>
            <w:r>
              <w:rPr>
                <w:sz w:val="18"/>
              </w:rPr>
              <w:t>−0.0321</w:t>
            </w:r>
          </w:p>
        </w:tc>
        <w:tc>
          <w:tcPr>
            <w:tcW w:w="1728" w:type="dxa"/>
          </w:tcPr>
          <w:p w14:paraId="25672866" w14:textId="77777777" w:rsidR="00037981" w:rsidRDefault="00000000">
            <w:pPr>
              <w:spacing w:after="40" w:line="240" w:lineRule="auto"/>
            </w:pPr>
            <w:r>
              <w:rPr>
                <w:sz w:val="18"/>
              </w:rPr>
              <w:t>−0.0718 to +0.0077</w:t>
            </w:r>
          </w:p>
        </w:tc>
        <w:tc>
          <w:tcPr>
            <w:tcW w:w="1728" w:type="dxa"/>
          </w:tcPr>
          <w:p w14:paraId="018588BB" w14:textId="77777777" w:rsidR="00037981" w:rsidRDefault="00000000">
            <w:pPr>
              <w:spacing w:after="40" w:line="240" w:lineRule="auto"/>
            </w:pPr>
            <w:r>
              <w:rPr>
                <w:sz w:val="18"/>
              </w:rPr>
              <w:t>0.114</w:t>
            </w:r>
          </w:p>
        </w:tc>
      </w:tr>
      <w:tr w:rsidR="00037981" w14:paraId="2C0CB6C0" w14:textId="77777777">
        <w:trPr>
          <w:jc w:val="center"/>
        </w:trPr>
        <w:tc>
          <w:tcPr>
            <w:tcW w:w="1728" w:type="dxa"/>
          </w:tcPr>
          <w:p w14:paraId="43612D89" w14:textId="77777777" w:rsidR="00037981" w:rsidRDefault="00000000">
            <w:pPr>
              <w:spacing w:after="40" w:line="240" w:lineRule="auto"/>
            </w:pPr>
            <w:r>
              <w:rPr>
                <w:sz w:val="18"/>
              </w:rPr>
              <w:t>Sensitivity, 4 covariates (LVEF dropped, preserves n)</w:t>
            </w:r>
          </w:p>
        </w:tc>
        <w:tc>
          <w:tcPr>
            <w:tcW w:w="1728" w:type="dxa"/>
          </w:tcPr>
          <w:p w14:paraId="021CA93B" w14:textId="77777777" w:rsidR="00037981" w:rsidRDefault="00000000">
            <w:pPr>
              <w:spacing w:after="40" w:line="240" w:lineRule="auto"/>
            </w:pPr>
            <w:r>
              <w:rPr>
                <w:sz w:val="18"/>
              </w:rPr>
              <w:t>972</w:t>
            </w:r>
          </w:p>
        </w:tc>
        <w:tc>
          <w:tcPr>
            <w:tcW w:w="1728" w:type="dxa"/>
          </w:tcPr>
          <w:p w14:paraId="2094E259" w14:textId="77777777" w:rsidR="00037981" w:rsidRDefault="00000000">
            <w:pPr>
              <w:spacing w:after="40" w:line="240" w:lineRule="auto"/>
            </w:pPr>
            <w:r>
              <w:rPr>
                <w:sz w:val="18"/>
              </w:rPr>
              <w:t>−0.0306</w:t>
            </w:r>
          </w:p>
        </w:tc>
        <w:tc>
          <w:tcPr>
            <w:tcW w:w="1728" w:type="dxa"/>
          </w:tcPr>
          <w:p w14:paraId="0ABC46BB" w14:textId="77777777" w:rsidR="00037981" w:rsidRDefault="00000000">
            <w:pPr>
              <w:spacing w:after="40" w:line="240" w:lineRule="auto"/>
            </w:pPr>
            <w:r>
              <w:rPr>
                <w:sz w:val="18"/>
              </w:rPr>
              <w:t>−0.0607 to −0.0005</w:t>
            </w:r>
          </w:p>
        </w:tc>
        <w:tc>
          <w:tcPr>
            <w:tcW w:w="1728" w:type="dxa"/>
          </w:tcPr>
          <w:p w14:paraId="73F2289B" w14:textId="77777777" w:rsidR="00037981" w:rsidRDefault="00000000">
            <w:pPr>
              <w:spacing w:after="40" w:line="240" w:lineRule="auto"/>
            </w:pPr>
            <w:r>
              <w:rPr>
                <w:sz w:val="18"/>
              </w:rPr>
              <w:t>0.046</w:t>
            </w:r>
          </w:p>
        </w:tc>
      </w:tr>
      <w:tr w:rsidR="00037981" w14:paraId="64DC84BF" w14:textId="77777777">
        <w:trPr>
          <w:jc w:val="center"/>
        </w:trPr>
        <w:tc>
          <w:tcPr>
            <w:tcW w:w="1728" w:type="dxa"/>
          </w:tcPr>
          <w:p w14:paraId="7ECBA1B6" w14:textId="77777777" w:rsidR="00037981" w:rsidRDefault="00000000">
            <w:pPr>
              <w:spacing w:after="40" w:line="240" w:lineRule="auto"/>
            </w:pPr>
            <w:r>
              <w:rPr>
                <w:b/>
                <w:sz w:val="18"/>
              </w:rPr>
              <w:t>HF stratum</w:t>
            </w:r>
            <w:r>
              <w:rPr>
                <w:sz w:val="18"/>
              </w:rPr>
              <w:t xml:space="preserve">, 5 covariates — </w:t>
            </w:r>
            <w:r>
              <w:rPr>
                <w:i/>
                <w:sz w:val="18"/>
              </w:rPr>
              <w:t>effect size only</w:t>
            </w:r>
          </w:p>
        </w:tc>
        <w:tc>
          <w:tcPr>
            <w:tcW w:w="1728" w:type="dxa"/>
          </w:tcPr>
          <w:p w14:paraId="6507CBA2" w14:textId="77777777" w:rsidR="00037981" w:rsidRDefault="00000000">
            <w:pPr>
              <w:spacing w:after="40" w:line="240" w:lineRule="auto"/>
            </w:pPr>
            <w:r>
              <w:rPr>
                <w:sz w:val="18"/>
              </w:rPr>
              <w:t>71</w:t>
            </w:r>
          </w:p>
        </w:tc>
        <w:tc>
          <w:tcPr>
            <w:tcW w:w="1728" w:type="dxa"/>
          </w:tcPr>
          <w:p w14:paraId="771C0441" w14:textId="77777777" w:rsidR="00037981" w:rsidRDefault="00000000">
            <w:pPr>
              <w:spacing w:after="40" w:line="240" w:lineRule="auto"/>
            </w:pPr>
            <w:r>
              <w:rPr>
                <w:sz w:val="18"/>
              </w:rPr>
              <w:t>−0.0645</w:t>
            </w:r>
          </w:p>
        </w:tc>
        <w:tc>
          <w:tcPr>
            <w:tcW w:w="1728" w:type="dxa"/>
          </w:tcPr>
          <w:p w14:paraId="08DC1BDE" w14:textId="77777777" w:rsidR="00037981" w:rsidRDefault="00000000">
            <w:pPr>
              <w:spacing w:after="40" w:line="240" w:lineRule="auto"/>
            </w:pPr>
            <w:r>
              <w:rPr>
                <w:sz w:val="18"/>
              </w:rPr>
              <w:t>−0.1635 to +0.0345</w:t>
            </w:r>
          </w:p>
        </w:tc>
        <w:tc>
          <w:tcPr>
            <w:tcW w:w="1728" w:type="dxa"/>
          </w:tcPr>
          <w:p w14:paraId="7F25B6A3" w14:textId="77777777" w:rsidR="00037981" w:rsidRDefault="00000000">
            <w:pPr>
              <w:spacing w:after="40" w:line="240" w:lineRule="auto"/>
            </w:pPr>
            <w:r>
              <w:rPr>
                <w:sz w:val="18"/>
              </w:rPr>
              <w:t>0.207</w:t>
            </w:r>
          </w:p>
        </w:tc>
      </w:tr>
      <w:tr w:rsidR="00037981" w14:paraId="3668EE2B" w14:textId="77777777">
        <w:trPr>
          <w:jc w:val="center"/>
        </w:trPr>
        <w:tc>
          <w:tcPr>
            <w:tcW w:w="1728" w:type="dxa"/>
          </w:tcPr>
          <w:p w14:paraId="7ADD8533" w14:textId="77777777" w:rsidR="00037981" w:rsidRDefault="00000000">
            <w:pPr>
              <w:spacing w:after="40" w:line="240" w:lineRule="auto"/>
            </w:pPr>
            <w:r>
              <w:rPr>
                <w:sz w:val="18"/>
              </w:rPr>
              <w:t xml:space="preserve">HF stratum, 4 covariates — </w:t>
            </w:r>
            <w:r>
              <w:rPr>
                <w:i/>
                <w:sz w:val="18"/>
              </w:rPr>
              <w:t>effect size only</w:t>
            </w:r>
          </w:p>
        </w:tc>
        <w:tc>
          <w:tcPr>
            <w:tcW w:w="1728" w:type="dxa"/>
          </w:tcPr>
          <w:p w14:paraId="1F4BF25C" w14:textId="77777777" w:rsidR="00037981" w:rsidRDefault="00000000">
            <w:pPr>
              <w:spacing w:after="40" w:line="240" w:lineRule="auto"/>
            </w:pPr>
            <w:r>
              <w:rPr>
                <w:sz w:val="18"/>
              </w:rPr>
              <w:t>83</w:t>
            </w:r>
          </w:p>
        </w:tc>
        <w:tc>
          <w:tcPr>
            <w:tcW w:w="1728" w:type="dxa"/>
          </w:tcPr>
          <w:p w14:paraId="3F9D7E93" w14:textId="77777777" w:rsidR="00037981" w:rsidRDefault="00000000">
            <w:pPr>
              <w:spacing w:after="40" w:line="240" w:lineRule="auto"/>
            </w:pPr>
            <w:r>
              <w:rPr>
                <w:sz w:val="18"/>
              </w:rPr>
              <w:t>−0.0749</w:t>
            </w:r>
          </w:p>
        </w:tc>
        <w:tc>
          <w:tcPr>
            <w:tcW w:w="1728" w:type="dxa"/>
          </w:tcPr>
          <w:p w14:paraId="180DAE5D" w14:textId="77777777" w:rsidR="00037981" w:rsidRDefault="00000000">
            <w:pPr>
              <w:spacing w:after="40" w:line="240" w:lineRule="auto"/>
            </w:pPr>
            <w:r>
              <w:rPr>
                <w:sz w:val="18"/>
              </w:rPr>
              <w:t>−0.1607 to +0.0110</w:t>
            </w:r>
          </w:p>
        </w:tc>
        <w:tc>
          <w:tcPr>
            <w:tcW w:w="1728" w:type="dxa"/>
          </w:tcPr>
          <w:p w14:paraId="5FE6DAE8" w14:textId="77777777" w:rsidR="00037981" w:rsidRDefault="00000000">
            <w:pPr>
              <w:spacing w:after="40" w:line="240" w:lineRule="auto"/>
            </w:pPr>
            <w:r>
              <w:rPr>
                <w:sz w:val="18"/>
              </w:rPr>
              <w:t>0.091</w:t>
            </w:r>
          </w:p>
        </w:tc>
      </w:tr>
    </w:tbl>
    <w:p w14:paraId="7285B312" w14:textId="77777777" w:rsidR="00037981" w:rsidRDefault="00037981"/>
    <w:p w14:paraId="0E33B65F" w14:textId="77777777" w:rsidR="00037981" w:rsidRDefault="00000000">
      <w:pPr>
        <w:jc w:val="both"/>
      </w:pPr>
      <w:r>
        <w:t xml:space="preserve">Two things to note, and neither helps the hypothesis. First, the larger-n sensitivity model is nominally significant at P = 0.046 — </w:t>
      </w:r>
      <w:r>
        <w:rPr>
          <w:b/>
        </w:rPr>
        <w:t>in the direction opposite to the prediction</w:t>
      </w:r>
      <w:r>
        <w:t>. Under the pre-registration that is not a finding to celebrate; the predicted direction was positive, and a nominally negative coefficient in one of four concordant models is best read as "no positive association", not "a negative one". Second, the heart-failure stratum — the population most comparable to the discovery cohort — is also negative, and the discovery β sits outside its interval too. The stratum is reported as an effect size and was never a hypothesis test, exactly as pre-specified.</w:t>
      </w:r>
    </w:p>
    <w:p w14:paraId="70E825AA" w14:textId="77777777" w:rsidR="00037981" w:rsidRDefault="00000000">
      <w:pPr>
        <w:pStyle w:val="31"/>
        <w:spacing w:before="240" w:after="120"/>
      </w:pPr>
      <w:r>
        <w:rPr>
          <w:rFonts w:ascii="Times New Roman" w:hAnsi="Times New Roman"/>
          <w:color w:val="000000"/>
        </w:rPr>
        <w:t>Pre-registration Amendment 1 — the repeated-measures assumption was wrong</w:t>
      </w:r>
    </w:p>
    <w:p w14:paraId="14F9CBB8" w14:textId="77777777" w:rsidR="00037981" w:rsidRDefault="00000000">
      <w:pPr>
        <w:jc w:val="both"/>
      </w:pPr>
      <w:r>
        <w:t xml:space="preserve">The pre-registration stated that Supplementary Table 12 "carries 1,882 rows over 1,087 unique IDs (343 once, 693 twice, 51 three times)" and therefore </w:t>
      </w:r>
      <w:r>
        <w:rPr>
          <w:i/>
        </w:rPr>
        <w:t>required</w:t>
      </w:r>
      <w:r>
        <w:t xml:space="preserve"> a participant-level random intercept. </w:t>
      </w:r>
      <w:r>
        <w:rPr>
          <w:b/>
        </w:rPr>
        <w:t>That reading was incorrect, and it is corrected here.</w:t>
      </w:r>
    </w:p>
    <w:p w14:paraId="4E09071E" w14:textId="77777777" w:rsidR="00037981" w:rsidRDefault="00000000">
      <w:pPr>
        <w:jc w:val="both"/>
      </w:pPr>
      <w:r>
        <w:t xml:space="preserve">The duplicated rows are </w:t>
      </w:r>
      <w:r>
        <w:rPr>
          <w:b/>
        </w:rPr>
        <w:t>exact duplicates, not repeat visits</w:t>
      </w:r>
      <w:r>
        <w:t xml:space="preserve">: across 357 multiply listed participants the within-ID standard deviation of the endpoint is exactly </w:t>
      </w:r>
      <w:r>
        <w:rPr>
          <w:b/>
        </w:rPr>
        <w:t>0.0</w:t>
      </w:r>
      <w:r>
        <w:t xml:space="preserve">, and species abundances are identical within ID in </w:t>
      </w:r>
      <w:r>
        <w:rPr>
          <w:b/>
        </w:rPr>
        <w:t>400 of 400</w:t>
      </w:r>
      <w:r>
        <w:t xml:space="preserve"> checked. The duplication is structural — MetaCardis lists each participant once per overlapping cohort group, and the groups nest exactly (IHD372 = CIHD158 + ACS112 + HF102 = 158 + 112 + 102).</w:t>
      </w:r>
    </w:p>
    <w:p w14:paraId="4B62E95B" w14:textId="77777777" w:rsidR="00037981" w:rsidRDefault="00000000">
      <w:pPr>
        <w:jc w:val="both"/>
      </w:pPr>
      <w:r>
        <w:t xml:space="preserve">Consequence: there are no repeated measures to model. The analysis is ordinary least squares on </w:t>
      </w:r>
      <w:r>
        <w:rPr>
          <w:b/>
        </w:rPr>
        <w:t>one row per participant</w:t>
      </w:r>
      <w:r>
        <w:t xml:space="preserve">, which is what the discovery cohort used — so the replication matches </w:t>
      </w:r>
      <w:r>
        <w:lastRenderedPageBreak/>
        <w:t xml:space="preserve">the discovery specification </w:t>
      </w:r>
      <w:r>
        <w:rPr>
          <w:i/>
        </w:rPr>
        <w:t>more</w:t>
      </w:r>
      <w:r>
        <w:t xml:space="preserve"> closely than the pre-registration anticipated, not less. The amendment was made after inspecting only the table's row structure; no exposure–outcome model had been fitted at that point.</w:t>
      </w:r>
    </w:p>
    <w:p w14:paraId="2C9F31A2" w14:textId="77777777" w:rsidR="00037981" w:rsidRDefault="00000000">
      <w:pPr>
        <w:pStyle w:val="31"/>
        <w:spacing w:before="240" w:after="120"/>
      </w:pPr>
      <w:r>
        <w:rPr>
          <w:rFonts w:ascii="Times New Roman" w:hAnsi="Times New Roman"/>
          <w:color w:val="000000"/>
        </w:rPr>
        <w:t>Execution notes and deviations</w:t>
      </w:r>
    </w:p>
    <w:p w14:paraId="723FEB11" w14:textId="77777777" w:rsidR="00037981" w:rsidRDefault="00000000">
      <w:pPr>
        <w:pStyle w:val="a0"/>
      </w:pPr>
      <w:r>
        <w:rPr>
          <w:b/>
        </w:rPr>
        <w:t>Sheets are not row-aligned by ID.</w:t>
      </w:r>
      <w:r>
        <w:t xml:space="preserve"> ST9/ST10/ST12/ST14 must be joined on the composite key (ID, Status); joining on ID alone produces a 14,389-row many-to-many explosion. An assertion now guards this.</w:t>
      </w:r>
    </w:p>
    <w:p w14:paraId="1929D580" w14:textId="77777777" w:rsidR="00037981" w:rsidRDefault="00000000">
      <w:pPr>
        <w:pStyle w:val="a0"/>
      </w:pPr>
      <w:r>
        <w:rPr>
          <w:b/>
        </w:rPr>
        <w:t>`Statin` is recorded as "Yes"/"No" text</w:t>
      </w:r>
      <w:r>
        <w:t>, not 0/1, and silently becomes all-missing under numeric coercion — which zeroed the complete-case set on the first attempt.</w:t>
      </w:r>
    </w:p>
    <w:p w14:paraId="74F05FBF" w14:textId="77777777" w:rsidR="00037981" w:rsidRDefault="00000000">
      <w:pPr>
        <w:pStyle w:val="a0"/>
      </w:pPr>
      <w:r>
        <w:rPr>
          <w:b/>
        </w:rPr>
        <w:t>LVEF is recorded for 1,116 of 1,882 table rows (59.3%), i.e. missing for 40.7%.</w:t>
      </w:r>
      <w:r>
        <w:t xml:space="preserve"> At participant level the cost is larger: requiring LVEF drops the complete-case set from 972 to 544, so 428 participants (44% of 972) are lost. It is the pre-specified substitute for NYHA, so the primary model keeps it and pays that sample size; the 4-covariate model is reported alongside to show the full-n answer.</w:t>
      </w:r>
    </w:p>
    <w:p w14:paraId="449610D5" w14:textId="77777777" w:rsidR="00037981" w:rsidRDefault="00000000">
      <w:pPr>
        <w:pStyle w:val="a0"/>
      </w:pPr>
      <w:r>
        <w:rPr>
          <w:b/>
        </w:rPr>
        <w:t>Exposure</w:t>
      </w:r>
      <w:r>
        <w:t>: 30 genus-</w:t>
      </w:r>
      <w:r>
        <w:rPr>
          <w:i/>
        </w:rPr>
        <w:t>Bacteroides</w:t>
      </w:r>
      <w:r>
        <w:t xml:space="preserve"> species features of 729 species, CLR computed across the full species table with zeros replaced by half the minimum positive value — the discovery convention. Per pre-registration §2 the feature set was taken as whatever the cohort's taxonomy yields, not matched to discovery's 17.</w:t>
      </w:r>
    </w:p>
    <w:p w14:paraId="4C108B54" w14:textId="77777777" w:rsidR="00037981" w:rsidRDefault="00000000">
      <w:pPr>
        <w:pStyle w:val="a0"/>
      </w:pPr>
      <w:r>
        <w:rPr>
          <w:b/>
        </w:rPr>
        <w:t>Declared deviation</w:t>
      </w:r>
      <w:r>
        <w:t>: permutation and bootstrap were run on the participant-level OLS. With no repeated measures this is now the primary model itself, so the deviation noted in the script is moot.</w:t>
      </w:r>
    </w:p>
    <w:p w14:paraId="31BDE816" w14:textId="77777777" w:rsidR="00037981" w:rsidRDefault="00000000">
      <w:pPr>
        <w:pStyle w:val="a0"/>
      </w:pPr>
      <w:r>
        <w:t xml:space="preserve">The HF stratum had to be selected </w:t>
      </w:r>
      <w:r>
        <w:rPr>
          <w:b/>
        </w:rPr>
        <w:t>before</w:t>
      </w:r>
      <w:r>
        <w:t xml:space="preserve"> de-duplication: de-duplication keeps the first table row, which for most HF participants is their parent IHD372 row.</w:t>
      </w:r>
    </w:p>
    <w:p w14:paraId="5D7D7446" w14:textId="77777777" w:rsidR="00037981" w:rsidRDefault="00000000">
      <w:pPr>
        <w:pStyle w:val="31"/>
        <w:spacing w:before="240" w:after="120"/>
      </w:pPr>
      <w:r>
        <w:rPr>
          <w:rFonts w:ascii="Times New Roman" w:hAnsi="Times New Roman"/>
          <w:color w:val="000000"/>
        </w:rPr>
        <w:t>What this means for the project</w:t>
      </w:r>
    </w:p>
    <w:p w14:paraId="30E28AEE" w14:textId="77777777" w:rsidR="00037981" w:rsidRDefault="00000000">
      <w:pPr>
        <w:jc w:val="both"/>
      </w:pPr>
      <w:r>
        <w:t>The discovery finding does not generalise to a large, well-characterised European cardiometabolic cohort — including within its heart-failure stratum. Three explanations are live and this analysis cannot separate them:</w:t>
      </w:r>
    </w:p>
    <w:p w14:paraId="7DF89CB5" w14:textId="77777777" w:rsidR="00037981" w:rsidRDefault="00000000">
      <w:pPr>
        <w:pStyle w:val="a"/>
      </w:pPr>
      <w:r>
        <w:rPr>
          <w:b/>
        </w:rPr>
        <w:t>The discovery result is a false positive.</w:t>
      </w:r>
      <w:r>
        <w:t xml:space="preserve"> n = 58, post hoc endpoint selection, no taxon–lipid pair surviving FDR across 756 tests. The pre-registration was written precisely because this was the leading hypothesis.</w:t>
      </w:r>
    </w:p>
    <w:p w14:paraId="45A0BA33" w14:textId="77777777" w:rsidR="00037981" w:rsidRDefault="00000000">
      <w:pPr>
        <w:pStyle w:val="a"/>
      </w:pPr>
      <w:r>
        <w:rPr>
          <w:b/>
        </w:rPr>
        <w:lastRenderedPageBreak/>
        <w:t>Platform.</w:t>
      </w:r>
      <w:r>
        <w:t xml:space="preserve"> Discovery measured absolute concentrations (nmol/g); MetaCardis reports Metabolon relative abundance. Sign and standardised effect should still transfer, and they do not.</w:t>
      </w:r>
    </w:p>
    <w:p w14:paraId="4214067A" w14:textId="77777777" w:rsidR="00037981" w:rsidRDefault="00000000">
      <w:pPr>
        <w:pStyle w:val="a"/>
      </w:pPr>
      <w:r>
        <w:rPr>
          <w:b/>
        </w:rPr>
        <w:t>Population.</w:t>
      </w:r>
      <w:r>
        <w:t xml:space="preserve"> Discovery was 58 patients with chronic </w:t>
      </w:r>
      <w:r>
        <w:rPr>
          <w:i/>
        </w:rPr>
        <w:t>systolic</w:t>
      </w:r>
      <w:r>
        <w:t xml:space="preserve"> HF; MetaCardis is predominantly cardiometabolic with an HF stratum of 102. But the HF stratum is negative too, which weakens this explanation.</w:t>
      </w:r>
    </w:p>
    <w:p w14:paraId="154948E5" w14:textId="77777777" w:rsidR="00037981" w:rsidRDefault="00000000">
      <w:pPr>
        <w:jc w:val="both"/>
      </w:pPr>
      <w:r>
        <w:t>Under the pre-registration (§7) this result is reported as the headline, not as a limitation. It should change the paper.</w:t>
      </w:r>
    </w:p>
    <w:p w14:paraId="377E331D" w14:textId="77777777" w:rsidR="00037981" w:rsidRDefault="00037981">
      <w:pPr>
        <w:pBdr>
          <w:bottom w:val="single" w:sz="6" w:space="0" w:color="999999"/>
        </w:pBdr>
      </w:pPr>
    </w:p>
    <w:p w14:paraId="7F7BA2AB" w14:textId="77777777" w:rsidR="00037981" w:rsidRDefault="00000000">
      <w:pPr>
        <w:pStyle w:val="21"/>
        <w:spacing w:before="240" w:after="120"/>
      </w:pPr>
      <w:r>
        <w:rPr>
          <w:rFonts w:ascii="Times New Roman" w:hAnsi="Times New Roman"/>
          <w:color w:val="000000"/>
        </w:rPr>
        <w:t>Supplementary Note 8. Replication validity: positive control and detectability</w:t>
      </w:r>
    </w:p>
    <w:p w14:paraId="451C70BC" w14:textId="77777777" w:rsidR="00037981" w:rsidRDefault="00000000">
      <w:pPr>
        <w:jc w:val="both"/>
      </w:pPr>
      <w:r>
        <w:rPr>
          <w:b/>
        </w:rPr>
        <w:t>Status: both checks passed. The null is evidence of absence, not absence of evidence.</w:t>
      </w:r>
    </w:p>
    <w:p w14:paraId="6F1DA473" w14:textId="77777777" w:rsidR="00037981" w:rsidRDefault="00000000">
      <w:pPr>
        <w:jc w:val="both"/>
      </w:pPr>
      <w:r>
        <w:t xml:space="preserve">A failed replication is only worth publishing if the replication attempt could have succeeded. Two checks were run after the primary result was fixed, using the </w:t>
      </w:r>
      <w:r>
        <w:rPr>
          <w:i/>
        </w:rPr>
        <w:t>same</w:t>
      </w:r>
      <w:r>
        <w:t xml:space="preserve"> extraction, the same composite-key join, the same covariate set and the same model structure as the primary analysis. Neither touches the study endpoint, so neither is a test of the pre-registered hypothesis; they are methods validation.</w:t>
      </w:r>
    </w:p>
    <w:p w14:paraId="5F3ACCE8" w14:textId="77777777" w:rsidR="00037981" w:rsidRDefault="00000000">
      <w:pPr>
        <w:pStyle w:val="31"/>
        <w:spacing w:before="240" w:after="120"/>
      </w:pPr>
      <w:r>
        <w:rPr>
          <w:rFonts w:ascii="Times New Roman" w:hAnsi="Times New Roman"/>
          <w:color w:val="000000"/>
        </w:rPr>
        <w:t>1. Positive control — can the pipeline detect a known true effect?</w:t>
      </w:r>
    </w:p>
    <w:p w14:paraId="6DD3C74E" w14:textId="77777777" w:rsidR="00037981" w:rsidRDefault="00000000">
      <w:pPr>
        <w:jc w:val="both"/>
      </w:pPr>
      <w:r>
        <w:t>Statin therapy lowers circulating cholesterol. If the pipeline recovers that from these tables, its joins, its de-duplication and its models are sound.</w:t>
      </w:r>
    </w:p>
    <w:tbl>
      <w:tblPr>
        <w:tblStyle w:val="af9"/>
        <w:tblW w:w="0" w:type="auto"/>
        <w:jc w:val="center"/>
        <w:tblLook w:val="04A0" w:firstRow="1" w:lastRow="0" w:firstColumn="1" w:lastColumn="0" w:noHBand="0" w:noVBand="1"/>
      </w:tblPr>
      <w:tblGrid>
        <w:gridCol w:w="1234"/>
        <w:gridCol w:w="1234"/>
        <w:gridCol w:w="1234"/>
        <w:gridCol w:w="1234"/>
        <w:gridCol w:w="1234"/>
        <w:gridCol w:w="1234"/>
        <w:gridCol w:w="1234"/>
      </w:tblGrid>
      <w:tr w:rsidR="00037981" w14:paraId="1971B98F" w14:textId="77777777">
        <w:trPr>
          <w:jc w:val="center"/>
        </w:trPr>
        <w:tc>
          <w:tcPr>
            <w:tcW w:w="1234" w:type="dxa"/>
          </w:tcPr>
          <w:p w14:paraId="7091F22B" w14:textId="77777777" w:rsidR="00037981" w:rsidRDefault="00000000">
            <w:pPr>
              <w:spacing w:after="40" w:line="240" w:lineRule="auto"/>
            </w:pPr>
            <w:r>
              <w:rPr>
                <w:b/>
                <w:sz w:val="18"/>
              </w:rPr>
              <w:t>Control endpoint</w:t>
            </w:r>
          </w:p>
        </w:tc>
        <w:tc>
          <w:tcPr>
            <w:tcW w:w="1234" w:type="dxa"/>
          </w:tcPr>
          <w:p w14:paraId="2A045F1F" w14:textId="77777777" w:rsidR="00037981" w:rsidRDefault="00000000">
            <w:pPr>
              <w:spacing w:after="40" w:line="240" w:lineRule="auto"/>
            </w:pPr>
            <w:r>
              <w:rPr>
                <w:b/>
                <w:sz w:val="18"/>
              </w:rPr>
              <w:t>n</w:t>
            </w:r>
          </w:p>
        </w:tc>
        <w:tc>
          <w:tcPr>
            <w:tcW w:w="1234" w:type="dxa"/>
          </w:tcPr>
          <w:p w14:paraId="04C1F9B6" w14:textId="77777777" w:rsidR="00037981" w:rsidRDefault="00000000">
            <w:pPr>
              <w:spacing w:after="40" w:line="240" w:lineRule="auto"/>
            </w:pPr>
            <w:r>
              <w:rPr>
                <w:b/>
                <w:sz w:val="18"/>
              </w:rPr>
              <w:t>beta</w:t>
            </w:r>
          </w:p>
        </w:tc>
        <w:tc>
          <w:tcPr>
            <w:tcW w:w="1234" w:type="dxa"/>
          </w:tcPr>
          <w:p w14:paraId="20957F9B" w14:textId="77777777" w:rsidR="00037981" w:rsidRDefault="00000000">
            <w:pPr>
              <w:spacing w:after="40" w:line="240" w:lineRule="auto"/>
            </w:pPr>
            <w:r>
              <w:rPr>
                <w:b/>
                <w:sz w:val="18"/>
              </w:rPr>
              <w:t>SE</w:t>
            </w:r>
          </w:p>
        </w:tc>
        <w:tc>
          <w:tcPr>
            <w:tcW w:w="1234" w:type="dxa"/>
          </w:tcPr>
          <w:p w14:paraId="224D1189" w14:textId="77777777" w:rsidR="00037981" w:rsidRDefault="00000000">
            <w:pPr>
              <w:spacing w:after="40" w:line="240" w:lineRule="auto"/>
            </w:pPr>
            <w:r>
              <w:rPr>
                <w:b/>
                <w:sz w:val="18"/>
              </w:rPr>
              <w:t>P</w:t>
            </w:r>
          </w:p>
        </w:tc>
        <w:tc>
          <w:tcPr>
            <w:tcW w:w="1234" w:type="dxa"/>
          </w:tcPr>
          <w:p w14:paraId="01A67F67" w14:textId="77777777" w:rsidR="00037981" w:rsidRDefault="00000000">
            <w:pPr>
              <w:spacing w:after="40" w:line="240" w:lineRule="auto"/>
            </w:pPr>
            <w:r>
              <w:rPr>
                <w:b/>
                <w:sz w:val="18"/>
              </w:rPr>
              <w:t>Expected direction</w:t>
            </w:r>
          </w:p>
        </w:tc>
        <w:tc>
          <w:tcPr>
            <w:tcW w:w="1234" w:type="dxa"/>
          </w:tcPr>
          <w:p w14:paraId="6B724298" w14:textId="77777777" w:rsidR="00037981" w:rsidRDefault="00000000">
            <w:pPr>
              <w:spacing w:after="40" w:line="240" w:lineRule="auto"/>
            </w:pPr>
            <w:r>
              <w:rPr>
                <w:b/>
                <w:sz w:val="18"/>
              </w:rPr>
              <w:t>Recovered?</w:t>
            </w:r>
          </w:p>
        </w:tc>
      </w:tr>
      <w:tr w:rsidR="00037981" w14:paraId="6C492619" w14:textId="77777777">
        <w:trPr>
          <w:jc w:val="center"/>
        </w:trPr>
        <w:tc>
          <w:tcPr>
            <w:tcW w:w="1234" w:type="dxa"/>
          </w:tcPr>
          <w:p w14:paraId="3AE85706" w14:textId="77777777" w:rsidR="00037981" w:rsidRDefault="00000000">
            <w:pPr>
              <w:spacing w:after="40" w:line="240" w:lineRule="auto"/>
            </w:pPr>
            <w:r>
              <w:rPr>
                <w:sz w:val="18"/>
              </w:rPr>
              <w:t>cholesterol</w:t>
            </w:r>
          </w:p>
        </w:tc>
        <w:tc>
          <w:tcPr>
            <w:tcW w:w="1234" w:type="dxa"/>
          </w:tcPr>
          <w:p w14:paraId="7E5F643B" w14:textId="77777777" w:rsidR="00037981" w:rsidRDefault="00000000">
            <w:pPr>
              <w:spacing w:after="40" w:line="240" w:lineRule="auto"/>
            </w:pPr>
            <w:r>
              <w:rPr>
                <w:sz w:val="18"/>
              </w:rPr>
              <w:t>1018</w:t>
            </w:r>
          </w:p>
        </w:tc>
        <w:tc>
          <w:tcPr>
            <w:tcW w:w="1234" w:type="dxa"/>
          </w:tcPr>
          <w:p w14:paraId="2C953095" w14:textId="77777777" w:rsidR="00037981" w:rsidRDefault="00000000">
            <w:pPr>
              <w:spacing w:after="40" w:line="240" w:lineRule="auto"/>
            </w:pPr>
            <w:r>
              <w:rPr>
                <w:b/>
                <w:sz w:val="18"/>
              </w:rPr>
              <w:t>-0.2851</w:t>
            </w:r>
          </w:p>
        </w:tc>
        <w:tc>
          <w:tcPr>
            <w:tcW w:w="1234" w:type="dxa"/>
          </w:tcPr>
          <w:p w14:paraId="7275956C" w14:textId="77777777" w:rsidR="00037981" w:rsidRDefault="00000000">
            <w:pPr>
              <w:spacing w:after="40" w:line="240" w:lineRule="auto"/>
            </w:pPr>
            <w:r>
              <w:rPr>
                <w:sz w:val="18"/>
              </w:rPr>
              <w:t>0.0191</w:t>
            </w:r>
          </w:p>
        </w:tc>
        <w:tc>
          <w:tcPr>
            <w:tcW w:w="1234" w:type="dxa"/>
          </w:tcPr>
          <w:p w14:paraId="23F25383" w14:textId="77777777" w:rsidR="00037981" w:rsidRDefault="00000000">
            <w:pPr>
              <w:spacing w:after="40" w:line="240" w:lineRule="auto"/>
            </w:pPr>
            <w:r>
              <w:rPr>
                <w:b/>
                <w:sz w:val="18"/>
              </w:rPr>
              <w:t>7.0e-46</w:t>
            </w:r>
          </w:p>
        </w:tc>
        <w:tc>
          <w:tcPr>
            <w:tcW w:w="1234" w:type="dxa"/>
          </w:tcPr>
          <w:p w14:paraId="227A850F" w14:textId="77777777" w:rsidR="00037981" w:rsidRDefault="00000000">
            <w:pPr>
              <w:spacing w:after="40" w:line="240" w:lineRule="auto"/>
            </w:pPr>
            <w:r>
              <w:rPr>
                <w:sz w:val="18"/>
              </w:rPr>
              <w:t>down</w:t>
            </w:r>
          </w:p>
        </w:tc>
        <w:tc>
          <w:tcPr>
            <w:tcW w:w="1234" w:type="dxa"/>
          </w:tcPr>
          <w:p w14:paraId="514F5A54" w14:textId="77777777" w:rsidR="00037981" w:rsidRDefault="00000000">
            <w:pPr>
              <w:spacing w:after="40" w:line="240" w:lineRule="auto"/>
            </w:pPr>
            <w:r>
              <w:rPr>
                <w:sz w:val="18"/>
              </w:rPr>
              <w:t>yes</w:t>
            </w:r>
          </w:p>
        </w:tc>
      </w:tr>
      <w:tr w:rsidR="00037981" w14:paraId="75D0E96A" w14:textId="77777777">
        <w:trPr>
          <w:jc w:val="center"/>
        </w:trPr>
        <w:tc>
          <w:tcPr>
            <w:tcW w:w="1234" w:type="dxa"/>
          </w:tcPr>
          <w:p w14:paraId="4D478843" w14:textId="77777777" w:rsidR="00037981" w:rsidRDefault="00000000">
            <w:pPr>
              <w:spacing w:after="40" w:line="240" w:lineRule="auto"/>
            </w:pPr>
            <w:r>
              <w:rPr>
                <w:sz w:val="18"/>
              </w:rPr>
              <w:t>cholesterol sulfate</w:t>
            </w:r>
          </w:p>
        </w:tc>
        <w:tc>
          <w:tcPr>
            <w:tcW w:w="1234" w:type="dxa"/>
          </w:tcPr>
          <w:p w14:paraId="4C4363DB" w14:textId="77777777" w:rsidR="00037981" w:rsidRDefault="00000000">
            <w:pPr>
              <w:spacing w:after="40" w:line="240" w:lineRule="auto"/>
            </w:pPr>
            <w:r>
              <w:rPr>
                <w:sz w:val="18"/>
              </w:rPr>
              <w:t>1018</w:t>
            </w:r>
          </w:p>
        </w:tc>
        <w:tc>
          <w:tcPr>
            <w:tcW w:w="1234" w:type="dxa"/>
          </w:tcPr>
          <w:p w14:paraId="505AA984" w14:textId="77777777" w:rsidR="00037981" w:rsidRDefault="00000000">
            <w:pPr>
              <w:spacing w:after="40" w:line="240" w:lineRule="auto"/>
            </w:pPr>
            <w:r>
              <w:rPr>
                <w:b/>
                <w:sz w:val="18"/>
              </w:rPr>
              <w:t>-0.2415</w:t>
            </w:r>
          </w:p>
        </w:tc>
        <w:tc>
          <w:tcPr>
            <w:tcW w:w="1234" w:type="dxa"/>
          </w:tcPr>
          <w:p w14:paraId="41260871" w14:textId="77777777" w:rsidR="00037981" w:rsidRDefault="00000000">
            <w:pPr>
              <w:spacing w:after="40" w:line="240" w:lineRule="auto"/>
            </w:pPr>
            <w:r>
              <w:rPr>
                <w:sz w:val="18"/>
              </w:rPr>
              <w:t>0.0207</w:t>
            </w:r>
          </w:p>
        </w:tc>
        <w:tc>
          <w:tcPr>
            <w:tcW w:w="1234" w:type="dxa"/>
          </w:tcPr>
          <w:p w14:paraId="6B1EA892" w14:textId="77777777" w:rsidR="00037981" w:rsidRDefault="00000000">
            <w:pPr>
              <w:spacing w:after="40" w:line="240" w:lineRule="auto"/>
            </w:pPr>
            <w:r>
              <w:rPr>
                <w:b/>
                <w:sz w:val="18"/>
              </w:rPr>
              <w:t>1.2e-29</w:t>
            </w:r>
          </w:p>
        </w:tc>
        <w:tc>
          <w:tcPr>
            <w:tcW w:w="1234" w:type="dxa"/>
          </w:tcPr>
          <w:p w14:paraId="1235DADC" w14:textId="77777777" w:rsidR="00037981" w:rsidRDefault="00000000">
            <w:pPr>
              <w:spacing w:after="40" w:line="240" w:lineRule="auto"/>
            </w:pPr>
            <w:r>
              <w:rPr>
                <w:sz w:val="18"/>
              </w:rPr>
              <w:t>down</w:t>
            </w:r>
          </w:p>
        </w:tc>
        <w:tc>
          <w:tcPr>
            <w:tcW w:w="1234" w:type="dxa"/>
          </w:tcPr>
          <w:p w14:paraId="3719DA1A" w14:textId="77777777" w:rsidR="00037981" w:rsidRDefault="00000000">
            <w:pPr>
              <w:spacing w:after="40" w:line="240" w:lineRule="auto"/>
            </w:pPr>
            <w:r>
              <w:rPr>
                <w:sz w:val="18"/>
              </w:rPr>
              <w:t>yes</w:t>
            </w:r>
          </w:p>
        </w:tc>
      </w:tr>
      <w:tr w:rsidR="00037981" w14:paraId="08639AB9" w14:textId="77777777">
        <w:trPr>
          <w:jc w:val="center"/>
        </w:trPr>
        <w:tc>
          <w:tcPr>
            <w:tcW w:w="1234" w:type="dxa"/>
          </w:tcPr>
          <w:p w14:paraId="6A977CC5" w14:textId="77777777" w:rsidR="00037981" w:rsidRDefault="00000000">
            <w:pPr>
              <w:spacing w:after="40" w:line="240" w:lineRule="auto"/>
            </w:pPr>
            <w:r>
              <w:rPr>
                <w:sz w:val="18"/>
              </w:rPr>
              <w:t>campesterol</w:t>
            </w:r>
          </w:p>
        </w:tc>
        <w:tc>
          <w:tcPr>
            <w:tcW w:w="1234" w:type="dxa"/>
          </w:tcPr>
          <w:p w14:paraId="509A75BF" w14:textId="77777777" w:rsidR="00037981" w:rsidRDefault="00000000">
            <w:pPr>
              <w:spacing w:after="40" w:line="240" w:lineRule="auto"/>
            </w:pPr>
            <w:r>
              <w:rPr>
                <w:sz w:val="18"/>
              </w:rPr>
              <w:t>1018</w:t>
            </w:r>
          </w:p>
        </w:tc>
        <w:tc>
          <w:tcPr>
            <w:tcW w:w="1234" w:type="dxa"/>
          </w:tcPr>
          <w:p w14:paraId="50A3F49B" w14:textId="77777777" w:rsidR="00037981" w:rsidRDefault="00000000">
            <w:pPr>
              <w:spacing w:after="40" w:line="240" w:lineRule="auto"/>
            </w:pPr>
            <w:r>
              <w:rPr>
                <w:b/>
                <w:sz w:val="18"/>
              </w:rPr>
              <w:t>+0.2921</w:t>
            </w:r>
          </w:p>
        </w:tc>
        <w:tc>
          <w:tcPr>
            <w:tcW w:w="1234" w:type="dxa"/>
          </w:tcPr>
          <w:p w14:paraId="3CEBBE71" w14:textId="77777777" w:rsidR="00037981" w:rsidRDefault="00000000">
            <w:pPr>
              <w:spacing w:after="40" w:line="240" w:lineRule="auto"/>
            </w:pPr>
            <w:r>
              <w:rPr>
                <w:sz w:val="18"/>
              </w:rPr>
              <w:t>0.1271</w:t>
            </w:r>
          </w:p>
        </w:tc>
        <w:tc>
          <w:tcPr>
            <w:tcW w:w="1234" w:type="dxa"/>
          </w:tcPr>
          <w:p w14:paraId="3AF5D09D" w14:textId="77777777" w:rsidR="00037981" w:rsidRDefault="00000000">
            <w:pPr>
              <w:spacing w:after="40" w:line="240" w:lineRule="auto"/>
            </w:pPr>
            <w:r>
              <w:rPr>
                <w:b/>
                <w:sz w:val="18"/>
              </w:rPr>
              <w:t>0.022</w:t>
            </w:r>
          </w:p>
        </w:tc>
        <w:tc>
          <w:tcPr>
            <w:tcW w:w="1234" w:type="dxa"/>
          </w:tcPr>
          <w:p w14:paraId="0350EF88" w14:textId="77777777" w:rsidR="00037981" w:rsidRDefault="00000000">
            <w:pPr>
              <w:spacing w:after="40" w:line="240" w:lineRule="auto"/>
            </w:pPr>
            <w:r>
              <w:rPr>
                <w:sz w:val="18"/>
              </w:rPr>
              <w:t>up (plant-sterol absorption marker rises on statins)</w:t>
            </w:r>
          </w:p>
        </w:tc>
        <w:tc>
          <w:tcPr>
            <w:tcW w:w="1234" w:type="dxa"/>
          </w:tcPr>
          <w:p w14:paraId="5301D560" w14:textId="77777777" w:rsidR="00037981" w:rsidRDefault="00000000">
            <w:pPr>
              <w:spacing w:after="40" w:line="240" w:lineRule="auto"/>
            </w:pPr>
            <w:r>
              <w:rPr>
                <w:sz w:val="18"/>
              </w:rPr>
              <w:t>yes</w:t>
            </w:r>
          </w:p>
        </w:tc>
      </w:tr>
      <w:tr w:rsidR="00037981" w14:paraId="7B4BAB5C" w14:textId="77777777">
        <w:trPr>
          <w:jc w:val="center"/>
        </w:trPr>
        <w:tc>
          <w:tcPr>
            <w:tcW w:w="1234" w:type="dxa"/>
          </w:tcPr>
          <w:p w14:paraId="70336353" w14:textId="77777777" w:rsidR="00037981" w:rsidRDefault="00000000">
            <w:pPr>
              <w:spacing w:after="40" w:line="240" w:lineRule="auto"/>
            </w:pPr>
            <w:r>
              <w:rPr>
                <w:sz w:val="18"/>
              </w:rPr>
              <w:t>beta-sitosterol</w:t>
            </w:r>
          </w:p>
        </w:tc>
        <w:tc>
          <w:tcPr>
            <w:tcW w:w="1234" w:type="dxa"/>
          </w:tcPr>
          <w:p w14:paraId="7E766939" w14:textId="77777777" w:rsidR="00037981" w:rsidRDefault="00000000">
            <w:pPr>
              <w:spacing w:after="40" w:line="240" w:lineRule="auto"/>
            </w:pPr>
            <w:r>
              <w:rPr>
                <w:sz w:val="18"/>
              </w:rPr>
              <w:t>872</w:t>
            </w:r>
          </w:p>
        </w:tc>
        <w:tc>
          <w:tcPr>
            <w:tcW w:w="1234" w:type="dxa"/>
          </w:tcPr>
          <w:p w14:paraId="1FAFBC80" w14:textId="77777777" w:rsidR="00037981" w:rsidRDefault="00000000">
            <w:pPr>
              <w:spacing w:after="40" w:line="240" w:lineRule="auto"/>
            </w:pPr>
            <w:r>
              <w:rPr>
                <w:sz w:val="18"/>
              </w:rPr>
              <w:t>+0.0026</w:t>
            </w:r>
          </w:p>
        </w:tc>
        <w:tc>
          <w:tcPr>
            <w:tcW w:w="1234" w:type="dxa"/>
          </w:tcPr>
          <w:p w14:paraId="33DF39AA" w14:textId="77777777" w:rsidR="00037981" w:rsidRDefault="00000000">
            <w:pPr>
              <w:spacing w:after="40" w:line="240" w:lineRule="auto"/>
            </w:pPr>
            <w:r>
              <w:rPr>
                <w:sz w:val="18"/>
              </w:rPr>
              <w:t>0.0119</w:t>
            </w:r>
          </w:p>
        </w:tc>
        <w:tc>
          <w:tcPr>
            <w:tcW w:w="1234" w:type="dxa"/>
          </w:tcPr>
          <w:p w14:paraId="15B40D52" w14:textId="77777777" w:rsidR="00037981" w:rsidRDefault="00000000">
            <w:pPr>
              <w:spacing w:after="40" w:line="240" w:lineRule="auto"/>
            </w:pPr>
            <w:r>
              <w:rPr>
                <w:sz w:val="18"/>
              </w:rPr>
              <w:t>0.824</w:t>
            </w:r>
          </w:p>
        </w:tc>
        <w:tc>
          <w:tcPr>
            <w:tcW w:w="1234" w:type="dxa"/>
          </w:tcPr>
          <w:p w14:paraId="376FBF1B" w14:textId="77777777" w:rsidR="00037981" w:rsidRDefault="00000000">
            <w:pPr>
              <w:spacing w:after="40" w:line="240" w:lineRule="auto"/>
            </w:pPr>
            <w:r>
              <w:rPr>
                <w:sz w:val="18"/>
              </w:rPr>
              <w:t>up (weaker marker)</w:t>
            </w:r>
          </w:p>
        </w:tc>
        <w:tc>
          <w:tcPr>
            <w:tcW w:w="1234" w:type="dxa"/>
          </w:tcPr>
          <w:p w14:paraId="5503511D" w14:textId="77777777" w:rsidR="00037981" w:rsidRDefault="00000000">
            <w:pPr>
              <w:spacing w:after="40" w:line="240" w:lineRule="auto"/>
            </w:pPr>
            <w:r>
              <w:rPr>
                <w:sz w:val="18"/>
              </w:rPr>
              <w:t>no</w:t>
            </w:r>
          </w:p>
        </w:tc>
      </w:tr>
    </w:tbl>
    <w:p w14:paraId="20F9E2DB" w14:textId="77777777" w:rsidR="00037981" w:rsidRDefault="00037981"/>
    <w:p w14:paraId="2D80BDE8" w14:textId="77777777" w:rsidR="00037981" w:rsidRDefault="00000000">
      <w:pPr>
        <w:jc w:val="both"/>
      </w:pPr>
      <w:r>
        <w:t>Three of four sterol controls recover the textbook direction, two at P &lt; 1e-28. The pipeline that returned P = 0.114 for the study exposure returns P = 7e-46 for a true effect on the same rows. The null is not an artefact of a broken join or a mis-specified model.</w:t>
      </w:r>
    </w:p>
    <w:p w14:paraId="3F0238A9" w14:textId="77777777" w:rsidR="00037981" w:rsidRDefault="00000000">
      <w:pPr>
        <w:jc w:val="both"/>
      </w:pPr>
      <w:r>
        <w:lastRenderedPageBreak/>
        <w:t>This is the same standard already applied to the glycosphingolipid class contrast in the original work, where a null was only accepted after the identical machinery returned P = 0.0005 on a known-positive endpoint.</w:t>
      </w:r>
    </w:p>
    <w:p w14:paraId="53447AE5" w14:textId="77777777" w:rsidR="00037981" w:rsidRDefault="00000000">
      <w:pPr>
        <w:pStyle w:val="31"/>
        <w:spacing w:before="240" w:after="120"/>
      </w:pPr>
      <w:r>
        <w:rPr>
          <w:rFonts w:ascii="Times New Roman" w:hAnsi="Times New Roman"/>
          <w:color w:val="000000"/>
        </w:rPr>
        <w:t xml:space="preserve">2. Minimum detectable effect — was the replication powered for </w:t>
      </w:r>
      <w:r>
        <w:rPr>
          <w:rFonts w:ascii="Times New Roman" w:hAnsi="Times New Roman"/>
          <w:i/>
          <w:color w:val="000000"/>
        </w:rPr>
        <w:t>this</w:t>
      </w:r>
      <w:r>
        <w:rPr>
          <w:rFonts w:ascii="Times New Roman" w:hAnsi="Times New Roman"/>
          <w:color w:val="000000"/>
        </w:rPr>
        <w:t xml:space="preserve"> effect?</w:t>
      </w:r>
    </w:p>
    <w:p w14:paraId="052B7252" w14:textId="77777777" w:rsidR="00037981" w:rsidRDefault="00000000">
      <w:pPr>
        <w:jc w:val="both"/>
      </w:pPr>
      <w:r>
        <w:t>The two cohorts measure on different scales, so the comparison is made after standardising (beta x SD(exposure) / SD(endpoint)).</w:t>
      </w:r>
    </w:p>
    <w:tbl>
      <w:tblPr>
        <w:tblStyle w:val="af9"/>
        <w:tblW w:w="0" w:type="auto"/>
        <w:jc w:val="center"/>
        <w:tblLook w:val="04A0" w:firstRow="1" w:lastRow="0" w:firstColumn="1" w:lastColumn="0" w:noHBand="0" w:noVBand="1"/>
      </w:tblPr>
      <w:tblGrid>
        <w:gridCol w:w="2160"/>
        <w:gridCol w:w="2160"/>
        <w:gridCol w:w="2160"/>
        <w:gridCol w:w="2160"/>
      </w:tblGrid>
      <w:tr w:rsidR="00037981" w14:paraId="054E09BA" w14:textId="77777777">
        <w:trPr>
          <w:jc w:val="center"/>
        </w:trPr>
        <w:tc>
          <w:tcPr>
            <w:tcW w:w="2160" w:type="dxa"/>
          </w:tcPr>
          <w:p w14:paraId="6ECD6012" w14:textId="77777777" w:rsidR="00037981" w:rsidRDefault="00037981">
            <w:pPr>
              <w:spacing w:after="40" w:line="240" w:lineRule="auto"/>
            </w:pPr>
          </w:p>
        </w:tc>
        <w:tc>
          <w:tcPr>
            <w:tcW w:w="2160" w:type="dxa"/>
          </w:tcPr>
          <w:p w14:paraId="57EB79CA" w14:textId="77777777" w:rsidR="00037981" w:rsidRDefault="00000000">
            <w:pPr>
              <w:spacing w:after="40" w:line="240" w:lineRule="auto"/>
            </w:pPr>
            <w:r>
              <w:rPr>
                <w:b/>
                <w:sz w:val="18"/>
              </w:rPr>
              <w:t>SD exposure</w:t>
            </w:r>
          </w:p>
        </w:tc>
        <w:tc>
          <w:tcPr>
            <w:tcW w:w="2160" w:type="dxa"/>
          </w:tcPr>
          <w:p w14:paraId="7FAC1FE8" w14:textId="77777777" w:rsidR="00037981" w:rsidRDefault="00000000">
            <w:pPr>
              <w:spacing w:after="40" w:line="240" w:lineRule="auto"/>
            </w:pPr>
            <w:r>
              <w:rPr>
                <w:b/>
                <w:sz w:val="18"/>
              </w:rPr>
              <w:t>SD endpoint</w:t>
            </w:r>
          </w:p>
        </w:tc>
        <w:tc>
          <w:tcPr>
            <w:tcW w:w="2160" w:type="dxa"/>
          </w:tcPr>
          <w:p w14:paraId="09510C35" w14:textId="77777777" w:rsidR="00037981" w:rsidRDefault="00000000">
            <w:pPr>
              <w:spacing w:after="40" w:line="240" w:lineRule="auto"/>
            </w:pPr>
            <w:r>
              <w:rPr>
                <w:b/>
                <w:sz w:val="18"/>
              </w:rPr>
              <w:t>standardised beta</w:t>
            </w:r>
          </w:p>
        </w:tc>
      </w:tr>
      <w:tr w:rsidR="00037981" w14:paraId="792552E5" w14:textId="77777777">
        <w:trPr>
          <w:jc w:val="center"/>
        </w:trPr>
        <w:tc>
          <w:tcPr>
            <w:tcW w:w="2160" w:type="dxa"/>
          </w:tcPr>
          <w:p w14:paraId="1DD7C817" w14:textId="77777777" w:rsidR="00037981" w:rsidRDefault="00000000">
            <w:pPr>
              <w:spacing w:after="40" w:line="240" w:lineRule="auto"/>
            </w:pPr>
            <w:r>
              <w:rPr>
                <w:sz w:val="18"/>
              </w:rPr>
              <w:t>Discovery (n=58)</w:t>
            </w:r>
          </w:p>
        </w:tc>
        <w:tc>
          <w:tcPr>
            <w:tcW w:w="2160" w:type="dxa"/>
          </w:tcPr>
          <w:p w14:paraId="7A23D193" w14:textId="77777777" w:rsidR="00037981" w:rsidRDefault="00000000">
            <w:pPr>
              <w:spacing w:after="40" w:line="240" w:lineRule="auto"/>
            </w:pPr>
            <w:r>
              <w:rPr>
                <w:sz w:val="18"/>
              </w:rPr>
              <w:t>0.7253</w:t>
            </w:r>
          </w:p>
        </w:tc>
        <w:tc>
          <w:tcPr>
            <w:tcW w:w="2160" w:type="dxa"/>
          </w:tcPr>
          <w:p w14:paraId="4B2BEF96" w14:textId="77777777" w:rsidR="00037981" w:rsidRDefault="00000000">
            <w:pPr>
              <w:spacing w:after="40" w:line="240" w:lineRule="auto"/>
            </w:pPr>
            <w:r>
              <w:rPr>
                <w:sz w:val="18"/>
              </w:rPr>
              <w:t>0.6494</w:t>
            </w:r>
          </w:p>
        </w:tc>
        <w:tc>
          <w:tcPr>
            <w:tcW w:w="2160" w:type="dxa"/>
          </w:tcPr>
          <w:p w14:paraId="6F9318A5" w14:textId="77777777" w:rsidR="00037981" w:rsidRDefault="00000000">
            <w:pPr>
              <w:spacing w:after="40" w:line="240" w:lineRule="auto"/>
            </w:pPr>
            <w:r>
              <w:rPr>
                <w:b/>
                <w:sz w:val="18"/>
              </w:rPr>
              <w:t>+0.4692</w:t>
            </w:r>
          </w:p>
        </w:tc>
      </w:tr>
      <w:tr w:rsidR="00037981" w14:paraId="20FAD037" w14:textId="77777777">
        <w:trPr>
          <w:jc w:val="center"/>
        </w:trPr>
        <w:tc>
          <w:tcPr>
            <w:tcW w:w="2160" w:type="dxa"/>
          </w:tcPr>
          <w:p w14:paraId="27EA1D32" w14:textId="77777777" w:rsidR="00037981" w:rsidRDefault="00000000">
            <w:pPr>
              <w:spacing w:after="40" w:line="240" w:lineRule="auto"/>
            </w:pPr>
            <w:r>
              <w:rPr>
                <w:sz w:val="18"/>
              </w:rPr>
              <w:t>MetaCardis (primary, n=544)</w:t>
            </w:r>
          </w:p>
        </w:tc>
        <w:tc>
          <w:tcPr>
            <w:tcW w:w="2160" w:type="dxa"/>
          </w:tcPr>
          <w:p w14:paraId="5B6EC055" w14:textId="77777777" w:rsidR="00037981" w:rsidRDefault="00000000">
            <w:pPr>
              <w:spacing w:after="40" w:line="240" w:lineRule="auto"/>
            </w:pPr>
            <w:r>
              <w:rPr>
                <w:sz w:val="18"/>
              </w:rPr>
              <w:t>0.8848</w:t>
            </w:r>
          </w:p>
        </w:tc>
        <w:tc>
          <w:tcPr>
            <w:tcW w:w="2160" w:type="dxa"/>
          </w:tcPr>
          <w:p w14:paraId="42D56D6C" w14:textId="77777777" w:rsidR="00037981" w:rsidRDefault="00000000">
            <w:pPr>
              <w:spacing w:after="40" w:line="240" w:lineRule="auto"/>
            </w:pPr>
            <w:r>
              <w:rPr>
                <w:sz w:val="18"/>
              </w:rPr>
              <w:t>0.4244</w:t>
            </w:r>
          </w:p>
        </w:tc>
        <w:tc>
          <w:tcPr>
            <w:tcW w:w="2160" w:type="dxa"/>
          </w:tcPr>
          <w:p w14:paraId="10D39B55" w14:textId="77777777" w:rsidR="00037981" w:rsidRDefault="00000000">
            <w:pPr>
              <w:spacing w:after="40" w:line="240" w:lineRule="auto"/>
            </w:pPr>
            <w:r>
              <w:rPr>
                <w:b/>
                <w:sz w:val="18"/>
              </w:rPr>
              <w:t>-0.0680</w:t>
            </w:r>
          </w:p>
        </w:tc>
      </w:tr>
    </w:tbl>
    <w:p w14:paraId="51129AA2" w14:textId="77777777" w:rsidR="00037981" w:rsidRDefault="00037981"/>
    <w:p w14:paraId="51C30BB9" w14:textId="77777777" w:rsidR="00037981" w:rsidRDefault="00000000">
      <w:pPr>
        <w:jc w:val="both"/>
      </w:pPr>
      <w:r>
        <w:t xml:space="preserve">MetaCardis's exposure is </w:t>
      </w:r>
      <w:r>
        <w:rPr>
          <w:i/>
        </w:rPr>
        <w:t>more</w:t>
      </w:r>
      <w:r>
        <w:t xml:space="preserve"> variable than discovery's (0.885 vs 0.725) and its endpoint SD is 0.42 vs 0.65, so scale compression cannot account for the disagreement.</w:t>
      </w:r>
    </w:p>
    <w:p w14:paraId="42A58E00" w14:textId="77777777" w:rsidR="00037981" w:rsidRDefault="00000000">
      <w:pPr>
        <w:jc w:val="both"/>
      </w:pPr>
      <w:r>
        <w:t>Smallest effect detectable at 80% power, two-sided alpha = 0.05:</w:t>
      </w:r>
    </w:p>
    <w:tbl>
      <w:tblPr>
        <w:tblStyle w:val="af9"/>
        <w:tblW w:w="0" w:type="auto"/>
        <w:jc w:val="center"/>
        <w:tblLook w:val="04A0" w:firstRow="1" w:lastRow="0" w:firstColumn="1" w:lastColumn="0" w:noHBand="0" w:noVBand="1"/>
      </w:tblPr>
      <w:tblGrid>
        <w:gridCol w:w="1440"/>
        <w:gridCol w:w="1440"/>
        <w:gridCol w:w="1440"/>
        <w:gridCol w:w="1440"/>
        <w:gridCol w:w="1440"/>
        <w:gridCol w:w="1440"/>
      </w:tblGrid>
      <w:tr w:rsidR="00037981" w14:paraId="0648628C" w14:textId="77777777">
        <w:trPr>
          <w:jc w:val="center"/>
        </w:trPr>
        <w:tc>
          <w:tcPr>
            <w:tcW w:w="1440" w:type="dxa"/>
          </w:tcPr>
          <w:p w14:paraId="64456F03" w14:textId="77777777" w:rsidR="00037981" w:rsidRDefault="00000000">
            <w:pPr>
              <w:spacing w:after="40" w:line="240" w:lineRule="auto"/>
            </w:pPr>
            <w:r>
              <w:rPr>
                <w:b/>
                <w:sz w:val="18"/>
              </w:rPr>
              <w:t>Analysis</w:t>
            </w:r>
          </w:p>
        </w:tc>
        <w:tc>
          <w:tcPr>
            <w:tcW w:w="1440" w:type="dxa"/>
          </w:tcPr>
          <w:p w14:paraId="56C0BE33" w14:textId="77777777" w:rsidR="00037981" w:rsidRDefault="00000000">
            <w:pPr>
              <w:spacing w:after="40" w:line="240" w:lineRule="auto"/>
            </w:pPr>
            <w:r>
              <w:rPr>
                <w:b/>
                <w:sz w:val="18"/>
              </w:rPr>
              <w:t>n</w:t>
            </w:r>
          </w:p>
        </w:tc>
        <w:tc>
          <w:tcPr>
            <w:tcW w:w="1440" w:type="dxa"/>
          </w:tcPr>
          <w:p w14:paraId="3B4D8AE3" w14:textId="77777777" w:rsidR="00037981" w:rsidRDefault="00000000">
            <w:pPr>
              <w:spacing w:after="40" w:line="240" w:lineRule="auto"/>
            </w:pPr>
            <w:r>
              <w:rPr>
                <w:b/>
                <w:sz w:val="18"/>
              </w:rPr>
              <w:t>SE</w:t>
            </w:r>
          </w:p>
        </w:tc>
        <w:tc>
          <w:tcPr>
            <w:tcW w:w="1440" w:type="dxa"/>
          </w:tcPr>
          <w:p w14:paraId="28D5F092" w14:textId="77777777" w:rsidR="00037981" w:rsidRDefault="00000000">
            <w:pPr>
              <w:spacing w:after="40" w:line="240" w:lineRule="auto"/>
            </w:pPr>
            <w:r>
              <w:rPr>
                <w:b/>
                <w:sz w:val="18"/>
              </w:rPr>
              <w:t>MDE (raw)</w:t>
            </w:r>
          </w:p>
        </w:tc>
        <w:tc>
          <w:tcPr>
            <w:tcW w:w="1440" w:type="dxa"/>
          </w:tcPr>
          <w:p w14:paraId="327ADD2B" w14:textId="77777777" w:rsidR="00037981" w:rsidRDefault="00000000">
            <w:pPr>
              <w:spacing w:after="40" w:line="240" w:lineRule="auto"/>
            </w:pPr>
            <w:r>
              <w:rPr>
                <w:b/>
                <w:sz w:val="18"/>
              </w:rPr>
              <w:t>MDE (standardised)</w:t>
            </w:r>
          </w:p>
        </w:tc>
        <w:tc>
          <w:tcPr>
            <w:tcW w:w="1440" w:type="dxa"/>
          </w:tcPr>
          <w:p w14:paraId="2E838314" w14:textId="77777777" w:rsidR="00037981" w:rsidRDefault="00000000">
            <w:pPr>
              <w:spacing w:after="40" w:line="240" w:lineRule="auto"/>
            </w:pPr>
            <w:r>
              <w:rPr>
                <w:b/>
                <w:sz w:val="18"/>
              </w:rPr>
              <w:t>Discovery effect is</w:t>
            </w:r>
          </w:p>
        </w:tc>
      </w:tr>
      <w:tr w:rsidR="00037981" w14:paraId="0A30C1BF" w14:textId="77777777">
        <w:trPr>
          <w:jc w:val="center"/>
        </w:trPr>
        <w:tc>
          <w:tcPr>
            <w:tcW w:w="1440" w:type="dxa"/>
          </w:tcPr>
          <w:p w14:paraId="21F944E4" w14:textId="77777777" w:rsidR="00037981" w:rsidRDefault="00000000">
            <w:pPr>
              <w:spacing w:after="40" w:line="240" w:lineRule="auto"/>
            </w:pPr>
            <w:r>
              <w:rPr>
                <w:sz w:val="18"/>
              </w:rPr>
              <w:t>Primary, 5 covariates</w:t>
            </w:r>
          </w:p>
        </w:tc>
        <w:tc>
          <w:tcPr>
            <w:tcW w:w="1440" w:type="dxa"/>
          </w:tcPr>
          <w:p w14:paraId="72D4A2DC" w14:textId="77777777" w:rsidR="00037981" w:rsidRDefault="00000000">
            <w:pPr>
              <w:spacing w:after="40" w:line="240" w:lineRule="auto"/>
            </w:pPr>
            <w:r>
              <w:rPr>
                <w:sz w:val="18"/>
              </w:rPr>
              <w:t>544</w:t>
            </w:r>
          </w:p>
        </w:tc>
        <w:tc>
          <w:tcPr>
            <w:tcW w:w="1440" w:type="dxa"/>
          </w:tcPr>
          <w:p w14:paraId="6278CF6D" w14:textId="77777777" w:rsidR="00037981" w:rsidRDefault="00000000">
            <w:pPr>
              <w:spacing w:after="40" w:line="240" w:lineRule="auto"/>
            </w:pPr>
            <w:r>
              <w:rPr>
                <w:sz w:val="18"/>
              </w:rPr>
              <w:t>0.0203</w:t>
            </w:r>
          </w:p>
        </w:tc>
        <w:tc>
          <w:tcPr>
            <w:tcW w:w="1440" w:type="dxa"/>
          </w:tcPr>
          <w:p w14:paraId="4FBA6C07" w14:textId="77777777" w:rsidR="00037981" w:rsidRDefault="00000000">
            <w:pPr>
              <w:spacing w:after="40" w:line="240" w:lineRule="auto"/>
            </w:pPr>
            <w:r>
              <w:rPr>
                <w:sz w:val="18"/>
              </w:rPr>
              <w:t>0.0568</w:t>
            </w:r>
          </w:p>
        </w:tc>
        <w:tc>
          <w:tcPr>
            <w:tcW w:w="1440" w:type="dxa"/>
          </w:tcPr>
          <w:p w14:paraId="3DCF23CE" w14:textId="77777777" w:rsidR="00037981" w:rsidRDefault="00000000">
            <w:pPr>
              <w:spacing w:after="40" w:line="240" w:lineRule="auto"/>
            </w:pPr>
            <w:r>
              <w:rPr>
                <w:b/>
                <w:sz w:val="18"/>
              </w:rPr>
              <w:t>0.1184</w:t>
            </w:r>
          </w:p>
        </w:tc>
        <w:tc>
          <w:tcPr>
            <w:tcW w:w="1440" w:type="dxa"/>
          </w:tcPr>
          <w:p w14:paraId="4E9D78D1" w14:textId="77777777" w:rsidR="00037981" w:rsidRDefault="00000000">
            <w:pPr>
              <w:spacing w:after="40" w:line="240" w:lineRule="auto"/>
            </w:pPr>
            <w:r>
              <w:rPr>
                <w:b/>
                <w:sz w:val="18"/>
              </w:rPr>
              <w:t>4.0x larger</w:t>
            </w:r>
          </w:p>
        </w:tc>
      </w:tr>
      <w:tr w:rsidR="00037981" w14:paraId="17B27B90" w14:textId="77777777">
        <w:trPr>
          <w:jc w:val="center"/>
        </w:trPr>
        <w:tc>
          <w:tcPr>
            <w:tcW w:w="1440" w:type="dxa"/>
          </w:tcPr>
          <w:p w14:paraId="0B856B5F" w14:textId="77777777" w:rsidR="00037981" w:rsidRDefault="00000000">
            <w:pPr>
              <w:spacing w:after="40" w:line="240" w:lineRule="auto"/>
            </w:pPr>
            <w:r>
              <w:rPr>
                <w:sz w:val="18"/>
              </w:rPr>
              <w:t>Sensitivity, LVEF dropped</w:t>
            </w:r>
          </w:p>
        </w:tc>
        <w:tc>
          <w:tcPr>
            <w:tcW w:w="1440" w:type="dxa"/>
          </w:tcPr>
          <w:p w14:paraId="1874CAB8" w14:textId="77777777" w:rsidR="00037981" w:rsidRDefault="00000000">
            <w:pPr>
              <w:spacing w:after="40" w:line="240" w:lineRule="auto"/>
            </w:pPr>
            <w:r>
              <w:rPr>
                <w:sz w:val="18"/>
              </w:rPr>
              <w:t>972</w:t>
            </w:r>
          </w:p>
        </w:tc>
        <w:tc>
          <w:tcPr>
            <w:tcW w:w="1440" w:type="dxa"/>
          </w:tcPr>
          <w:p w14:paraId="5391B8F4" w14:textId="77777777" w:rsidR="00037981" w:rsidRDefault="00000000">
            <w:pPr>
              <w:spacing w:after="40" w:line="240" w:lineRule="auto"/>
            </w:pPr>
            <w:r>
              <w:rPr>
                <w:sz w:val="18"/>
              </w:rPr>
              <w:t>0.0153</w:t>
            </w:r>
          </w:p>
        </w:tc>
        <w:tc>
          <w:tcPr>
            <w:tcW w:w="1440" w:type="dxa"/>
          </w:tcPr>
          <w:p w14:paraId="187146C1" w14:textId="77777777" w:rsidR="00037981" w:rsidRDefault="00000000">
            <w:pPr>
              <w:spacing w:after="40" w:line="240" w:lineRule="auto"/>
            </w:pPr>
            <w:r>
              <w:rPr>
                <w:sz w:val="18"/>
              </w:rPr>
              <w:t>0.0430</w:t>
            </w:r>
          </w:p>
        </w:tc>
        <w:tc>
          <w:tcPr>
            <w:tcW w:w="1440" w:type="dxa"/>
          </w:tcPr>
          <w:p w14:paraId="4CB412FC" w14:textId="77777777" w:rsidR="00037981" w:rsidRDefault="00000000">
            <w:pPr>
              <w:spacing w:after="40" w:line="240" w:lineRule="auto"/>
            </w:pPr>
            <w:r>
              <w:rPr>
                <w:b/>
                <w:sz w:val="18"/>
              </w:rPr>
              <w:t>0.0896</w:t>
            </w:r>
          </w:p>
        </w:tc>
        <w:tc>
          <w:tcPr>
            <w:tcW w:w="1440" w:type="dxa"/>
          </w:tcPr>
          <w:p w14:paraId="33492238" w14:textId="77777777" w:rsidR="00037981" w:rsidRDefault="00000000">
            <w:pPr>
              <w:spacing w:after="40" w:line="240" w:lineRule="auto"/>
            </w:pPr>
            <w:r>
              <w:rPr>
                <w:b/>
                <w:sz w:val="18"/>
              </w:rPr>
              <w:t>5.2x larger</w:t>
            </w:r>
          </w:p>
        </w:tc>
      </w:tr>
    </w:tbl>
    <w:p w14:paraId="353B0626" w14:textId="77777777" w:rsidR="00037981" w:rsidRDefault="00037981"/>
    <w:p w14:paraId="3467BA8B" w14:textId="77777777" w:rsidR="00037981" w:rsidRDefault="00000000">
      <w:pPr>
        <w:jc w:val="both"/>
      </w:pPr>
      <w:r>
        <w:t>The replication could have detected an effect four to five times smaller than the one it was testing, and found nothing. The discovery point estimate sits roughly 13 SEs outside the replication's confidence interval.</w:t>
      </w:r>
    </w:p>
    <w:p w14:paraId="0A6C3F11" w14:textId="77777777" w:rsidR="00037981" w:rsidRDefault="00000000">
      <w:pPr>
        <w:pStyle w:val="31"/>
        <w:spacing w:before="240" w:after="120"/>
      </w:pPr>
      <w:r>
        <w:rPr>
          <w:rFonts w:ascii="Times New Roman" w:hAnsi="Times New Roman"/>
          <w:color w:val="000000"/>
        </w:rPr>
        <w:t>What these checks do and do not license</w:t>
      </w:r>
    </w:p>
    <w:p w14:paraId="75BC171C" w14:textId="77777777" w:rsidR="00037981" w:rsidRDefault="00000000">
      <w:pPr>
        <w:jc w:val="both"/>
      </w:pPr>
      <w:r>
        <w:rPr>
          <w:b/>
        </w:rPr>
        <w:t>They do</w:t>
      </w:r>
      <w:r>
        <w:t xml:space="preserve"> support the strong form of the conclusion: an effect of the discovered magnitude is not present in MetaCardis. That is a claim about absence, and it is the claim the paper should make.</w:t>
      </w:r>
    </w:p>
    <w:p w14:paraId="4BCF8641" w14:textId="77777777" w:rsidR="00037981" w:rsidRDefault="00000000">
      <w:pPr>
        <w:jc w:val="both"/>
      </w:pPr>
      <w:r>
        <w:rPr>
          <w:b/>
        </w:rPr>
        <w:t>They do not</w:t>
      </w:r>
      <w:r>
        <w:t xml:space="preserve"> rescue the mechanistic branch, and they do not make the -0.0306 (P = 0.046) four-covariate sensitivity estimate reportable as a negative association. It remains a nominal, direction-flipping estimate that the pre-registration did not privilege, and it must be reported as such.</w:t>
      </w:r>
    </w:p>
    <w:p w14:paraId="735E59D4" w14:textId="77777777" w:rsidR="00037981" w:rsidRDefault="00000000">
      <w:pPr>
        <w:jc w:val="both"/>
      </w:pPr>
      <w:r>
        <w:rPr>
          <w:b/>
        </w:rPr>
        <w:t>They do not</w:t>
      </w:r>
      <w:r>
        <w:t xml:space="preserve"> address the two confounds that remain genuinely open on the </w:t>
      </w:r>
      <w:r>
        <w:rPr>
          <w:i/>
        </w:rPr>
        <w:t>exposure</w:t>
      </w:r>
      <w:r>
        <w:t xml:space="preserve"> side of the mouse/SPT arm: the uncontrolled host-read fraction in the denominator of spt_hpm, and WGA </w:t>
      </w:r>
      <w:r>
        <w:lastRenderedPageBreak/>
        <w:t xml:space="preserve">amplification bias. Note the asymmetry -- both of those would </w:t>
      </w:r>
      <w:r>
        <w:rPr>
          <w:i/>
        </w:rPr>
        <w:t>weaken</w:t>
      </w:r>
      <w:r>
        <w:t xml:space="preserve"> a null, so neither explains away the SPT result; they bound how strongly the SPT null can be stated, not whether it holds.</w:t>
      </w:r>
    </w:p>
    <w:p w14:paraId="05A921A4" w14:textId="77777777" w:rsidR="00037981" w:rsidRDefault="00000000">
      <w:pPr>
        <w:pStyle w:val="31"/>
        <w:spacing w:before="240" w:after="120"/>
      </w:pPr>
      <w:r>
        <w:rPr>
          <w:rFonts w:ascii="Times New Roman" w:hAnsi="Times New Roman"/>
          <w:color w:val="000000"/>
        </w:rPr>
        <w:t>Reproduction</w:t>
      </w:r>
    </w:p>
    <w:p w14:paraId="447C3B5D" w14:textId="77777777" w:rsidR="00037981" w:rsidRDefault="00000000">
      <w:pPr>
        <w:jc w:val="both"/>
      </w:pPr>
      <w:r>
        <w:rPr>
          <w:rFonts w:ascii="Consolas" w:hAnsi="Consolas"/>
          <w:sz w:val="18"/>
        </w:rPr>
        <w:t>run_replication_validity.py</w:t>
      </w:r>
      <w:r>
        <w:t xml:space="preserve"> -&gt; </w:t>
      </w:r>
      <w:r>
        <w:rPr>
          <w:rFonts w:ascii="Consolas" w:hAnsi="Consolas"/>
          <w:sz w:val="18"/>
        </w:rPr>
        <w:t>replication_validity.json</w:t>
      </w:r>
      <w:r>
        <w:t>. Inputs: cached MetaCardis Supplementary Tables 9/10/12/14 workbook and the frozen discovery analysis set. Requires the composite (ID, Status) join and one-row-per-participant de-duplication described in Pre-registration Amendment 1; a naive ID join explodes the table and invalidates every number above.</w:t>
      </w:r>
    </w:p>
    <w:p w14:paraId="6CFE2DC2" w14:textId="77777777" w:rsidR="00037981" w:rsidRDefault="00037981">
      <w:pPr>
        <w:pBdr>
          <w:bottom w:val="single" w:sz="6" w:space="0" w:color="999999"/>
        </w:pBdr>
      </w:pPr>
    </w:p>
    <w:p w14:paraId="6E2E568C" w14:textId="77777777" w:rsidR="00037981" w:rsidRDefault="00000000">
      <w:pPr>
        <w:pStyle w:val="21"/>
        <w:spacing w:before="240" w:after="120"/>
      </w:pPr>
      <w:r>
        <w:rPr>
          <w:rFonts w:ascii="Times New Roman" w:hAnsi="Times New Roman"/>
          <w:color w:val="000000"/>
        </w:rPr>
        <w:t>Supplementary Note 9. Exploratory component analyses</w:t>
      </w:r>
    </w:p>
    <w:p w14:paraId="02BB286F" w14:textId="77777777" w:rsidR="00037981" w:rsidRDefault="00000000">
      <w:pPr>
        <w:jc w:val="both"/>
      </w:pPr>
      <w:r>
        <w:rPr>
          <w:b/>
        </w:rPr>
        <w:t>LABEL: EXPLORATORY, NOT PRE-SPECIFIED.</w:t>
      </w:r>
      <w:r>
        <w:t xml:space="preserve"> The pre-registration named one endpoint, the LacCer/Cer difference. The analyses below decompose it and test neighbouring species. They were run after the primary result was fixed. They are hypothesis-generating and must be reported under this label, with the five-test multiplicity stated. They do not alter the pre-registered primary conclusion.</w:t>
      </w:r>
    </w:p>
    <w:p w14:paraId="610AC945" w14:textId="77777777" w:rsidR="00037981" w:rsidRDefault="00000000">
      <w:pPr>
        <w:jc w:val="both"/>
      </w:pPr>
      <w:r>
        <w:t>Model, covariates, join and de-duplication identical to the LVEF-free sensitivity analysis (n = 972; 5-covariate primary requires LVEF and drops to n = 544).</w:t>
      </w:r>
    </w:p>
    <w:tbl>
      <w:tblPr>
        <w:tblStyle w:val="af9"/>
        <w:tblW w:w="0" w:type="auto"/>
        <w:jc w:val="center"/>
        <w:tblLook w:val="04A0" w:firstRow="1" w:lastRow="0" w:firstColumn="1" w:lastColumn="0" w:noHBand="0" w:noVBand="1"/>
      </w:tblPr>
      <w:tblGrid>
        <w:gridCol w:w="1440"/>
        <w:gridCol w:w="1440"/>
        <w:gridCol w:w="1440"/>
        <w:gridCol w:w="1440"/>
        <w:gridCol w:w="1440"/>
        <w:gridCol w:w="1440"/>
      </w:tblGrid>
      <w:tr w:rsidR="00037981" w14:paraId="2D5474BE" w14:textId="77777777">
        <w:trPr>
          <w:jc w:val="center"/>
        </w:trPr>
        <w:tc>
          <w:tcPr>
            <w:tcW w:w="1440" w:type="dxa"/>
          </w:tcPr>
          <w:p w14:paraId="75D83694" w14:textId="77777777" w:rsidR="00037981" w:rsidRDefault="00000000">
            <w:pPr>
              <w:spacing w:after="40" w:line="240" w:lineRule="auto"/>
            </w:pPr>
            <w:r>
              <w:rPr>
                <w:b/>
                <w:sz w:val="18"/>
              </w:rPr>
              <w:t>Endpoint</w:t>
            </w:r>
          </w:p>
        </w:tc>
        <w:tc>
          <w:tcPr>
            <w:tcW w:w="1440" w:type="dxa"/>
          </w:tcPr>
          <w:p w14:paraId="02B2CCCC" w14:textId="77777777" w:rsidR="00037981" w:rsidRDefault="00000000">
            <w:pPr>
              <w:spacing w:after="40" w:line="240" w:lineRule="auto"/>
            </w:pPr>
            <w:r>
              <w:rPr>
                <w:b/>
                <w:sz w:val="18"/>
              </w:rPr>
              <w:t>n</w:t>
            </w:r>
          </w:p>
        </w:tc>
        <w:tc>
          <w:tcPr>
            <w:tcW w:w="1440" w:type="dxa"/>
          </w:tcPr>
          <w:p w14:paraId="2067597F" w14:textId="77777777" w:rsidR="00037981" w:rsidRDefault="00000000">
            <w:pPr>
              <w:spacing w:after="40" w:line="240" w:lineRule="auto"/>
            </w:pPr>
            <w:r>
              <w:rPr>
                <w:b/>
                <w:sz w:val="18"/>
              </w:rPr>
              <w:t>beta</w:t>
            </w:r>
          </w:p>
        </w:tc>
        <w:tc>
          <w:tcPr>
            <w:tcW w:w="1440" w:type="dxa"/>
          </w:tcPr>
          <w:p w14:paraId="37E11722" w14:textId="77777777" w:rsidR="00037981" w:rsidRDefault="00000000">
            <w:pPr>
              <w:spacing w:after="40" w:line="240" w:lineRule="auto"/>
            </w:pPr>
            <w:r>
              <w:rPr>
                <w:b/>
                <w:sz w:val="18"/>
              </w:rPr>
              <w:t>SE</w:t>
            </w:r>
          </w:p>
        </w:tc>
        <w:tc>
          <w:tcPr>
            <w:tcW w:w="1440" w:type="dxa"/>
          </w:tcPr>
          <w:p w14:paraId="51415475" w14:textId="77777777" w:rsidR="00037981" w:rsidRDefault="00000000">
            <w:pPr>
              <w:spacing w:after="40" w:line="240" w:lineRule="auto"/>
            </w:pPr>
            <w:r>
              <w:rPr>
                <w:b/>
                <w:sz w:val="18"/>
              </w:rPr>
              <w:t>P</w:t>
            </w:r>
          </w:p>
        </w:tc>
        <w:tc>
          <w:tcPr>
            <w:tcW w:w="1440" w:type="dxa"/>
          </w:tcPr>
          <w:p w14:paraId="5251F5ED" w14:textId="77777777" w:rsidR="00037981" w:rsidRDefault="00000000">
            <w:pPr>
              <w:spacing w:after="40" w:line="240" w:lineRule="auto"/>
            </w:pPr>
            <w:r>
              <w:rPr>
                <w:b/>
                <w:sz w:val="18"/>
              </w:rPr>
              <w:t>std beta</w:t>
            </w:r>
          </w:p>
        </w:tc>
      </w:tr>
      <w:tr w:rsidR="00037981" w14:paraId="55FC7796" w14:textId="77777777">
        <w:trPr>
          <w:jc w:val="center"/>
        </w:trPr>
        <w:tc>
          <w:tcPr>
            <w:tcW w:w="1440" w:type="dxa"/>
          </w:tcPr>
          <w:p w14:paraId="1C0F693A" w14:textId="77777777" w:rsidR="00037981" w:rsidRDefault="00000000">
            <w:pPr>
              <w:spacing w:after="40" w:line="240" w:lineRule="auto"/>
            </w:pPr>
            <w:r>
              <w:rPr>
                <w:b/>
                <w:sz w:val="18"/>
              </w:rPr>
              <w:t>LacCer 16:0</w:t>
            </w:r>
            <w:r>
              <w:rPr>
                <w:sz w:val="18"/>
              </w:rPr>
              <w:t xml:space="preserve"> (lactosyl-N-palmitoyl-sphingosine d18:1/16:0)</w:t>
            </w:r>
          </w:p>
        </w:tc>
        <w:tc>
          <w:tcPr>
            <w:tcW w:w="1440" w:type="dxa"/>
          </w:tcPr>
          <w:p w14:paraId="1644A57F" w14:textId="77777777" w:rsidR="00037981" w:rsidRDefault="00000000">
            <w:pPr>
              <w:spacing w:after="40" w:line="240" w:lineRule="auto"/>
            </w:pPr>
            <w:r>
              <w:rPr>
                <w:sz w:val="18"/>
              </w:rPr>
              <w:t>972</w:t>
            </w:r>
          </w:p>
        </w:tc>
        <w:tc>
          <w:tcPr>
            <w:tcW w:w="1440" w:type="dxa"/>
          </w:tcPr>
          <w:p w14:paraId="628DC14A" w14:textId="77777777" w:rsidR="00037981" w:rsidRDefault="00000000">
            <w:pPr>
              <w:spacing w:after="40" w:line="240" w:lineRule="auto"/>
            </w:pPr>
            <w:r>
              <w:rPr>
                <w:b/>
                <w:sz w:val="18"/>
              </w:rPr>
              <w:t>-0.0314</w:t>
            </w:r>
          </w:p>
        </w:tc>
        <w:tc>
          <w:tcPr>
            <w:tcW w:w="1440" w:type="dxa"/>
          </w:tcPr>
          <w:p w14:paraId="733D3103" w14:textId="77777777" w:rsidR="00037981" w:rsidRDefault="00000000">
            <w:pPr>
              <w:spacing w:after="40" w:line="240" w:lineRule="auto"/>
            </w:pPr>
            <w:r>
              <w:rPr>
                <w:sz w:val="18"/>
              </w:rPr>
              <w:t>0.0105</w:t>
            </w:r>
          </w:p>
        </w:tc>
        <w:tc>
          <w:tcPr>
            <w:tcW w:w="1440" w:type="dxa"/>
          </w:tcPr>
          <w:p w14:paraId="0D8E26F8" w14:textId="77777777" w:rsidR="00037981" w:rsidRDefault="00000000">
            <w:pPr>
              <w:spacing w:after="40" w:line="240" w:lineRule="auto"/>
            </w:pPr>
            <w:r>
              <w:rPr>
                <w:b/>
                <w:sz w:val="18"/>
              </w:rPr>
              <w:t>0.0029</w:t>
            </w:r>
          </w:p>
        </w:tc>
        <w:tc>
          <w:tcPr>
            <w:tcW w:w="1440" w:type="dxa"/>
          </w:tcPr>
          <w:p w14:paraId="2179BAB5" w14:textId="77777777" w:rsidR="00037981" w:rsidRDefault="00000000">
            <w:pPr>
              <w:spacing w:after="40" w:line="240" w:lineRule="auto"/>
            </w:pPr>
            <w:r>
              <w:rPr>
                <w:sz w:val="18"/>
              </w:rPr>
              <w:t>-0.095</w:t>
            </w:r>
          </w:p>
        </w:tc>
      </w:tr>
      <w:tr w:rsidR="00037981" w14:paraId="31622E68" w14:textId="77777777">
        <w:trPr>
          <w:jc w:val="center"/>
        </w:trPr>
        <w:tc>
          <w:tcPr>
            <w:tcW w:w="1440" w:type="dxa"/>
          </w:tcPr>
          <w:p w14:paraId="51849A6B" w14:textId="77777777" w:rsidR="00037981" w:rsidRDefault="00000000">
            <w:pPr>
              <w:spacing w:after="40" w:line="240" w:lineRule="auto"/>
            </w:pPr>
            <w:r>
              <w:rPr>
                <w:sz w:val="18"/>
              </w:rPr>
              <w:t>GlcCer 16:0 (glycosyl-N-palmitoyl-sphingosine d18:1/16:0)</w:t>
            </w:r>
          </w:p>
        </w:tc>
        <w:tc>
          <w:tcPr>
            <w:tcW w:w="1440" w:type="dxa"/>
          </w:tcPr>
          <w:p w14:paraId="6724EE69" w14:textId="77777777" w:rsidR="00037981" w:rsidRDefault="00000000">
            <w:pPr>
              <w:spacing w:after="40" w:line="240" w:lineRule="auto"/>
            </w:pPr>
            <w:r>
              <w:rPr>
                <w:sz w:val="18"/>
              </w:rPr>
              <w:t>972</w:t>
            </w:r>
          </w:p>
        </w:tc>
        <w:tc>
          <w:tcPr>
            <w:tcW w:w="1440" w:type="dxa"/>
          </w:tcPr>
          <w:p w14:paraId="0EDB0F6F" w14:textId="77777777" w:rsidR="00037981" w:rsidRDefault="00000000">
            <w:pPr>
              <w:spacing w:after="40" w:line="240" w:lineRule="auto"/>
            </w:pPr>
            <w:r>
              <w:rPr>
                <w:sz w:val="18"/>
              </w:rPr>
              <w:t>-0.0153</w:t>
            </w:r>
          </w:p>
        </w:tc>
        <w:tc>
          <w:tcPr>
            <w:tcW w:w="1440" w:type="dxa"/>
          </w:tcPr>
          <w:p w14:paraId="04EBCE46" w14:textId="77777777" w:rsidR="00037981" w:rsidRDefault="00000000">
            <w:pPr>
              <w:spacing w:after="40" w:line="240" w:lineRule="auto"/>
            </w:pPr>
            <w:r>
              <w:rPr>
                <w:sz w:val="18"/>
              </w:rPr>
              <w:t>0.0121</w:t>
            </w:r>
          </w:p>
        </w:tc>
        <w:tc>
          <w:tcPr>
            <w:tcW w:w="1440" w:type="dxa"/>
          </w:tcPr>
          <w:p w14:paraId="655508B4" w14:textId="77777777" w:rsidR="00037981" w:rsidRDefault="00000000">
            <w:pPr>
              <w:spacing w:after="40" w:line="240" w:lineRule="auto"/>
            </w:pPr>
            <w:r>
              <w:rPr>
                <w:sz w:val="18"/>
              </w:rPr>
              <w:t>0.206</w:t>
            </w:r>
          </w:p>
        </w:tc>
        <w:tc>
          <w:tcPr>
            <w:tcW w:w="1440" w:type="dxa"/>
          </w:tcPr>
          <w:p w14:paraId="0A3BC0DA" w14:textId="77777777" w:rsidR="00037981" w:rsidRDefault="00000000">
            <w:pPr>
              <w:spacing w:after="40" w:line="240" w:lineRule="auto"/>
            </w:pPr>
            <w:r>
              <w:rPr>
                <w:sz w:val="18"/>
              </w:rPr>
              <w:t>-0.041</w:t>
            </w:r>
          </w:p>
        </w:tc>
      </w:tr>
      <w:tr w:rsidR="00037981" w14:paraId="2508DB84" w14:textId="77777777">
        <w:trPr>
          <w:jc w:val="center"/>
        </w:trPr>
        <w:tc>
          <w:tcPr>
            <w:tcW w:w="1440" w:type="dxa"/>
          </w:tcPr>
          <w:p w14:paraId="1E9B2300" w14:textId="77777777" w:rsidR="00037981" w:rsidRDefault="00000000">
            <w:pPr>
              <w:spacing w:after="40" w:line="240" w:lineRule="auto"/>
            </w:pPr>
            <w:r>
              <w:rPr>
                <w:sz w:val="18"/>
              </w:rPr>
              <w:t>Cer 18:0 (N-stearoyl-sphingosine d18:1/18:0)</w:t>
            </w:r>
          </w:p>
        </w:tc>
        <w:tc>
          <w:tcPr>
            <w:tcW w:w="1440" w:type="dxa"/>
          </w:tcPr>
          <w:p w14:paraId="409A7AF6" w14:textId="77777777" w:rsidR="00037981" w:rsidRDefault="00000000">
            <w:pPr>
              <w:spacing w:after="40" w:line="240" w:lineRule="auto"/>
            </w:pPr>
            <w:r>
              <w:rPr>
                <w:sz w:val="18"/>
              </w:rPr>
              <w:t>972</w:t>
            </w:r>
          </w:p>
        </w:tc>
        <w:tc>
          <w:tcPr>
            <w:tcW w:w="1440" w:type="dxa"/>
          </w:tcPr>
          <w:p w14:paraId="016BFF8B" w14:textId="77777777" w:rsidR="00037981" w:rsidRDefault="00000000">
            <w:pPr>
              <w:spacing w:after="40" w:line="240" w:lineRule="auto"/>
            </w:pPr>
            <w:r>
              <w:rPr>
                <w:sz w:val="18"/>
              </w:rPr>
              <w:t>+0.0124</w:t>
            </w:r>
          </w:p>
        </w:tc>
        <w:tc>
          <w:tcPr>
            <w:tcW w:w="1440" w:type="dxa"/>
          </w:tcPr>
          <w:p w14:paraId="2737389C" w14:textId="77777777" w:rsidR="00037981" w:rsidRDefault="00000000">
            <w:pPr>
              <w:spacing w:after="40" w:line="240" w:lineRule="auto"/>
            </w:pPr>
            <w:r>
              <w:rPr>
                <w:sz w:val="18"/>
              </w:rPr>
              <w:t>0.0135</w:t>
            </w:r>
          </w:p>
        </w:tc>
        <w:tc>
          <w:tcPr>
            <w:tcW w:w="1440" w:type="dxa"/>
          </w:tcPr>
          <w:p w14:paraId="0C838C99" w14:textId="77777777" w:rsidR="00037981" w:rsidRDefault="00000000">
            <w:pPr>
              <w:spacing w:after="40" w:line="240" w:lineRule="auto"/>
            </w:pPr>
            <w:r>
              <w:rPr>
                <w:sz w:val="18"/>
              </w:rPr>
              <w:t>0.357</w:t>
            </w:r>
          </w:p>
        </w:tc>
        <w:tc>
          <w:tcPr>
            <w:tcW w:w="1440" w:type="dxa"/>
          </w:tcPr>
          <w:p w14:paraId="2DB572FB" w14:textId="77777777" w:rsidR="00037981" w:rsidRDefault="00000000">
            <w:pPr>
              <w:spacing w:after="40" w:line="240" w:lineRule="auto"/>
            </w:pPr>
            <w:r>
              <w:rPr>
                <w:sz w:val="18"/>
              </w:rPr>
              <w:t>+0.029</w:t>
            </w:r>
          </w:p>
        </w:tc>
      </w:tr>
      <w:tr w:rsidR="00037981" w14:paraId="49CAEB5D" w14:textId="77777777">
        <w:trPr>
          <w:jc w:val="center"/>
        </w:trPr>
        <w:tc>
          <w:tcPr>
            <w:tcW w:w="1440" w:type="dxa"/>
          </w:tcPr>
          <w:p w14:paraId="5FDA2E5B" w14:textId="77777777" w:rsidR="00037981" w:rsidRDefault="00000000">
            <w:pPr>
              <w:spacing w:after="40" w:line="240" w:lineRule="auto"/>
            </w:pPr>
            <w:r>
              <w:rPr>
                <w:b/>
                <w:sz w:val="18"/>
              </w:rPr>
              <w:t>Cer 16:0</w:t>
            </w:r>
            <w:r>
              <w:rPr>
                <w:sz w:val="18"/>
              </w:rPr>
              <w:t xml:space="preserve"> (N-palmitoyl-sphingosine d18:1/16:0)</w:t>
            </w:r>
          </w:p>
        </w:tc>
        <w:tc>
          <w:tcPr>
            <w:tcW w:w="1440" w:type="dxa"/>
          </w:tcPr>
          <w:p w14:paraId="5031419F" w14:textId="77777777" w:rsidR="00037981" w:rsidRDefault="00000000">
            <w:pPr>
              <w:spacing w:after="40" w:line="240" w:lineRule="auto"/>
            </w:pPr>
            <w:r>
              <w:rPr>
                <w:sz w:val="18"/>
              </w:rPr>
              <w:t>972</w:t>
            </w:r>
          </w:p>
        </w:tc>
        <w:tc>
          <w:tcPr>
            <w:tcW w:w="1440" w:type="dxa"/>
          </w:tcPr>
          <w:p w14:paraId="0CAF49C8" w14:textId="77777777" w:rsidR="00037981" w:rsidRDefault="00000000">
            <w:pPr>
              <w:spacing w:after="40" w:line="240" w:lineRule="auto"/>
            </w:pPr>
            <w:r>
              <w:rPr>
                <w:b/>
                <w:sz w:val="18"/>
              </w:rPr>
              <w:t>+0.0023</w:t>
            </w:r>
          </w:p>
        </w:tc>
        <w:tc>
          <w:tcPr>
            <w:tcW w:w="1440" w:type="dxa"/>
          </w:tcPr>
          <w:p w14:paraId="3BAE290A" w14:textId="77777777" w:rsidR="00037981" w:rsidRDefault="00000000">
            <w:pPr>
              <w:spacing w:after="40" w:line="240" w:lineRule="auto"/>
            </w:pPr>
            <w:r>
              <w:rPr>
                <w:sz w:val="18"/>
              </w:rPr>
              <w:t>0.0124</w:t>
            </w:r>
          </w:p>
        </w:tc>
        <w:tc>
          <w:tcPr>
            <w:tcW w:w="1440" w:type="dxa"/>
          </w:tcPr>
          <w:p w14:paraId="236944FE" w14:textId="77777777" w:rsidR="00037981" w:rsidRDefault="00000000">
            <w:pPr>
              <w:spacing w:after="40" w:line="240" w:lineRule="auto"/>
            </w:pPr>
            <w:r>
              <w:rPr>
                <w:b/>
                <w:sz w:val="18"/>
              </w:rPr>
              <w:t>0.855</w:t>
            </w:r>
          </w:p>
        </w:tc>
        <w:tc>
          <w:tcPr>
            <w:tcW w:w="1440" w:type="dxa"/>
          </w:tcPr>
          <w:p w14:paraId="18888E61" w14:textId="77777777" w:rsidR="00037981" w:rsidRDefault="00000000">
            <w:pPr>
              <w:spacing w:after="40" w:line="240" w:lineRule="auto"/>
            </w:pPr>
            <w:r>
              <w:rPr>
                <w:sz w:val="18"/>
              </w:rPr>
              <w:t>+0.006</w:t>
            </w:r>
          </w:p>
        </w:tc>
      </w:tr>
      <w:tr w:rsidR="00037981" w14:paraId="203F2B1F" w14:textId="77777777">
        <w:trPr>
          <w:jc w:val="center"/>
        </w:trPr>
        <w:tc>
          <w:tcPr>
            <w:tcW w:w="1440" w:type="dxa"/>
          </w:tcPr>
          <w:p w14:paraId="08B43D9C" w14:textId="77777777" w:rsidR="00037981" w:rsidRDefault="00000000">
            <w:pPr>
              <w:spacing w:after="40" w:line="240" w:lineRule="auto"/>
            </w:pPr>
            <w:r>
              <w:rPr>
                <w:sz w:val="18"/>
              </w:rPr>
              <w:t>DhCer 16:0 (N-palmitoyl-sphinganine d18:0/16:0)</w:t>
            </w:r>
          </w:p>
        </w:tc>
        <w:tc>
          <w:tcPr>
            <w:tcW w:w="1440" w:type="dxa"/>
          </w:tcPr>
          <w:p w14:paraId="05AC2F97" w14:textId="77777777" w:rsidR="00037981" w:rsidRDefault="00000000">
            <w:pPr>
              <w:spacing w:after="40" w:line="240" w:lineRule="auto"/>
            </w:pPr>
            <w:r>
              <w:rPr>
                <w:sz w:val="18"/>
              </w:rPr>
              <w:t>972</w:t>
            </w:r>
          </w:p>
        </w:tc>
        <w:tc>
          <w:tcPr>
            <w:tcW w:w="1440" w:type="dxa"/>
          </w:tcPr>
          <w:p w14:paraId="39AA63E3" w14:textId="77777777" w:rsidR="00037981" w:rsidRDefault="00000000">
            <w:pPr>
              <w:spacing w:after="40" w:line="240" w:lineRule="auto"/>
            </w:pPr>
            <w:r>
              <w:rPr>
                <w:sz w:val="18"/>
              </w:rPr>
              <w:t>-0.0007</w:t>
            </w:r>
          </w:p>
        </w:tc>
        <w:tc>
          <w:tcPr>
            <w:tcW w:w="1440" w:type="dxa"/>
          </w:tcPr>
          <w:p w14:paraId="58C6BF80" w14:textId="77777777" w:rsidR="00037981" w:rsidRDefault="00000000">
            <w:pPr>
              <w:spacing w:after="40" w:line="240" w:lineRule="auto"/>
            </w:pPr>
            <w:r>
              <w:rPr>
                <w:sz w:val="18"/>
              </w:rPr>
              <w:t>0.0167</w:t>
            </w:r>
          </w:p>
        </w:tc>
        <w:tc>
          <w:tcPr>
            <w:tcW w:w="1440" w:type="dxa"/>
          </w:tcPr>
          <w:p w14:paraId="5BAD68A4" w14:textId="77777777" w:rsidR="00037981" w:rsidRDefault="00000000">
            <w:pPr>
              <w:spacing w:after="40" w:line="240" w:lineRule="auto"/>
            </w:pPr>
            <w:r>
              <w:rPr>
                <w:sz w:val="18"/>
              </w:rPr>
              <w:t>0.965</w:t>
            </w:r>
          </w:p>
        </w:tc>
        <w:tc>
          <w:tcPr>
            <w:tcW w:w="1440" w:type="dxa"/>
          </w:tcPr>
          <w:p w14:paraId="26943EEF" w14:textId="77777777" w:rsidR="00037981" w:rsidRDefault="00000000">
            <w:pPr>
              <w:spacing w:after="40" w:line="240" w:lineRule="auto"/>
            </w:pPr>
            <w:r>
              <w:rPr>
                <w:sz w:val="18"/>
              </w:rPr>
              <w:t>-0.001</w:t>
            </w:r>
          </w:p>
        </w:tc>
      </w:tr>
    </w:tbl>
    <w:p w14:paraId="32660500" w14:textId="77777777" w:rsidR="00037981" w:rsidRDefault="00037981"/>
    <w:p w14:paraId="0EDAA872" w14:textId="77777777" w:rsidR="00037981" w:rsidRDefault="00000000">
      <w:pPr>
        <w:jc w:val="both"/>
      </w:pPr>
      <w:r>
        <w:lastRenderedPageBreak/>
        <w:t>Bonferroni threshold for 5 tests = 0.010; LacCer 16:0 survives it.</w:t>
      </w:r>
    </w:p>
    <w:p w14:paraId="757CCFEA" w14:textId="77777777" w:rsidR="00037981" w:rsidRDefault="00000000">
      <w:pPr>
        <w:pStyle w:val="31"/>
        <w:spacing w:before="240" w:after="120"/>
      </w:pPr>
      <w:r>
        <w:rPr>
          <w:rFonts w:ascii="Times New Roman" w:hAnsi="Times New Roman"/>
          <w:color w:val="000000"/>
        </w:rPr>
        <w:t>Two things this explains</w:t>
      </w:r>
    </w:p>
    <w:p w14:paraId="50412E2E" w14:textId="77777777" w:rsidR="00037981" w:rsidRDefault="00000000">
      <w:pPr>
        <w:jc w:val="both"/>
      </w:pPr>
      <w:r>
        <w:rPr>
          <w:b/>
        </w:rPr>
        <w:t>1. Where the ratio null comes from.</w:t>
      </w:r>
      <w:r>
        <w:t xml:space="preserve"> The pre-registered endpoint is LacCer minus Cer. In MetaCardis, LacCer 16:0 declines with </w:t>
      </w:r>
      <w:r>
        <w:rPr>
          <w:i/>
        </w:rPr>
        <w:t>Bacteroides</w:t>
      </w:r>
      <w:r>
        <w:t xml:space="preserve"> abundance while Cer 16:0 does not move at all. The difference-endpoint therefore carries a weak inverse signal, which is the source of the -0.0306 / P = 0.046 four-covariate sensitivity estimate. That estimate is not a rescue of the discovery claim; it is the </w:t>
      </w:r>
      <w:r>
        <w:rPr>
          <w:b/>
        </w:rPr>
        <w:t>opposite sign</w:t>
      </w:r>
      <w:r>
        <w:t>, and it still must not be reported as a significant negative association, because it was not the privileged specification and the effect is standardised -0.095, roughly 1% of endpoint variance.</w:t>
      </w:r>
    </w:p>
    <w:p w14:paraId="6F958362" w14:textId="77777777" w:rsidR="00037981" w:rsidRDefault="00000000">
      <w:pPr>
        <w:jc w:val="both"/>
      </w:pPr>
      <w:r>
        <w:rPr>
          <w:b/>
        </w:rPr>
        <w:t>2. A direct human test of the published axis.</w:t>
      </w:r>
      <w:r>
        <w:t xml:space="preserve"> Johnson EL, Heaver SL, Waters JL, et al. (</w:t>
      </w:r>
      <w:r>
        <w:rPr>
          <w:i/>
        </w:rPr>
        <w:t>Nat Commun</w:t>
      </w:r>
      <w:r>
        <w:t xml:space="preserve"> 2020;11:2471, doi 10.1038/s41467-020-16274-w, PMID 32424203) showed that </w:t>
      </w:r>
      <w:r>
        <w:rPr>
          <w:i/>
        </w:rPr>
        <w:t>B. thetaiotaomicron</w:t>
      </w:r>
      <w:r>
        <w:t xml:space="preserve"> colonisation, dependent on bacterial SPT, alters </w:t>
      </w:r>
      <w:r>
        <w:rPr>
          <w:b/>
        </w:rPr>
        <w:t>host ceramide</w:t>
      </w:r>
      <w:r>
        <w:t>; Brown EM, Ke X, Hitchcock D, et al. (</w:t>
      </w:r>
      <w:r>
        <w:rPr>
          <w:i/>
        </w:rPr>
        <w:t>Cell Host Microbe</w:t>
      </w:r>
      <w:r>
        <w:t xml:space="preserve"> 2019;25:668-680.e7, doi 10.1016/j.chom.2019.04.002, PMID 31071294) showed sphingolipid-deficient </w:t>
      </w:r>
      <w:r>
        <w:rPr>
          <w:i/>
        </w:rPr>
        <w:t>B. thetaiotaomicron</w:t>
      </w:r>
      <w:r>
        <w:t xml:space="preserve"> alters host ceramide pools. The endpoint those papers implicate is ceramide itself. In 972 humans, </w:t>
      </w:r>
      <w:r>
        <w:rPr>
          <w:i/>
        </w:rPr>
        <w:t>Bacteroides</w:t>
      </w:r>
      <w:r>
        <w:t xml:space="preserve"> relative abundance shows </w:t>
      </w:r>
      <w:r>
        <w:rPr>
          <w:b/>
        </w:rPr>
        <w:t>no association with plasma Cer 16:0 (P = 0.855, standardised +0.006)</w:t>
      </w:r>
      <w:r>
        <w:t>.</w:t>
      </w:r>
    </w:p>
    <w:p w14:paraId="55DE3D49" w14:textId="77777777" w:rsidR="00037981" w:rsidRDefault="00000000">
      <w:pPr>
        <w:jc w:val="both"/>
      </w:pPr>
      <w:r>
        <w:t>That is the most field-relevant number produced in this project, and it is not a self-refutation: it is a well-powered human test of an influential mouse-and-cell-culture claim, on that claim's own endpoint.</w:t>
      </w:r>
    </w:p>
    <w:p w14:paraId="49E20EEF" w14:textId="77777777" w:rsidR="00037981" w:rsidRDefault="00000000">
      <w:pPr>
        <w:pStyle w:val="31"/>
        <w:spacing w:before="240" w:after="120"/>
      </w:pPr>
      <w:r>
        <w:rPr>
          <w:rFonts w:ascii="Times New Roman" w:hAnsi="Times New Roman"/>
          <w:color w:val="000000"/>
        </w:rPr>
        <w:t>What it does not license</w:t>
      </w:r>
    </w:p>
    <w:p w14:paraId="0063B282" w14:textId="77777777" w:rsidR="00037981" w:rsidRDefault="00000000">
      <w:pPr>
        <w:pStyle w:val="a0"/>
      </w:pPr>
      <w:r>
        <w:t>No causal reading of the LacCer decline. It is exploratory, small, and one of five tests.</w:t>
      </w:r>
    </w:p>
    <w:p w14:paraId="0BC3C3E0" w14:textId="77777777" w:rsidR="00037981" w:rsidRDefault="00000000">
      <w:pPr>
        <w:pStyle w:val="a0"/>
      </w:pPr>
      <w:r>
        <w:t xml:space="preserve">No claim that the Johnson/Brown mechanism is wrong. Those papers concern </w:t>
      </w:r>
      <w:r>
        <w:rPr>
          <w:i/>
        </w:rPr>
        <w:t>hepatic and intestinal</w:t>
      </w:r>
      <w:r>
        <w:t xml:space="preserve"> ceramide under controlled colonisation; this is </w:t>
      </w:r>
      <w:r>
        <w:rPr>
          <w:i/>
        </w:rPr>
        <w:t>circulating</w:t>
      </w:r>
      <w:r>
        <w:t xml:space="preserve"> C16 ceramide in free-living adults with relative-abundance exposure. Absence in plasma does not refute presence in liver. The defensible claim is that the axis does not project onto the circulating C16 pool at a magnitude detectable in ~1,000 people.</w:t>
      </w:r>
    </w:p>
    <w:p w14:paraId="703E2704" w14:textId="77777777" w:rsidR="00037981" w:rsidRDefault="00000000">
      <w:pPr>
        <w:pStyle w:val="a0"/>
      </w:pPr>
      <w:r>
        <w:t>Chain-length coverage is partial: MetaCardis released a limited sphingolipid panel, so this is not a lipidome-wide test.</w:t>
      </w:r>
    </w:p>
    <w:p w14:paraId="1B6BA6FA" w14:textId="77777777" w:rsidR="00037981" w:rsidRDefault="00000000">
      <w:pPr>
        <w:pStyle w:val="31"/>
        <w:spacing w:before="240" w:after="120"/>
      </w:pPr>
      <w:r>
        <w:rPr>
          <w:rFonts w:ascii="Times New Roman" w:hAnsi="Times New Roman"/>
          <w:color w:val="000000"/>
        </w:rPr>
        <w:lastRenderedPageBreak/>
        <w:t>Reproduction</w:t>
      </w:r>
    </w:p>
    <w:p w14:paraId="0BF189FC" w14:textId="77777777" w:rsidR="00037981" w:rsidRDefault="00000000">
      <w:pPr>
        <w:jc w:val="both"/>
      </w:pPr>
      <w:r>
        <w:t xml:space="preserve">Cell in session; output </w:t>
      </w:r>
      <w:r>
        <w:rPr>
          <w:rFonts w:ascii="Consolas" w:hAnsi="Consolas"/>
          <w:sz w:val="18"/>
        </w:rPr>
        <w:t>metacardis_exploratory_components.csv</w:t>
      </w:r>
      <w:r>
        <w:t>. Requires the composite (ID, Status) join and one-row-per-participant de-duplication of Pre-registration Amendment 1.</w:t>
      </w:r>
    </w:p>
    <w:p w14:paraId="4C472EC3" w14:textId="77777777" w:rsidR="00037981" w:rsidRDefault="00037981">
      <w:pPr>
        <w:pBdr>
          <w:bottom w:val="single" w:sz="6" w:space="0" w:color="999999"/>
        </w:pBdr>
      </w:pPr>
    </w:p>
    <w:p w14:paraId="61D9BABE" w14:textId="77777777" w:rsidR="00037981" w:rsidRDefault="00000000">
      <w:pPr>
        <w:pStyle w:val="21"/>
        <w:spacing w:before="240" w:after="120"/>
      </w:pPr>
      <w:r>
        <w:rPr>
          <w:rFonts w:ascii="Times New Roman" w:hAnsi="Times New Roman"/>
          <w:color w:val="000000"/>
        </w:rPr>
        <w:t>Supplementary Note 10. Repeated-measures and within-participant analyses</w:t>
      </w:r>
    </w:p>
    <w:p w14:paraId="78DDE4EF" w14:textId="77777777" w:rsidR="00037981" w:rsidRDefault="00000000">
      <w:pPr>
        <w:jc w:val="both"/>
      </w:pPr>
      <w:r>
        <w:t xml:space="preserve">Run 26 September 2026 under </w:t>
      </w:r>
      <w:r>
        <w:rPr>
          <w:rFonts w:ascii="Consolas" w:hAnsi="Consolas"/>
          <w:sz w:val="18"/>
        </w:rPr>
        <w:t>PRESPEC_LONGITUDINAL.md</w:t>
      </w:r>
      <w:r>
        <w:t>, written before the models below were fitted. Seed 20260924. Source: the public deposit 10.6084/m9.figshare.30422413.</w:t>
      </w:r>
    </w:p>
    <w:p w14:paraId="73A4A3D3" w14:textId="77777777" w:rsidR="00037981" w:rsidRDefault="00000000">
      <w:pPr>
        <w:pStyle w:val="31"/>
        <w:spacing w:before="240" w:after="120"/>
      </w:pPr>
      <w:r>
        <w:rPr>
          <w:rFonts w:ascii="Times New Roman" w:hAnsi="Times New Roman"/>
          <w:color w:val="000000"/>
        </w:rPr>
        <w:t>Headline</w:t>
      </w:r>
    </w:p>
    <w:p w14:paraId="0E2DD15D" w14:textId="77777777" w:rsidR="00037981" w:rsidRDefault="00000000">
      <w:pPr>
        <w:jc w:val="both"/>
      </w:pPr>
      <w:r>
        <w:rPr>
          <w:b/>
        </w:rPr>
        <w:t>The association survives expansion to the full repeated-measures dataset, but a within-participant relationship is not demonstrated.</w:t>
      </w:r>
      <w:r>
        <w:t xml:space="preserve"> The signal is between patients, not within a patient over time. Under the pre-specified decision rule this is outcome (2): directionally consistent, underpowered, claim nothing more.</w:t>
      </w:r>
    </w:p>
    <w:p w14:paraId="0EC58C11" w14:textId="77777777" w:rsidR="00037981" w:rsidRDefault="00000000">
      <w:pPr>
        <w:pStyle w:val="31"/>
        <w:spacing w:before="240" w:after="120"/>
      </w:pPr>
      <w:r>
        <w:rPr>
          <w:rFonts w:ascii="Times New Roman" w:hAnsi="Times New Roman"/>
          <w:color w:val="000000"/>
        </w:rPr>
        <w:t>The unused data</w:t>
      </w:r>
    </w:p>
    <w:p w14:paraId="4B9B3341" w14:textId="77777777" w:rsidR="00037981" w:rsidRDefault="00000000">
      <w:pPr>
        <w:jc w:val="both"/>
      </w:pPr>
      <w:r>
        <w:t xml:space="preserve">The frozen analysis set is </w:t>
      </w:r>
      <w:r>
        <w:rPr>
          <w:b/>
        </w:rPr>
        <w:t>baseline visits only</w:t>
      </w:r>
      <w:r>
        <w:t xml:space="preserve">. The deposit actually holds </w:t>
      </w:r>
      <w:r>
        <w:rPr>
          <w:b/>
        </w:rPr>
        <w:t>135 rows over 108 participants across three visits</w:t>
      </w:r>
      <w:r>
        <w:t xml:space="preserve">. Restricting to baseline discarded </w:t>
      </w:r>
      <w:r>
        <w:rPr>
          <w:b/>
        </w:rPr>
        <w:t>27 paired observations</w:t>
      </w:r>
      <w:r>
        <w:t xml:space="preserve"> (26 at follow_up_1, 1 at follow_up_2) from </w:t>
      </w:r>
      <w:r>
        <w:rPr>
          <w:b/>
        </w:rPr>
        <w:t>26 participants with two or more paired visits</w:t>
      </w:r>
      <w:r>
        <w:t>. Those observations are public and were already in hand.</w:t>
      </w:r>
    </w:p>
    <w:tbl>
      <w:tblPr>
        <w:tblStyle w:val="af9"/>
        <w:tblW w:w="0" w:type="auto"/>
        <w:jc w:val="center"/>
        <w:tblLook w:val="04A0" w:firstRow="1" w:lastRow="0" w:firstColumn="1" w:lastColumn="0" w:noHBand="0" w:noVBand="1"/>
      </w:tblPr>
      <w:tblGrid>
        <w:gridCol w:w="2880"/>
        <w:gridCol w:w="2880"/>
        <w:gridCol w:w="2880"/>
      </w:tblGrid>
      <w:tr w:rsidR="00037981" w14:paraId="5A5F1445" w14:textId="77777777">
        <w:trPr>
          <w:jc w:val="center"/>
        </w:trPr>
        <w:tc>
          <w:tcPr>
            <w:tcW w:w="2880" w:type="dxa"/>
          </w:tcPr>
          <w:p w14:paraId="1C0A1E9B" w14:textId="77777777" w:rsidR="00037981" w:rsidRDefault="00037981">
            <w:pPr>
              <w:spacing w:after="40" w:line="240" w:lineRule="auto"/>
            </w:pPr>
          </w:p>
        </w:tc>
        <w:tc>
          <w:tcPr>
            <w:tcW w:w="2880" w:type="dxa"/>
          </w:tcPr>
          <w:p w14:paraId="4B44D98E" w14:textId="77777777" w:rsidR="00037981" w:rsidRDefault="00000000">
            <w:pPr>
              <w:spacing w:after="40" w:line="240" w:lineRule="auto"/>
            </w:pPr>
            <w:r>
              <w:rPr>
                <w:b/>
                <w:sz w:val="18"/>
              </w:rPr>
              <w:t>frozen set (published)</w:t>
            </w:r>
          </w:p>
        </w:tc>
        <w:tc>
          <w:tcPr>
            <w:tcW w:w="2880" w:type="dxa"/>
          </w:tcPr>
          <w:p w14:paraId="2B5AEDBC" w14:textId="77777777" w:rsidR="00037981" w:rsidRDefault="00000000">
            <w:pPr>
              <w:spacing w:after="40" w:line="240" w:lineRule="auto"/>
            </w:pPr>
            <w:r>
              <w:rPr>
                <w:b/>
                <w:sz w:val="18"/>
              </w:rPr>
              <w:t>full deposit</w:t>
            </w:r>
          </w:p>
        </w:tc>
      </w:tr>
      <w:tr w:rsidR="00037981" w14:paraId="2A49D2D8" w14:textId="77777777">
        <w:trPr>
          <w:jc w:val="center"/>
        </w:trPr>
        <w:tc>
          <w:tcPr>
            <w:tcW w:w="2880" w:type="dxa"/>
          </w:tcPr>
          <w:p w14:paraId="0C998624" w14:textId="77777777" w:rsidR="00037981" w:rsidRDefault="00000000">
            <w:pPr>
              <w:spacing w:after="40" w:line="240" w:lineRule="auto"/>
            </w:pPr>
            <w:r>
              <w:rPr>
                <w:sz w:val="18"/>
              </w:rPr>
              <w:t>Paired lipid + metagenome observations</w:t>
            </w:r>
          </w:p>
        </w:tc>
        <w:tc>
          <w:tcPr>
            <w:tcW w:w="2880" w:type="dxa"/>
          </w:tcPr>
          <w:p w14:paraId="78BBDC34" w14:textId="77777777" w:rsidR="00037981" w:rsidRDefault="00000000">
            <w:pPr>
              <w:spacing w:after="40" w:line="240" w:lineRule="auto"/>
            </w:pPr>
            <w:r>
              <w:rPr>
                <w:sz w:val="18"/>
              </w:rPr>
              <w:t>58</w:t>
            </w:r>
          </w:p>
        </w:tc>
        <w:tc>
          <w:tcPr>
            <w:tcW w:w="2880" w:type="dxa"/>
          </w:tcPr>
          <w:p w14:paraId="59FBC1E2" w14:textId="77777777" w:rsidR="00037981" w:rsidRDefault="00000000">
            <w:pPr>
              <w:spacing w:after="40" w:line="240" w:lineRule="auto"/>
            </w:pPr>
            <w:r>
              <w:rPr>
                <w:b/>
                <w:sz w:val="18"/>
              </w:rPr>
              <w:t>85</w:t>
            </w:r>
          </w:p>
        </w:tc>
      </w:tr>
      <w:tr w:rsidR="00037981" w14:paraId="50536FFD" w14:textId="77777777">
        <w:trPr>
          <w:jc w:val="center"/>
        </w:trPr>
        <w:tc>
          <w:tcPr>
            <w:tcW w:w="2880" w:type="dxa"/>
          </w:tcPr>
          <w:p w14:paraId="6D2A76D7" w14:textId="77777777" w:rsidR="00037981" w:rsidRDefault="00000000">
            <w:pPr>
              <w:spacing w:after="40" w:line="240" w:lineRule="auto"/>
            </w:pPr>
            <w:r>
              <w:rPr>
                <w:sz w:val="18"/>
              </w:rPr>
              <w:t>Participants</w:t>
            </w:r>
          </w:p>
        </w:tc>
        <w:tc>
          <w:tcPr>
            <w:tcW w:w="2880" w:type="dxa"/>
          </w:tcPr>
          <w:p w14:paraId="111E1629" w14:textId="77777777" w:rsidR="00037981" w:rsidRDefault="00000000">
            <w:pPr>
              <w:spacing w:after="40" w:line="240" w:lineRule="auto"/>
            </w:pPr>
            <w:r>
              <w:rPr>
                <w:sz w:val="18"/>
              </w:rPr>
              <w:t>58</w:t>
            </w:r>
          </w:p>
        </w:tc>
        <w:tc>
          <w:tcPr>
            <w:tcW w:w="2880" w:type="dxa"/>
          </w:tcPr>
          <w:p w14:paraId="4A44E6B4" w14:textId="77777777" w:rsidR="00037981" w:rsidRDefault="00000000">
            <w:pPr>
              <w:spacing w:after="40" w:line="240" w:lineRule="auto"/>
            </w:pPr>
            <w:r>
              <w:rPr>
                <w:sz w:val="18"/>
              </w:rPr>
              <w:t>58</w:t>
            </w:r>
          </w:p>
        </w:tc>
      </w:tr>
      <w:tr w:rsidR="00037981" w14:paraId="272B288F" w14:textId="77777777">
        <w:trPr>
          <w:jc w:val="center"/>
        </w:trPr>
        <w:tc>
          <w:tcPr>
            <w:tcW w:w="2880" w:type="dxa"/>
          </w:tcPr>
          <w:p w14:paraId="2BFC2CA1" w14:textId="77777777" w:rsidR="00037981" w:rsidRDefault="00000000">
            <w:pPr>
              <w:spacing w:after="40" w:line="240" w:lineRule="auto"/>
            </w:pPr>
            <w:r>
              <w:rPr>
                <w:sz w:val="18"/>
              </w:rPr>
              <w:t>Participants with ≥2 paired visits</w:t>
            </w:r>
          </w:p>
        </w:tc>
        <w:tc>
          <w:tcPr>
            <w:tcW w:w="2880" w:type="dxa"/>
          </w:tcPr>
          <w:p w14:paraId="0448EFAA" w14:textId="77777777" w:rsidR="00037981" w:rsidRDefault="00000000">
            <w:pPr>
              <w:spacing w:after="40" w:line="240" w:lineRule="auto"/>
            </w:pPr>
            <w:r>
              <w:rPr>
                <w:sz w:val="18"/>
              </w:rPr>
              <w:t>0</w:t>
            </w:r>
          </w:p>
        </w:tc>
        <w:tc>
          <w:tcPr>
            <w:tcW w:w="2880" w:type="dxa"/>
          </w:tcPr>
          <w:p w14:paraId="7D1EF1B2" w14:textId="77777777" w:rsidR="00037981" w:rsidRDefault="00000000">
            <w:pPr>
              <w:spacing w:after="40" w:line="240" w:lineRule="auto"/>
            </w:pPr>
            <w:r>
              <w:rPr>
                <w:b/>
                <w:sz w:val="18"/>
              </w:rPr>
              <w:t>26</w:t>
            </w:r>
          </w:p>
        </w:tc>
      </w:tr>
      <w:tr w:rsidR="00037981" w14:paraId="7E8488B3" w14:textId="77777777">
        <w:trPr>
          <w:jc w:val="center"/>
        </w:trPr>
        <w:tc>
          <w:tcPr>
            <w:tcW w:w="2880" w:type="dxa"/>
          </w:tcPr>
          <w:p w14:paraId="3DBFC932" w14:textId="77777777" w:rsidR="00037981" w:rsidRDefault="00000000">
            <w:pPr>
              <w:spacing w:after="40" w:line="240" w:lineRule="auto"/>
            </w:pPr>
            <w:r>
              <w:rPr>
                <w:sz w:val="18"/>
              </w:rPr>
              <w:t>Visits used</w:t>
            </w:r>
          </w:p>
        </w:tc>
        <w:tc>
          <w:tcPr>
            <w:tcW w:w="2880" w:type="dxa"/>
          </w:tcPr>
          <w:p w14:paraId="01965571" w14:textId="77777777" w:rsidR="00037981" w:rsidRDefault="00000000">
            <w:pPr>
              <w:spacing w:after="40" w:line="240" w:lineRule="auto"/>
            </w:pPr>
            <w:r>
              <w:rPr>
                <w:sz w:val="18"/>
              </w:rPr>
              <w:t>baseline only</w:t>
            </w:r>
          </w:p>
        </w:tc>
        <w:tc>
          <w:tcPr>
            <w:tcW w:w="2880" w:type="dxa"/>
          </w:tcPr>
          <w:p w14:paraId="7F586E18" w14:textId="77777777" w:rsidR="00037981" w:rsidRDefault="00000000">
            <w:pPr>
              <w:spacing w:after="40" w:line="240" w:lineRule="auto"/>
            </w:pPr>
            <w:r>
              <w:rPr>
                <w:sz w:val="18"/>
              </w:rPr>
              <w:t>baseline, follow_up_1, follow_up_2</w:t>
            </w:r>
          </w:p>
        </w:tc>
      </w:tr>
    </w:tbl>
    <w:p w14:paraId="3D7D3BAE" w14:textId="77777777" w:rsidR="00037981" w:rsidRDefault="00037981"/>
    <w:p w14:paraId="08675768" w14:textId="77777777" w:rsidR="00037981" w:rsidRDefault="00000000">
      <w:pPr>
        <w:jc w:val="both"/>
      </w:pPr>
      <w:r>
        <w:t xml:space="preserve">(The deposit's 43 non-HF controls with metagenomics have </w:t>
      </w:r>
      <w:r>
        <w:rPr>
          <w:b/>
        </w:rPr>
        <w:t>no</w:t>
      </w:r>
      <w:r>
        <w:t xml:space="preserve"> lipidomics — verified, zero of them — so no case-control lipid contrast is possible.)</w:t>
      </w:r>
    </w:p>
    <w:p w14:paraId="7F90F869" w14:textId="77777777" w:rsidR="00037981" w:rsidRDefault="00000000">
      <w:pPr>
        <w:pStyle w:val="31"/>
        <w:spacing w:before="240" w:after="120"/>
      </w:pPr>
      <w:r>
        <w:rPr>
          <w:rFonts w:ascii="Times New Roman" w:hAnsi="Times New Roman"/>
          <w:color w:val="000000"/>
        </w:rPr>
        <w:t>Gate — passed exactly</w:t>
      </w:r>
    </w:p>
    <w:p w14:paraId="7796C6DB" w14:textId="77777777" w:rsidR="00037981" w:rsidRDefault="00000000">
      <w:pPr>
        <w:jc w:val="both"/>
      </w:pPr>
      <w:r>
        <w:t xml:space="preserve">Refitting the published model on the 58 baseline rows drawn from the </w:t>
      </w:r>
      <w:r>
        <w:rPr>
          <w:i/>
        </w:rPr>
        <w:t>deposit</w:t>
      </w:r>
      <w:r>
        <w:t xml:space="preserve"> rather than the frozen CSV returns </w:t>
      </w:r>
      <w:r>
        <w:rPr>
          <w:b/>
        </w:rPr>
        <w:t>β = +0.4201, SE 0.1142, P = 5.67 × 10⁻⁴</w:t>
      </w:r>
      <w:r>
        <w:t xml:space="preserve"> — identical. The deposit-to-frozen mapping is therefore correct and the models below are comparable.</w:t>
      </w:r>
    </w:p>
    <w:p w14:paraId="6E57C35B" w14:textId="77777777" w:rsidR="00037981" w:rsidRDefault="00000000">
      <w:pPr>
        <w:pStyle w:val="31"/>
        <w:spacing w:before="240" w:after="120"/>
      </w:pPr>
      <w:r>
        <w:rPr>
          <w:rFonts w:ascii="Times New Roman" w:hAnsi="Times New Roman"/>
          <w:color w:val="000000"/>
        </w:rPr>
        <w:lastRenderedPageBreak/>
        <w:t>Results</w:t>
      </w:r>
    </w:p>
    <w:tbl>
      <w:tblPr>
        <w:tblStyle w:val="af9"/>
        <w:tblW w:w="0" w:type="auto"/>
        <w:jc w:val="center"/>
        <w:tblLook w:val="04A0" w:firstRow="1" w:lastRow="0" w:firstColumn="1" w:lastColumn="0" w:noHBand="0" w:noVBand="1"/>
      </w:tblPr>
      <w:tblGrid>
        <w:gridCol w:w="1234"/>
        <w:gridCol w:w="1234"/>
        <w:gridCol w:w="1234"/>
        <w:gridCol w:w="1234"/>
        <w:gridCol w:w="1234"/>
        <w:gridCol w:w="1234"/>
        <w:gridCol w:w="1234"/>
      </w:tblGrid>
      <w:tr w:rsidR="00037981" w14:paraId="7C64494D" w14:textId="77777777">
        <w:trPr>
          <w:jc w:val="center"/>
        </w:trPr>
        <w:tc>
          <w:tcPr>
            <w:tcW w:w="1234" w:type="dxa"/>
          </w:tcPr>
          <w:p w14:paraId="37EE6761" w14:textId="77777777" w:rsidR="00037981" w:rsidRDefault="00000000">
            <w:pPr>
              <w:spacing w:after="40" w:line="240" w:lineRule="auto"/>
            </w:pPr>
            <w:r>
              <w:rPr>
                <w:b/>
                <w:sz w:val="18"/>
              </w:rPr>
              <w:t>Model</w:t>
            </w:r>
          </w:p>
        </w:tc>
        <w:tc>
          <w:tcPr>
            <w:tcW w:w="1234" w:type="dxa"/>
          </w:tcPr>
          <w:p w14:paraId="5000CEAD" w14:textId="77777777" w:rsidR="00037981" w:rsidRDefault="00000000">
            <w:pPr>
              <w:spacing w:after="40" w:line="240" w:lineRule="auto"/>
            </w:pPr>
            <w:r>
              <w:rPr>
                <w:b/>
                <w:sz w:val="18"/>
              </w:rPr>
              <w:t>n obs</w:t>
            </w:r>
          </w:p>
        </w:tc>
        <w:tc>
          <w:tcPr>
            <w:tcW w:w="1234" w:type="dxa"/>
          </w:tcPr>
          <w:p w14:paraId="4A05A5E7" w14:textId="77777777" w:rsidR="00037981" w:rsidRDefault="00000000">
            <w:pPr>
              <w:spacing w:after="40" w:line="240" w:lineRule="auto"/>
            </w:pPr>
            <w:r>
              <w:rPr>
                <w:b/>
                <w:sz w:val="18"/>
              </w:rPr>
              <w:t>n participants</w:t>
            </w:r>
          </w:p>
        </w:tc>
        <w:tc>
          <w:tcPr>
            <w:tcW w:w="1234" w:type="dxa"/>
          </w:tcPr>
          <w:p w14:paraId="55BA6DB4" w14:textId="77777777" w:rsidR="00037981" w:rsidRDefault="00000000">
            <w:pPr>
              <w:spacing w:after="40" w:line="240" w:lineRule="auto"/>
            </w:pPr>
            <w:r>
              <w:rPr>
                <w:b/>
                <w:sz w:val="18"/>
              </w:rPr>
              <w:t>β</w:t>
            </w:r>
          </w:p>
        </w:tc>
        <w:tc>
          <w:tcPr>
            <w:tcW w:w="1234" w:type="dxa"/>
          </w:tcPr>
          <w:p w14:paraId="6C0F639C" w14:textId="77777777" w:rsidR="00037981" w:rsidRDefault="00000000">
            <w:pPr>
              <w:spacing w:after="40" w:line="240" w:lineRule="auto"/>
            </w:pPr>
            <w:r>
              <w:rPr>
                <w:b/>
                <w:sz w:val="18"/>
              </w:rPr>
              <w:t>SE</w:t>
            </w:r>
          </w:p>
        </w:tc>
        <w:tc>
          <w:tcPr>
            <w:tcW w:w="1234" w:type="dxa"/>
          </w:tcPr>
          <w:p w14:paraId="256D53FB" w14:textId="77777777" w:rsidR="00037981" w:rsidRDefault="00000000">
            <w:pPr>
              <w:spacing w:after="40" w:line="240" w:lineRule="auto"/>
            </w:pPr>
            <w:r>
              <w:rPr>
                <w:b/>
                <w:sz w:val="18"/>
              </w:rPr>
              <w:t>95% CI</w:t>
            </w:r>
          </w:p>
        </w:tc>
        <w:tc>
          <w:tcPr>
            <w:tcW w:w="1234" w:type="dxa"/>
          </w:tcPr>
          <w:p w14:paraId="6E3B84D8" w14:textId="77777777" w:rsidR="00037981" w:rsidRDefault="00000000">
            <w:pPr>
              <w:spacing w:after="40" w:line="240" w:lineRule="auto"/>
            </w:pPr>
            <w:r>
              <w:rPr>
                <w:b/>
                <w:sz w:val="18"/>
              </w:rPr>
              <w:t>P</w:t>
            </w:r>
          </w:p>
        </w:tc>
      </w:tr>
      <w:tr w:rsidR="00037981" w14:paraId="0C87C7DF" w14:textId="77777777">
        <w:trPr>
          <w:jc w:val="center"/>
        </w:trPr>
        <w:tc>
          <w:tcPr>
            <w:tcW w:w="1234" w:type="dxa"/>
          </w:tcPr>
          <w:p w14:paraId="2E5D1279" w14:textId="77777777" w:rsidR="00037981" w:rsidRDefault="00000000">
            <w:pPr>
              <w:spacing w:after="40" w:line="240" w:lineRule="auto"/>
            </w:pPr>
            <w:r>
              <w:rPr>
                <w:sz w:val="18"/>
              </w:rPr>
              <w:t>Gate: baseline, OLS (published spec)</w:t>
            </w:r>
          </w:p>
        </w:tc>
        <w:tc>
          <w:tcPr>
            <w:tcW w:w="1234" w:type="dxa"/>
          </w:tcPr>
          <w:p w14:paraId="439A7D67" w14:textId="77777777" w:rsidR="00037981" w:rsidRDefault="00000000">
            <w:pPr>
              <w:spacing w:after="40" w:line="240" w:lineRule="auto"/>
            </w:pPr>
            <w:r>
              <w:rPr>
                <w:sz w:val="18"/>
              </w:rPr>
              <w:t>58</w:t>
            </w:r>
          </w:p>
        </w:tc>
        <w:tc>
          <w:tcPr>
            <w:tcW w:w="1234" w:type="dxa"/>
          </w:tcPr>
          <w:p w14:paraId="18C9C345" w14:textId="77777777" w:rsidR="00037981" w:rsidRDefault="00000000">
            <w:pPr>
              <w:spacing w:after="40" w:line="240" w:lineRule="auto"/>
            </w:pPr>
            <w:r>
              <w:rPr>
                <w:sz w:val="18"/>
              </w:rPr>
              <w:t>58</w:t>
            </w:r>
          </w:p>
        </w:tc>
        <w:tc>
          <w:tcPr>
            <w:tcW w:w="1234" w:type="dxa"/>
          </w:tcPr>
          <w:p w14:paraId="0F54E24B" w14:textId="77777777" w:rsidR="00037981" w:rsidRDefault="00000000">
            <w:pPr>
              <w:spacing w:after="40" w:line="240" w:lineRule="auto"/>
            </w:pPr>
            <w:r>
              <w:rPr>
                <w:b/>
                <w:sz w:val="18"/>
              </w:rPr>
              <w:t>+0.4201</w:t>
            </w:r>
          </w:p>
        </w:tc>
        <w:tc>
          <w:tcPr>
            <w:tcW w:w="1234" w:type="dxa"/>
          </w:tcPr>
          <w:p w14:paraId="467A21E0" w14:textId="77777777" w:rsidR="00037981" w:rsidRDefault="00000000">
            <w:pPr>
              <w:spacing w:after="40" w:line="240" w:lineRule="auto"/>
            </w:pPr>
            <w:r>
              <w:rPr>
                <w:sz w:val="18"/>
              </w:rPr>
              <w:t>0.1142</w:t>
            </w:r>
          </w:p>
        </w:tc>
        <w:tc>
          <w:tcPr>
            <w:tcW w:w="1234" w:type="dxa"/>
          </w:tcPr>
          <w:p w14:paraId="567264EB" w14:textId="77777777" w:rsidR="00037981" w:rsidRDefault="00000000">
            <w:pPr>
              <w:spacing w:after="40" w:line="240" w:lineRule="auto"/>
            </w:pPr>
            <w:r>
              <w:rPr>
                <w:sz w:val="18"/>
              </w:rPr>
              <w:t>—</w:t>
            </w:r>
          </w:p>
        </w:tc>
        <w:tc>
          <w:tcPr>
            <w:tcW w:w="1234" w:type="dxa"/>
          </w:tcPr>
          <w:p w14:paraId="7D965D57" w14:textId="77777777" w:rsidR="00037981" w:rsidRDefault="00000000">
            <w:pPr>
              <w:spacing w:after="40" w:line="240" w:lineRule="auto"/>
            </w:pPr>
            <w:r>
              <w:rPr>
                <w:sz w:val="18"/>
              </w:rPr>
              <w:t>5.67 × 10⁻⁴</w:t>
            </w:r>
          </w:p>
        </w:tc>
      </w:tr>
      <w:tr w:rsidR="00037981" w14:paraId="2A609F0D" w14:textId="77777777">
        <w:trPr>
          <w:jc w:val="center"/>
        </w:trPr>
        <w:tc>
          <w:tcPr>
            <w:tcW w:w="1234" w:type="dxa"/>
          </w:tcPr>
          <w:p w14:paraId="500B73D4" w14:textId="77777777" w:rsidR="00037981" w:rsidRDefault="00000000">
            <w:pPr>
              <w:spacing w:after="40" w:line="240" w:lineRule="auto"/>
            </w:pPr>
            <w:r>
              <w:rPr>
                <w:sz w:val="18"/>
              </w:rPr>
              <w:t>Primary: all paired, mixed model</w:t>
            </w:r>
          </w:p>
        </w:tc>
        <w:tc>
          <w:tcPr>
            <w:tcW w:w="1234" w:type="dxa"/>
          </w:tcPr>
          <w:p w14:paraId="6267603C" w14:textId="77777777" w:rsidR="00037981" w:rsidRDefault="00000000">
            <w:pPr>
              <w:spacing w:after="40" w:line="240" w:lineRule="auto"/>
            </w:pPr>
            <w:r>
              <w:rPr>
                <w:sz w:val="18"/>
              </w:rPr>
              <w:t>85</w:t>
            </w:r>
          </w:p>
        </w:tc>
        <w:tc>
          <w:tcPr>
            <w:tcW w:w="1234" w:type="dxa"/>
          </w:tcPr>
          <w:p w14:paraId="32E3BDEE" w14:textId="77777777" w:rsidR="00037981" w:rsidRDefault="00000000">
            <w:pPr>
              <w:spacing w:after="40" w:line="240" w:lineRule="auto"/>
            </w:pPr>
            <w:r>
              <w:rPr>
                <w:sz w:val="18"/>
              </w:rPr>
              <w:t>58</w:t>
            </w:r>
          </w:p>
        </w:tc>
        <w:tc>
          <w:tcPr>
            <w:tcW w:w="1234" w:type="dxa"/>
          </w:tcPr>
          <w:p w14:paraId="65FA2F05" w14:textId="77777777" w:rsidR="00037981" w:rsidRDefault="00000000">
            <w:pPr>
              <w:spacing w:after="40" w:line="240" w:lineRule="auto"/>
            </w:pPr>
            <w:r>
              <w:rPr>
                <w:b/>
                <w:sz w:val="18"/>
              </w:rPr>
              <w:t>+0.2964</w:t>
            </w:r>
          </w:p>
        </w:tc>
        <w:tc>
          <w:tcPr>
            <w:tcW w:w="1234" w:type="dxa"/>
          </w:tcPr>
          <w:p w14:paraId="49EAD1AB" w14:textId="77777777" w:rsidR="00037981" w:rsidRDefault="00000000">
            <w:pPr>
              <w:spacing w:after="40" w:line="240" w:lineRule="auto"/>
            </w:pPr>
            <w:r>
              <w:rPr>
                <w:sz w:val="18"/>
              </w:rPr>
              <w:t>0.1099</w:t>
            </w:r>
          </w:p>
        </w:tc>
        <w:tc>
          <w:tcPr>
            <w:tcW w:w="1234" w:type="dxa"/>
          </w:tcPr>
          <w:p w14:paraId="507A7AD1" w14:textId="77777777" w:rsidR="00037981" w:rsidRDefault="00000000">
            <w:pPr>
              <w:spacing w:after="40" w:line="240" w:lineRule="auto"/>
            </w:pPr>
            <w:r>
              <w:rPr>
                <w:sz w:val="18"/>
              </w:rPr>
              <w:t>+0.081 to +0.512</w:t>
            </w:r>
          </w:p>
        </w:tc>
        <w:tc>
          <w:tcPr>
            <w:tcW w:w="1234" w:type="dxa"/>
          </w:tcPr>
          <w:p w14:paraId="05C67AC6" w14:textId="77777777" w:rsidR="00037981" w:rsidRDefault="00000000">
            <w:pPr>
              <w:spacing w:after="40" w:line="240" w:lineRule="auto"/>
            </w:pPr>
            <w:r>
              <w:rPr>
                <w:b/>
                <w:sz w:val="18"/>
              </w:rPr>
              <w:t>0.0070</w:t>
            </w:r>
          </w:p>
        </w:tc>
      </w:tr>
      <w:tr w:rsidR="00037981" w14:paraId="1ECA2A5D" w14:textId="77777777">
        <w:trPr>
          <w:jc w:val="center"/>
        </w:trPr>
        <w:tc>
          <w:tcPr>
            <w:tcW w:w="1234" w:type="dxa"/>
          </w:tcPr>
          <w:p w14:paraId="57C27423" w14:textId="77777777" w:rsidR="00037981" w:rsidRDefault="00000000">
            <w:pPr>
              <w:spacing w:after="40" w:line="240" w:lineRule="auto"/>
            </w:pPr>
            <w:r>
              <w:rPr>
                <w:sz w:val="18"/>
              </w:rPr>
              <w:t>Within-participant (Mundlak)</w:t>
            </w:r>
          </w:p>
        </w:tc>
        <w:tc>
          <w:tcPr>
            <w:tcW w:w="1234" w:type="dxa"/>
          </w:tcPr>
          <w:p w14:paraId="59EE4851" w14:textId="77777777" w:rsidR="00037981" w:rsidRDefault="00000000">
            <w:pPr>
              <w:spacing w:after="40" w:line="240" w:lineRule="auto"/>
            </w:pPr>
            <w:r>
              <w:rPr>
                <w:sz w:val="18"/>
              </w:rPr>
              <w:t>53</w:t>
            </w:r>
          </w:p>
        </w:tc>
        <w:tc>
          <w:tcPr>
            <w:tcW w:w="1234" w:type="dxa"/>
          </w:tcPr>
          <w:p w14:paraId="255930F5" w14:textId="77777777" w:rsidR="00037981" w:rsidRDefault="00000000">
            <w:pPr>
              <w:spacing w:after="40" w:line="240" w:lineRule="auto"/>
            </w:pPr>
            <w:r>
              <w:rPr>
                <w:sz w:val="18"/>
              </w:rPr>
              <w:t>26</w:t>
            </w:r>
          </w:p>
        </w:tc>
        <w:tc>
          <w:tcPr>
            <w:tcW w:w="1234" w:type="dxa"/>
          </w:tcPr>
          <w:p w14:paraId="69B7DF33" w14:textId="77777777" w:rsidR="00037981" w:rsidRDefault="00000000">
            <w:pPr>
              <w:spacing w:after="40" w:line="240" w:lineRule="auto"/>
            </w:pPr>
            <w:r>
              <w:rPr>
                <w:b/>
                <w:sz w:val="18"/>
              </w:rPr>
              <w:t>+0.1614</w:t>
            </w:r>
          </w:p>
        </w:tc>
        <w:tc>
          <w:tcPr>
            <w:tcW w:w="1234" w:type="dxa"/>
          </w:tcPr>
          <w:p w14:paraId="4DFA8A35" w14:textId="77777777" w:rsidR="00037981" w:rsidRDefault="00000000">
            <w:pPr>
              <w:spacing w:after="40" w:line="240" w:lineRule="auto"/>
            </w:pPr>
            <w:r>
              <w:rPr>
                <w:sz w:val="18"/>
              </w:rPr>
              <w:t>0.2382</w:t>
            </w:r>
          </w:p>
        </w:tc>
        <w:tc>
          <w:tcPr>
            <w:tcW w:w="1234" w:type="dxa"/>
          </w:tcPr>
          <w:p w14:paraId="1F94F590" w14:textId="77777777" w:rsidR="00037981" w:rsidRDefault="00000000">
            <w:pPr>
              <w:spacing w:after="40" w:line="240" w:lineRule="auto"/>
            </w:pPr>
            <w:r>
              <w:rPr>
                <w:sz w:val="18"/>
              </w:rPr>
              <w:t>−0.305 to +0.628</w:t>
            </w:r>
          </w:p>
        </w:tc>
        <w:tc>
          <w:tcPr>
            <w:tcW w:w="1234" w:type="dxa"/>
          </w:tcPr>
          <w:p w14:paraId="309D54C7" w14:textId="77777777" w:rsidR="00037981" w:rsidRDefault="00000000">
            <w:pPr>
              <w:spacing w:after="40" w:line="240" w:lineRule="auto"/>
            </w:pPr>
            <w:r>
              <w:rPr>
                <w:sz w:val="18"/>
              </w:rPr>
              <w:t>0.498</w:t>
            </w:r>
          </w:p>
        </w:tc>
      </w:tr>
      <w:tr w:rsidR="00037981" w14:paraId="69B09B5F" w14:textId="77777777">
        <w:trPr>
          <w:jc w:val="center"/>
        </w:trPr>
        <w:tc>
          <w:tcPr>
            <w:tcW w:w="1234" w:type="dxa"/>
          </w:tcPr>
          <w:p w14:paraId="4CC803FB" w14:textId="77777777" w:rsidR="00037981" w:rsidRDefault="00000000">
            <w:pPr>
              <w:spacing w:after="40" w:line="240" w:lineRule="auto"/>
            </w:pPr>
            <w:r>
              <w:rPr>
                <w:sz w:val="18"/>
              </w:rPr>
              <w:t>Between-participant (same fit)</w:t>
            </w:r>
          </w:p>
        </w:tc>
        <w:tc>
          <w:tcPr>
            <w:tcW w:w="1234" w:type="dxa"/>
          </w:tcPr>
          <w:p w14:paraId="304D97FD" w14:textId="77777777" w:rsidR="00037981" w:rsidRDefault="00000000">
            <w:pPr>
              <w:spacing w:after="40" w:line="240" w:lineRule="auto"/>
            </w:pPr>
            <w:r>
              <w:rPr>
                <w:sz w:val="18"/>
              </w:rPr>
              <w:t>53</w:t>
            </w:r>
          </w:p>
        </w:tc>
        <w:tc>
          <w:tcPr>
            <w:tcW w:w="1234" w:type="dxa"/>
          </w:tcPr>
          <w:p w14:paraId="2BCC9CA7" w14:textId="77777777" w:rsidR="00037981" w:rsidRDefault="00000000">
            <w:pPr>
              <w:spacing w:after="40" w:line="240" w:lineRule="auto"/>
            </w:pPr>
            <w:r>
              <w:rPr>
                <w:sz w:val="18"/>
              </w:rPr>
              <w:t>26</w:t>
            </w:r>
          </w:p>
        </w:tc>
        <w:tc>
          <w:tcPr>
            <w:tcW w:w="1234" w:type="dxa"/>
          </w:tcPr>
          <w:p w14:paraId="63A2810B" w14:textId="77777777" w:rsidR="00037981" w:rsidRDefault="00000000">
            <w:pPr>
              <w:spacing w:after="40" w:line="240" w:lineRule="auto"/>
            </w:pPr>
            <w:r>
              <w:rPr>
                <w:sz w:val="18"/>
              </w:rPr>
              <w:t>+0.2387</w:t>
            </w:r>
          </w:p>
        </w:tc>
        <w:tc>
          <w:tcPr>
            <w:tcW w:w="1234" w:type="dxa"/>
          </w:tcPr>
          <w:p w14:paraId="6C3D5CAF" w14:textId="77777777" w:rsidR="00037981" w:rsidRDefault="00000000">
            <w:pPr>
              <w:spacing w:after="40" w:line="240" w:lineRule="auto"/>
            </w:pPr>
            <w:r>
              <w:rPr>
                <w:sz w:val="18"/>
              </w:rPr>
              <w:t>—</w:t>
            </w:r>
          </w:p>
        </w:tc>
        <w:tc>
          <w:tcPr>
            <w:tcW w:w="1234" w:type="dxa"/>
          </w:tcPr>
          <w:p w14:paraId="09198FAD" w14:textId="77777777" w:rsidR="00037981" w:rsidRDefault="00000000">
            <w:pPr>
              <w:spacing w:after="40" w:line="240" w:lineRule="auto"/>
            </w:pPr>
            <w:r>
              <w:rPr>
                <w:sz w:val="18"/>
              </w:rPr>
              <w:t>—</w:t>
            </w:r>
          </w:p>
        </w:tc>
        <w:tc>
          <w:tcPr>
            <w:tcW w:w="1234" w:type="dxa"/>
          </w:tcPr>
          <w:p w14:paraId="34A99B1E" w14:textId="77777777" w:rsidR="00037981" w:rsidRDefault="00000000">
            <w:pPr>
              <w:spacing w:after="40" w:line="240" w:lineRule="auto"/>
            </w:pPr>
            <w:r>
              <w:rPr>
                <w:sz w:val="18"/>
              </w:rPr>
              <w:t>0.199</w:t>
            </w:r>
          </w:p>
        </w:tc>
      </w:tr>
    </w:tbl>
    <w:p w14:paraId="374584AC" w14:textId="77777777" w:rsidR="00037981" w:rsidRDefault="00037981"/>
    <w:p w14:paraId="00FF8950" w14:textId="77777777" w:rsidR="00037981" w:rsidRDefault="00000000">
      <w:pPr>
        <w:pStyle w:val="31"/>
        <w:spacing w:before="240" w:after="120"/>
      </w:pPr>
      <w:r>
        <w:rPr>
          <w:rFonts w:ascii="Times New Roman" w:hAnsi="Times New Roman"/>
          <w:color w:val="000000"/>
        </w:rPr>
        <w:t>What this means</w:t>
      </w:r>
    </w:p>
    <w:p w14:paraId="664378D5" w14:textId="77777777" w:rsidR="00037981" w:rsidRDefault="00000000">
      <w:pPr>
        <w:jc w:val="both"/>
      </w:pPr>
      <w:r>
        <w:rPr>
          <w:b/>
        </w:rPr>
        <w:t>The good.</w:t>
      </w:r>
      <w:r>
        <w:t xml:space="preserve"> Adding 27 previously unused observations and modelling participants as a random effect leaves the association intact at </w:t>
      </w:r>
      <w:r>
        <w:rPr>
          <w:b/>
        </w:rPr>
        <w:t>β = +0.296, P = 0.007</w:t>
      </w:r>
      <w:r>
        <w:t>. The estimate attenuates from +0.42 to +0.30 but the confidence interval excludes zero. This is a more defensible specification than the published one — it uses all available paired data and it stops treating repeated visits from one person as independent.</w:t>
      </w:r>
    </w:p>
    <w:p w14:paraId="457F7B1E" w14:textId="77777777" w:rsidR="00037981" w:rsidRDefault="00000000">
      <w:pPr>
        <w:jc w:val="both"/>
      </w:pPr>
      <w:r>
        <w:rPr>
          <w:b/>
        </w:rPr>
        <w:t>The limitation, stated as prominently.</w:t>
      </w:r>
      <w:r>
        <w:t xml:space="preserve"> The within-participant coefficient is </w:t>
      </w:r>
      <w:r>
        <w:rPr>
          <w:b/>
        </w:rPr>
        <w:t>+0.161 with a 95% CI of −0.305 to +0.628</w:t>
      </w:r>
      <w:r>
        <w:t xml:space="preserve">. The interval contains zero and is three times wider than the point estimate. At 26 participants this analysis cannot detect an effect of the size the cross-sectional data suggest, so it is </w:t>
      </w:r>
      <w:r>
        <w:rPr>
          <w:b/>
        </w:rPr>
        <w:t>uninformative rather than contradictory</w:t>
      </w:r>
      <w:r>
        <w:t xml:space="preserve"> — but it means the claim "a patient whose Bacteroides abundance rises shows a rising lactosylceramide ratio" is </w:t>
      </w:r>
      <w:r>
        <w:rPr>
          <w:b/>
        </w:rPr>
        <w:t>not supported by these data</w:t>
      </w:r>
      <w:r>
        <w:t>. What is supported is the between-patient statement: patients with more Bacteroides have a higher ratio than patients with less.</w:t>
      </w:r>
    </w:p>
    <w:p w14:paraId="46A2F6E1" w14:textId="77777777" w:rsidR="00037981" w:rsidRDefault="00000000">
      <w:pPr>
        <w:jc w:val="both"/>
      </w:pPr>
      <w:r>
        <w:t>That distinction should be in the abstract of any resubmission. It is exactly the kind of over-reading a reviewer will test for, and the honest version costs nothing because the between-patient association is what the paper claims anyway.</w:t>
      </w:r>
    </w:p>
    <w:p w14:paraId="74E5EC6D" w14:textId="77777777" w:rsidR="00037981" w:rsidRDefault="00000000">
      <w:pPr>
        <w:pStyle w:val="31"/>
        <w:spacing w:before="240" w:after="120"/>
      </w:pPr>
      <w:r>
        <w:rPr>
          <w:rFonts w:ascii="Times New Roman" w:hAnsi="Times New Roman"/>
          <w:color w:val="000000"/>
        </w:rPr>
        <w:t>What was deliberately not done</w:t>
      </w:r>
    </w:p>
    <w:p w14:paraId="33AC17DF" w14:textId="77777777" w:rsidR="00037981" w:rsidRDefault="00000000">
      <w:pPr>
        <w:jc w:val="both"/>
      </w:pPr>
      <w:r>
        <w:t xml:space="preserve">The deposit records </w:t>
      </w:r>
      <w:r>
        <w:rPr>
          <w:rFonts w:ascii="Consolas" w:hAnsi="Consolas"/>
          <w:sz w:val="18"/>
        </w:rPr>
        <w:t>lvad_outcome</w:t>
      </w:r>
      <w:r>
        <w:t xml:space="preserve"> and </w:t>
      </w:r>
      <w:r>
        <w:rPr>
          <w:rFonts w:ascii="Consolas" w:hAnsi="Consolas"/>
          <w:sz w:val="18"/>
        </w:rPr>
        <w:t>htx_outcome</w:t>
      </w:r>
      <w:r>
        <w:t xml:space="preserve">. There are </w:t>
      </w:r>
      <w:r>
        <w:rPr>
          <w:b/>
        </w:rPr>
        <w:t>9 events (3 LVAD, 7 heart transplant) among 108 participants</w:t>
      </w:r>
      <w:r>
        <w:t xml:space="preserve">, all 9 among the 58 with paired data. Against a six-term model that is </w:t>
      </w:r>
      <w:r>
        <w:rPr>
          <w:b/>
        </w:rPr>
        <w:t>1.5 events per variable</w:t>
      </w:r>
      <w:r>
        <w:t xml:space="preserve">, against a conventional floor of 10. </w:t>
      </w:r>
      <w:r>
        <w:rPr>
          <w:b/>
        </w:rPr>
        <w:t xml:space="preserve">No survival or </w:t>
      </w:r>
      <w:r>
        <w:rPr>
          <w:b/>
        </w:rPr>
        <w:lastRenderedPageBreak/>
        <w:t>outcome model was fitted</w:t>
      </w:r>
      <w:r>
        <w:t>, and none should be. This is recorded here because the temptation to run one is precisely what a clinical-journal target creates.</w:t>
      </w:r>
    </w:p>
    <w:p w14:paraId="6C1C8CAB" w14:textId="77777777" w:rsidR="00037981" w:rsidRDefault="00037981">
      <w:pPr>
        <w:pBdr>
          <w:bottom w:val="single" w:sz="6" w:space="0" w:color="999999"/>
        </w:pBdr>
      </w:pPr>
    </w:p>
    <w:p w14:paraId="1E4D60FA" w14:textId="77777777" w:rsidR="00037981" w:rsidRDefault="00000000">
      <w:pPr>
        <w:pStyle w:val="21"/>
        <w:spacing w:before="240" w:after="120"/>
      </w:pPr>
      <w:r>
        <w:rPr>
          <w:rFonts w:ascii="Times New Roman" w:hAnsi="Times New Roman"/>
          <w:color w:val="000000"/>
        </w:rPr>
        <w:t>Supplementary Note 11. Murine target comparison: B4galt5 versus B4galt6</w:t>
      </w:r>
    </w:p>
    <w:p w14:paraId="198E1D2E" w14:textId="77777777" w:rsidR="00037981" w:rsidRDefault="00000000">
      <w:pPr>
        <w:jc w:val="both"/>
      </w:pPr>
      <w:r>
        <w:t xml:space="preserve">Result memo. Track 3. Seed 20260924. Endpoints pre-specified in </w:t>
      </w:r>
      <w:r>
        <w:rPr>
          <w:rFonts w:ascii="Consolas" w:hAnsi="Consolas"/>
          <w:sz w:val="18"/>
        </w:rPr>
        <w:t>PRESPEC_b4galt6_vs_b4galt5.md</w:t>
      </w:r>
      <w:r>
        <w:t xml:space="preserve"> before any expression value was extracted.</w:t>
      </w:r>
    </w:p>
    <w:p w14:paraId="7C0236B0" w14:textId="77777777" w:rsidR="00037981" w:rsidRDefault="00037981">
      <w:pPr>
        <w:pBdr>
          <w:bottom w:val="single" w:sz="6" w:space="0" w:color="999999"/>
        </w:pBdr>
      </w:pPr>
    </w:p>
    <w:p w14:paraId="7BF8FAFD" w14:textId="77777777" w:rsidR="00037981" w:rsidRDefault="00000000">
      <w:pPr>
        <w:pStyle w:val="31"/>
        <w:spacing w:before="240" w:after="120"/>
      </w:pPr>
      <w:r>
        <w:rPr>
          <w:rFonts w:ascii="Times New Roman" w:hAnsi="Times New Roman"/>
          <w:color w:val="000000"/>
        </w:rPr>
        <w:t>HEADLINE</w:t>
      </w:r>
    </w:p>
    <w:p w14:paraId="19C1C242" w14:textId="77777777" w:rsidR="00037981" w:rsidRDefault="00000000">
      <w:pPr>
        <w:jc w:val="both"/>
      </w:pPr>
      <w:r>
        <w:rPr>
          <w:b/>
        </w:rPr>
        <w:t>Neither gene has a defensible colonisation effect in heart. *B4galt6* is flat in every cardiac contrast in both datasets, and *B4galt5*'s cardiac response exists in exactly one of four cardiac contrasts and is contradicted by the better-powered dataset.</w:t>
      </w:r>
    </w:p>
    <w:p w14:paraId="39462BAE" w14:textId="77777777" w:rsidR="00037981" w:rsidRDefault="00000000">
      <w:pPr>
        <w:jc w:val="both"/>
      </w:pPr>
      <w:r>
        <w:t xml:space="preserve">The mouse arm of this manuscript does not survive scrutiny in either gene. The question "which gene should the gnotobiotic experiment target" therefore has a different answer than either candidate implies: the experiment as currently conceived is not supported by existing colonisation transcriptomes, and if it goes ahead it must target </w:t>
      </w:r>
      <w:r>
        <w:rPr>
          <w:i/>
        </w:rPr>
        <w:t>B4galt6</w:t>
      </w:r>
      <w:r>
        <w:t xml:space="preserve"> on human-replication grounds alone, powered for an effect that existing data bound below 0.25 log2.</w:t>
      </w:r>
    </w:p>
    <w:p w14:paraId="5406738C" w14:textId="77777777" w:rsidR="00037981" w:rsidRDefault="00000000">
      <w:pPr>
        <w:pStyle w:val="31"/>
        <w:spacing w:before="240" w:after="120"/>
      </w:pPr>
      <w:r>
        <w:rPr>
          <w:rFonts w:ascii="Times New Roman" w:hAnsi="Times New Roman"/>
          <w:color w:val="000000"/>
        </w:rPr>
        <w:t>THE n = 3 LIMITATION, STATED UP FRONT</w:t>
      </w:r>
    </w:p>
    <w:p w14:paraId="168BAAB0" w14:textId="77777777" w:rsidR="00037981" w:rsidRDefault="00000000">
      <w:pPr>
        <w:jc w:val="both"/>
      </w:pPr>
      <w:r>
        <w:t xml:space="preserve">GSE322803 has </w:t>
      </w:r>
      <w:r>
        <w:rPr>
          <w:b/>
        </w:rPr>
        <w:t>3 animals per group per tissue</w:t>
      </w:r>
      <w:r>
        <w:t>. At n = 3 vs 3:</w:t>
      </w:r>
    </w:p>
    <w:p w14:paraId="071FD9D6" w14:textId="77777777" w:rsidR="00037981" w:rsidRDefault="00000000">
      <w:pPr>
        <w:pStyle w:val="a0"/>
      </w:pPr>
      <w:r>
        <w:t xml:space="preserve">The exact permutation test has 20 distinct group assignments, so the smallest attainable two-sided p is </w:t>
      </w:r>
      <w:r>
        <w:rPr>
          <w:b/>
        </w:rPr>
        <w:t>0.10</w:t>
      </w:r>
      <w:r>
        <w:t>. No n = 3 contrast in this memo can reach conventional significance by permutation, and no permutation p is quoted as a headline.</w:t>
      </w:r>
    </w:p>
    <w:p w14:paraId="6BF4AD8C" w14:textId="77777777" w:rsidR="00037981" w:rsidRDefault="00000000">
      <w:pPr>
        <w:pStyle w:val="a0"/>
      </w:pPr>
      <w:r>
        <w:t xml:space="preserve">Within-group SDs are estimated from </w:t>
      </w:r>
      <w:r>
        <w:rPr>
          <w:b/>
        </w:rPr>
        <w:t>2 degrees of freedom</w:t>
      </w:r>
      <w:r>
        <w:t xml:space="preserve">. They are wildly unstable — the observed </w:t>
      </w:r>
      <w:r>
        <w:rPr>
          <w:i/>
        </w:rPr>
        <w:t>B4galt1</w:t>
      </w:r>
      <w:r>
        <w:t xml:space="preserve"> cardiac SD implies Cohen's d = 6.0, which is not a real biological effect size but a chance-small variance estimate. Welch CIs built on such SDs can exclude zero while carrying almost no evidential weight. This is the single most important caveat in this memo and it applies to the one nominally significant result (</w:t>
      </w:r>
      <w:r>
        <w:rPr>
          <w:i/>
        </w:rPr>
        <w:t>B4galt5</w:t>
      </w:r>
      <w:r>
        <w:t>, p = 0.018).</w:t>
      </w:r>
    </w:p>
    <w:p w14:paraId="24B2C6A7" w14:textId="77777777" w:rsidR="00037981" w:rsidRDefault="00000000">
      <w:pPr>
        <w:pStyle w:val="a0"/>
      </w:pPr>
      <w:r>
        <w:t xml:space="preserve">Power depends on which SD you believe, and the two candidates disagree by a factor of ~1.5. </w:t>
      </w:r>
      <w:r>
        <w:rPr>
          <w:rFonts w:ascii="Consolas" w:hAnsi="Consolas"/>
          <w:sz w:val="18"/>
        </w:rPr>
        <w:t>heart_power_n3.csv</w:t>
      </w:r>
      <w:r>
        <w:t xml:space="preserve"> reports both:</w:t>
      </w:r>
    </w:p>
    <w:p w14:paraId="797BB2A1" w14:textId="77777777" w:rsidR="00037981" w:rsidRDefault="00000000">
      <w:pPr>
        <w:pStyle w:val="a0"/>
        <w:ind w:left="720"/>
      </w:pPr>
      <w:r>
        <w:rPr>
          <w:i/>
        </w:rPr>
        <w:lastRenderedPageBreak/>
        <w:t>B4galt6</w:t>
      </w:r>
      <w:r>
        <w:t xml:space="preserve">'s </w:t>
      </w:r>
      <w:r>
        <w:rPr>
          <w:b/>
        </w:rPr>
        <w:t>own observed</w:t>
      </w:r>
      <w:r>
        <w:t xml:space="preserve"> within-group SD in this experiment is 0.0563 log2. Taken at face value it gives power 0.47 at n = 3 and n = 5 per group for 80%.</w:t>
      </w:r>
    </w:p>
    <w:p w14:paraId="1980D303" w14:textId="77777777" w:rsidR="00037981" w:rsidRDefault="00000000">
      <w:pPr>
        <w:pStyle w:val="a0"/>
        <w:ind w:left="720"/>
      </w:pPr>
      <w:r>
        <w:t xml:space="preserve">The </w:t>
      </w:r>
      <w:r>
        <w:rPr>
          <w:b/>
        </w:rPr>
        <w:t>reference</w:t>
      </w:r>
      <w:r>
        <w:t xml:space="preserve"> SD — the median within-group SD of the 4,661 heart genes in the same 4.5–6.5 log2 CPM abundance band — is 0.0857 log2, and gives power 0.24 at n = 3 and </w:t>
      </w:r>
      <w:r>
        <w:rPr>
          <w:b/>
        </w:rPr>
        <w:t>n = 10 per group</w:t>
      </w:r>
      <w:r>
        <w:t xml:space="preserve"> for 80%.</w:t>
      </w:r>
    </w:p>
    <w:p w14:paraId="7E2BCBC4" w14:textId="77777777" w:rsidR="00037981" w:rsidRDefault="00000000">
      <w:pPr>
        <w:pStyle w:val="a0"/>
        <w:ind w:left="720"/>
      </w:pPr>
      <w:r>
        <w:t xml:space="preserve">The reference SD is the one to design on. The observed 0.0563 rests on 2 degrees of freedom and is, by the same argument applied to </w:t>
      </w:r>
      <w:r>
        <w:rPr>
          <w:i/>
        </w:rPr>
        <w:t>B4galt1</w:t>
      </w:r>
      <w:r>
        <w:t xml:space="preserve"> above, exactly the kind of chance-small variance estimate that n = 3 produces; using it to size a new experiment would import this experiment's luck into the next one's power calculation. The n = 10 recommendation below is therefore the reference-SD figure, and n = 5 should be read as the optimistic floor, not the plan.</w:t>
      </w:r>
    </w:p>
    <w:p w14:paraId="71350873" w14:textId="77777777" w:rsidR="00037981" w:rsidRDefault="00000000">
      <w:pPr>
        <w:jc w:val="both"/>
      </w:pPr>
      <w:r>
        <w:rPr>
          <w:b/>
        </w:rPr>
        <w:t>No gene-set or pathway test was run.</w:t>
      </w:r>
      <w:r>
        <w:t xml:space="preserve"> Aggregating the eight </w:t>
      </w:r>
      <w:r>
        <w:rPr>
          <w:i/>
        </w:rPr>
        <w:t>B4galt</w:t>
      </w:r>
      <w:r>
        <w:t>/</w:t>
      </w:r>
      <w:r>
        <w:rPr>
          <w:i/>
        </w:rPr>
        <w:t>Ugcg</w:t>
      </w:r>
      <w:r>
        <w:t xml:space="preserve"> genes would restate a 3-animal experiment as though genes were independent replicates. It would not increase biological replication and is not reported.</w:t>
      </w:r>
    </w:p>
    <w:p w14:paraId="1A92137F" w14:textId="77777777" w:rsidR="00037981" w:rsidRDefault="00000000">
      <w:pPr>
        <w:pStyle w:val="31"/>
        <w:spacing w:before="240" w:after="120"/>
      </w:pPr>
      <w:r>
        <w:rPr>
          <w:rFonts w:ascii="Times New Roman" w:hAnsi="Times New Roman"/>
          <w:color w:val="000000"/>
        </w:rPr>
        <w:t>PRIMARY RESULT — heart</w:t>
      </w:r>
    </w:p>
    <w:tbl>
      <w:tblPr>
        <w:tblStyle w:val="af9"/>
        <w:tblW w:w="0" w:type="auto"/>
        <w:jc w:val="center"/>
        <w:tblLook w:val="04A0" w:firstRow="1" w:lastRow="0" w:firstColumn="1" w:lastColumn="0" w:noHBand="0" w:noVBand="1"/>
      </w:tblPr>
      <w:tblGrid>
        <w:gridCol w:w="1234"/>
        <w:gridCol w:w="1234"/>
        <w:gridCol w:w="1234"/>
        <w:gridCol w:w="1234"/>
        <w:gridCol w:w="1234"/>
        <w:gridCol w:w="1234"/>
        <w:gridCol w:w="1234"/>
      </w:tblGrid>
      <w:tr w:rsidR="00037981" w14:paraId="33DF4E63" w14:textId="77777777">
        <w:trPr>
          <w:jc w:val="center"/>
        </w:trPr>
        <w:tc>
          <w:tcPr>
            <w:tcW w:w="1234" w:type="dxa"/>
          </w:tcPr>
          <w:p w14:paraId="7102C261" w14:textId="77777777" w:rsidR="00037981" w:rsidRDefault="00000000">
            <w:pPr>
              <w:spacing w:after="40" w:line="240" w:lineRule="auto"/>
            </w:pPr>
            <w:r>
              <w:rPr>
                <w:b/>
                <w:sz w:val="18"/>
              </w:rPr>
              <w:t>Dataset</w:t>
            </w:r>
          </w:p>
        </w:tc>
        <w:tc>
          <w:tcPr>
            <w:tcW w:w="1234" w:type="dxa"/>
          </w:tcPr>
          <w:p w14:paraId="11E7FBE0" w14:textId="77777777" w:rsidR="00037981" w:rsidRDefault="00000000">
            <w:pPr>
              <w:spacing w:after="40" w:line="240" w:lineRule="auto"/>
            </w:pPr>
            <w:r>
              <w:rPr>
                <w:b/>
                <w:sz w:val="18"/>
              </w:rPr>
              <w:t>Contrast</w:t>
            </w:r>
          </w:p>
        </w:tc>
        <w:tc>
          <w:tcPr>
            <w:tcW w:w="1234" w:type="dxa"/>
          </w:tcPr>
          <w:p w14:paraId="0BB684F0" w14:textId="77777777" w:rsidR="00037981" w:rsidRDefault="00000000">
            <w:pPr>
              <w:spacing w:after="40" w:line="240" w:lineRule="auto"/>
            </w:pPr>
            <w:r>
              <w:rPr>
                <w:b/>
                <w:sz w:val="18"/>
              </w:rPr>
              <w:t>n</w:t>
            </w:r>
          </w:p>
        </w:tc>
        <w:tc>
          <w:tcPr>
            <w:tcW w:w="1234" w:type="dxa"/>
          </w:tcPr>
          <w:p w14:paraId="7416A661" w14:textId="77777777" w:rsidR="00037981" w:rsidRDefault="00000000">
            <w:pPr>
              <w:spacing w:after="40" w:line="240" w:lineRule="auto"/>
            </w:pPr>
            <w:r>
              <w:rPr>
                <w:b/>
                <w:sz w:val="18"/>
              </w:rPr>
              <w:t>Gene</w:t>
            </w:r>
          </w:p>
        </w:tc>
        <w:tc>
          <w:tcPr>
            <w:tcW w:w="1234" w:type="dxa"/>
          </w:tcPr>
          <w:p w14:paraId="23F9C41C" w14:textId="77777777" w:rsidR="00037981" w:rsidRDefault="00000000">
            <w:pPr>
              <w:spacing w:after="40" w:line="240" w:lineRule="auto"/>
            </w:pPr>
            <w:r>
              <w:rPr>
                <w:b/>
                <w:sz w:val="18"/>
              </w:rPr>
              <w:t>log2FC</w:t>
            </w:r>
          </w:p>
        </w:tc>
        <w:tc>
          <w:tcPr>
            <w:tcW w:w="1234" w:type="dxa"/>
          </w:tcPr>
          <w:p w14:paraId="3FE53D2A" w14:textId="77777777" w:rsidR="00037981" w:rsidRDefault="00000000">
            <w:pPr>
              <w:spacing w:after="40" w:line="240" w:lineRule="auto"/>
            </w:pPr>
            <w:r>
              <w:rPr>
                <w:b/>
                <w:sz w:val="18"/>
              </w:rPr>
              <w:t>95% CI</w:t>
            </w:r>
          </w:p>
        </w:tc>
        <w:tc>
          <w:tcPr>
            <w:tcW w:w="1234" w:type="dxa"/>
          </w:tcPr>
          <w:p w14:paraId="586849AD" w14:textId="77777777" w:rsidR="00037981" w:rsidRDefault="00000000">
            <w:pPr>
              <w:spacing w:after="40" w:line="240" w:lineRule="auto"/>
            </w:pPr>
            <w:r>
              <w:rPr>
                <w:b/>
                <w:sz w:val="18"/>
              </w:rPr>
              <w:t>p</w:t>
            </w:r>
          </w:p>
        </w:tc>
      </w:tr>
      <w:tr w:rsidR="00037981" w14:paraId="02962ED6" w14:textId="77777777">
        <w:trPr>
          <w:jc w:val="center"/>
        </w:trPr>
        <w:tc>
          <w:tcPr>
            <w:tcW w:w="1234" w:type="dxa"/>
          </w:tcPr>
          <w:p w14:paraId="18CEEBF5" w14:textId="77777777" w:rsidR="00037981" w:rsidRDefault="00000000">
            <w:pPr>
              <w:spacing w:after="40" w:line="240" w:lineRule="auto"/>
            </w:pPr>
            <w:r>
              <w:rPr>
                <w:sz w:val="18"/>
              </w:rPr>
              <w:t>GSE322803</w:t>
            </w:r>
          </w:p>
        </w:tc>
        <w:tc>
          <w:tcPr>
            <w:tcW w:w="1234" w:type="dxa"/>
          </w:tcPr>
          <w:p w14:paraId="553ECE20" w14:textId="77777777" w:rsidR="00037981" w:rsidRDefault="00000000">
            <w:pPr>
              <w:spacing w:after="40" w:line="240" w:lineRule="auto"/>
            </w:pPr>
            <w:r>
              <w:rPr>
                <w:sz w:val="18"/>
              </w:rPr>
              <w:t>SPF vs germ-free</w:t>
            </w:r>
          </w:p>
        </w:tc>
        <w:tc>
          <w:tcPr>
            <w:tcW w:w="1234" w:type="dxa"/>
          </w:tcPr>
          <w:p w14:paraId="65767D56" w14:textId="77777777" w:rsidR="00037981" w:rsidRDefault="00000000">
            <w:pPr>
              <w:spacing w:after="40" w:line="240" w:lineRule="auto"/>
            </w:pPr>
            <w:r>
              <w:rPr>
                <w:sz w:val="18"/>
              </w:rPr>
              <w:t>3 vs 3</w:t>
            </w:r>
          </w:p>
        </w:tc>
        <w:tc>
          <w:tcPr>
            <w:tcW w:w="1234" w:type="dxa"/>
          </w:tcPr>
          <w:p w14:paraId="0DB332AC" w14:textId="77777777" w:rsidR="00037981" w:rsidRDefault="00000000">
            <w:pPr>
              <w:spacing w:after="40" w:line="240" w:lineRule="auto"/>
            </w:pPr>
            <w:r>
              <w:rPr>
                <w:i/>
                <w:sz w:val="18"/>
              </w:rPr>
              <w:t>B4galt6</w:t>
            </w:r>
          </w:p>
        </w:tc>
        <w:tc>
          <w:tcPr>
            <w:tcW w:w="1234" w:type="dxa"/>
          </w:tcPr>
          <w:p w14:paraId="2EABAF93" w14:textId="77777777" w:rsidR="00037981" w:rsidRDefault="00000000">
            <w:pPr>
              <w:spacing w:after="40" w:line="240" w:lineRule="auto"/>
            </w:pPr>
            <w:r>
              <w:rPr>
                <w:b/>
                <w:sz w:val="18"/>
              </w:rPr>
              <w:t>+0.114</w:t>
            </w:r>
          </w:p>
        </w:tc>
        <w:tc>
          <w:tcPr>
            <w:tcW w:w="1234" w:type="dxa"/>
          </w:tcPr>
          <w:p w14:paraId="0B7B71FF" w14:textId="77777777" w:rsidR="00037981" w:rsidRDefault="00000000">
            <w:pPr>
              <w:spacing w:after="40" w:line="240" w:lineRule="auto"/>
            </w:pPr>
            <w:r>
              <w:rPr>
                <w:sz w:val="18"/>
              </w:rPr>
              <w:t>−0.026 to +0.255</w:t>
            </w:r>
          </w:p>
        </w:tc>
        <w:tc>
          <w:tcPr>
            <w:tcW w:w="1234" w:type="dxa"/>
          </w:tcPr>
          <w:p w14:paraId="19D10414" w14:textId="77777777" w:rsidR="00037981" w:rsidRDefault="00000000">
            <w:pPr>
              <w:spacing w:after="40" w:line="240" w:lineRule="auto"/>
            </w:pPr>
            <w:r>
              <w:rPr>
                <w:sz w:val="18"/>
              </w:rPr>
              <w:t>0.083</w:t>
            </w:r>
          </w:p>
        </w:tc>
      </w:tr>
      <w:tr w:rsidR="00037981" w14:paraId="47E9AAA8" w14:textId="77777777">
        <w:trPr>
          <w:jc w:val="center"/>
        </w:trPr>
        <w:tc>
          <w:tcPr>
            <w:tcW w:w="1234" w:type="dxa"/>
          </w:tcPr>
          <w:p w14:paraId="568F8ABA" w14:textId="77777777" w:rsidR="00037981" w:rsidRDefault="00000000">
            <w:pPr>
              <w:spacing w:after="40" w:line="240" w:lineRule="auto"/>
            </w:pPr>
            <w:r>
              <w:rPr>
                <w:sz w:val="18"/>
              </w:rPr>
              <w:t>GSE322803</w:t>
            </w:r>
          </w:p>
        </w:tc>
        <w:tc>
          <w:tcPr>
            <w:tcW w:w="1234" w:type="dxa"/>
          </w:tcPr>
          <w:p w14:paraId="5BC9EA3F" w14:textId="77777777" w:rsidR="00037981" w:rsidRDefault="00000000">
            <w:pPr>
              <w:spacing w:after="40" w:line="240" w:lineRule="auto"/>
            </w:pPr>
            <w:r>
              <w:rPr>
                <w:sz w:val="18"/>
              </w:rPr>
              <w:t>SPF vs germ-free</w:t>
            </w:r>
          </w:p>
        </w:tc>
        <w:tc>
          <w:tcPr>
            <w:tcW w:w="1234" w:type="dxa"/>
          </w:tcPr>
          <w:p w14:paraId="6C2C5A36" w14:textId="77777777" w:rsidR="00037981" w:rsidRDefault="00000000">
            <w:pPr>
              <w:spacing w:after="40" w:line="240" w:lineRule="auto"/>
            </w:pPr>
            <w:r>
              <w:rPr>
                <w:sz w:val="18"/>
              </w:rPr>
              <w:t>3 vs 3</w:t>
            </w:r>
          </w:p>
        </w:tc>
        <w:tc>
          <w:tcPr>
            <w:tcW w:w="1234" w:type="dxa"/>
          </w:tcPr>
          <w:p w14:paraId="7C8DB5F6" w14:textId="77777777" w:rsidR="00037981" w:rsidRDefault="00000000">
            <w:pPr>
              <w:spacing w:after="40" w:line="240" w:lineRule="auto"/>
            </w:pPr>
            <w:r>
              <w:rPr>
                <w:i/>
                <w:sz w:val="18"/>
              </w:rPr>
              <w:t>B4galt5</w:t>
            </w:r>
          </w:p>
        </w:tc>
        <w:tc>
          <w:tcPr>
            <w:tcW w:w="1234" w:type="dxa"/>
          </w:tcPr>
          <w:p w14:paraId="638A9161" w14:textId="77777777" w:rsidR="00037981" w:rsidRDefault="00000000">
            <w:pPr>
              <w:spacing w:after="40" w:line="240" w:lineRule="auto"/>
            </w:pPr>
            <w:r>
              <w:rPr>
                <w:b/>
                <w:sz w:val="18"/>
              </w:rPr>
              <w:t>+0.637</w:t>
            </w:r>
          </w:p>
        </w:tc>
        <w:tc>
          <w:tcPr>
            <w:tcW w:w="1234" w:type="dxa"/>
          </w:tcPr>
          <w:p w14:paraId="55F82F8C" w14:textId="77777777" w:rsidR="00037981" w:rsidRDefault="00000000">
            <w:pPr>
              <w:spacing w:after="40" w:line="240" w:lineRule="auto"/>
            </w:pPr>
            <w:r>
              <w:rPr>
                <w:sz w:val="18"/>
              </w:rPr>
              <w:t>+0.215 to +1.059</w:t>
            </w:r>
          </w:p>
        </w:tc>
        <w:tc>
          <w:tcPr>
            <w:tcW w:w="1234" w:type="dxa"/>
          </w:tcPr>
          <w:p w14:paraId="2D44EA9F" w14:textId="77777777" w:rsidR="00037981" w:rsidRDefault="00000000">
            <w:pPr>
              <w:spacing w:after="40" w:line="240" w:lineRule="auto"/>
            </w:pPr>
            <w:r>
              <w:rPr>
                <w:sz w:val="18"/>
              </w:rPr>
              <w:t>0.018</w:t>
            </w:r>
          </w:p>
        </w:tc>
      </w:tr>
      <w:tr w:rsidR="00037981" w14:paraId="3EC2E59F" w14:textId="77777777">
        <w:trPr>
          <w:jc w:val="center"/>
        </w:trPr>
        <w:tc>
          <w:tcPr>
            <w:tcW w:w="1234" w:type="dxa"/>
          </w:tcPr>
          <w:p w14:paraId="6A44C127" w14:textId="77777777" w:rsidR="00037981" w:rsidRDefault="00000000">
            <w:pPr>
              <w:spacing w:after="40" w:line="240" w:lineRule="auto"/>
            </w:pPr>
            <w:r>
              <w:rPr>
                <w:sz w:val="18"/>
              </w:rPr>
              <w:t>GSE322803</w:t>
            </w:r>
          </w:p>
        </w:tc>
        <w:tc>
          <w:tcPr>
            <w:tcW w:w="1234" w:type="dxa"/>
          </w:tcPr>
          <w:p w14:paraId="6AB2D200" w14:textId="77777777" w:rsidR="00037981" w:rsidRDefault="00000000">
            <w:pPr>
              <w:spacing w:after="40" w:line="240" w:lineRule="auto"/>
            </w:pPr>
            <w:r>
              <w:rPr>
                <w:sz w:val="18"/>
              </w:rPr>
              <w:t>FMT vs germ-free</w:t>
            </w:r>
          </w:p>
        </w:tc>
        <w:tc>
          <w:tcPr>
            <w:tcW w:w="1234" w:type="dxa"/>
          </w:tcPr>
          <w:p w14:paraId="692F4C39" w14:textId="77777777" w:rsidR="00037981" w:rsidRDefault="00000000">
            <w:pPr>
              <w:spacing w:after="40" w:line="240" w:lineRule="auto"/>
            </w:pPr>
            <w:r>
              <w:rPr>
                <w:sz w:val="18"/>
              </w:rPr>
              <w:t>3 vs 3</w:t>
            </w:r>
          </w:p>
        </w:tc>
        <w:tc>
          <w:tcPr>
            <w:tcW w:w="1234" w:type="dxa"/>
          </w:tcPr>
          <w:p w14:paraId="568C1B12" w14:textId="77777777" w:rsidR="00037981" w:rsidRDefault="00000000">
            <w:pPr>
              <w:spacing w:after="40" w:line="240" w:lineRule="auto"/>
            </w:pPr>
            <w:r>
              <w:rPr>
                <w:i/>
                <w:sz w:val="18"/>
              </w:rPr>
              <w:t>B4galt6</w:t>
            </w:r>
          </w:p>
        </w:tc>
        <w:tc>
          <w:tcPr>
            <w:tcW w:w="1234" w:type="dxa"/>
          </w:tcPr>
          <w:p w14:paraId="57F75EC0" w14:textId="77777777" w:rsidR="00037981" w:rsidRDefault="00000000">
            <w:pPr>
              <w:spacing w:after="40" w:line="240" w:lineRule="auto"/>
            </w:pPr>
            <w:r>
              <w:rPr>
                <w:sz w:val="18"/>
              </w:rPr>
              <w:t>−0.007</w:t>
            </w:r>
          </w:p>
        </w:tc>
        <w:tc>
          <w:tcPr>
            <w:tcW w:w="1234" w:type="dxa"/>
          </w:tcPr>
          <w:p w14:paraId="47FAC417" w14:textId="77777777" w:rsidR="00037981" w:rsidRDefault="00000000">
            <w:pPr>
              <w:spacing w:after="40" w:line="240" w:lineRule="auto"/>
            </w:pPr>
            <w:r>
              <w:rPr>
                <w:sz w:val="18"/>
              </w:rPr>
              <w:t>−0.283 to +0.268</w:t>
            </w:r>
          </w:p>
        </w:tc>
        <w:tc>
          <w:tcPr>
            <w:tcW w:w="1234" w:type="dxa"/>
          </w:tcPr>
          <w:p w14:paraId="7A41861C" w14:textId="77777777" w:rsidR="00037981" w:rsidRDefault="00000000">
            <w:pPr>
              <w:spacing w:after="40" w:line="240" w:lineRule="auto"/>
            </w:pPr>
            <w:r>
              <w:rPr>
                <w:sz w:val="18"/>
              </w:rPr>
              <w:t>0.939</w:t>
            </w:r>
          </w:p>
        </w:tc>
      </w:tr>
      <w:tr w:rsidR="00037981" w14:paraId="70623AF0" w14:textId="77777777">
        <w:trPr>
          <w:jc w:val="center"/>
        </w:trPr>
        <w:tc>
          <w:tcPr>
            <w:tcW w:w="1234" w:type="dxa"/>
          </w:tcPr>
          <w:p w14:paraId="55EFCB91" w14:textId="77777777" w:rsidR="00037981" w:rsidRDefault="00000000">
            <w:pPr>
              <w:spacing w:after="40" w:line="240" w:lineRule="auto"/>
            </w:pPr>
            <w:r>
              <w:rPr>
                <w:sz w:val="18"/>
              </w:rPr>
              <w:t>GSE322803</w:t>
            </w:r>
          </w:p>
        </w:tc>
        <w:tc>
          <w:tcPr>
            <w:tcW w:w="1234" w:type="dxa"/>
          </w:tcPr>
          <w:p w14:paraId="6B616C77" w14:textId="77777777" w:rsidR="00037981" w:rsidRDefault="00000000">
            <w:pPr>
              <w:spacing w:after="40" w:line="240" w:lineRule="auto"/>
            </w:pPr>
            <w:r>
              <w:rPr>
                <w:sz w:val="18"/>
              </w:rPr>
              <w:t>FMT vs germ-free</w:t>
            </w:r>
          </w:p>
        </w:tc>
        <w:tc>
          <w:tcPr>
            <w:tcW w:w="1234" w:type="dxa"/>
          </w:tcPr>
          <w:p w14:paraId="138AF590" w14:textId="77777777" w:rsidR="00037981" w:rsidRDefault="00000000">
            <w:pPr>
              <w:spacing w:after="40" w:line="240" w:lineRule="auto"/>
            </w:pPr>
            <w:r>
              <w:rPr>
                <w:sz w:val="18"/>
              </w:rPr>
              <w:t>3 vs 3</w:t>
            </w:r>
          </w:p>
        </w:tc>
        <w:tc>
          <w:tcPr>
            <w:tcW w:w="1234" w:type="dxa"/>
          </w:tcPr>
          <w:p w14:paraId="54FB512E" w14:textId="77777777" w:rsidR="00037981" w:rsidRDefault="00000000">
            <w:pPr>
              <w:spacing w:after="40" w:line="240" w:lineRule="auto"/>
            </w:pPr>
            <w:r>
              <w:rPr>
                <w:i/>
                <w:sz w:val="18"/>
              </w:rPr>
              <w:t>B4galt5</w:t>
            </w:r>
          </w:p>
        </w:tc>
        <w:tc>
          <w:tcPr>
            <w:tcW w:w="1234" w:type="dxa"/>
          </w:tcPr>
          <w:p w14:paraId="48663092" w14:textId="77777777" w:rsidR="00037981" w:rsidRDefault="00000000">
            <w:pPr>
              <w:spacing w:after="40" w:line="240" w:lineRule="auto"/>
            </w:pPr>
            <w:r>
              <w:rPr>
                <w:sz w:val="18"/>
              </w:rPr>
              <w:t>+0.059</w:t>
            </w:r>
          </w:p>
        </w:tc>
        <w:tc>
          <w:tcPr>
            <w:tcW w:w="1234" w:type="dxa"/>
          </w:tcPr>
          <w:p w14:paraId="1362293C" w14:textId="77777777" w:rsidR="00037981" w:rsidRDefault="00000000">
            <w:pPr>
              <w:spacing w:after="40" w:line="240" w:lineRule="auto"/>
            </w:pPr>
            <w:r>
              <w:rPr>
                <w:sz w:val="18"/>
              </w:rPr>
              <w:t>−0.136 to +0.254</w:t>
            </w:r>
          </w:p>
        </w:tc>
        <w:tc>
          <w:tcPr>
            <w:tcW w:w="1234" w:type="dxa"/>
          </w:tcPr>
          <w:p w14:paraId="37D48E42" w14:textId="77777777" w:rsidR="00037981" w:rsidRDefault="00000000">
            <w:pPr>
              <w:spacing w:after="40" w:line="240" w:lineRule="auto"/>
            </w:pPr>
            <w:r>
              <w:rPr>
                <w:sz w:val="18"/>
              </w:rPr>
              <w:t>0.437</w:t>
            </w:r>
          </w:p>
        </w:tc>
      </w:tr>
      <w:tr w:rsidR="00037981" w14:paraId="663E9E7F" w14:textId="77777777">
        <w:trPr>
          <w:jc w:val="center"/>
        </w:trPr>
        <w:tc>
          <w:tcPr>
            <w:tcW w:w="1234" w:type="dxa"/>
          </w:tcPr>
          <w:p w14:paraId="037BF58A" w14:textId="77777777" w:rsidR="00037981" w:rsidRDefault="00000000">
            <w:pPr>
              <w:spacing w:after="40" w:line="240" w:lineRule="auto"/>
            </w:pPr>
            <w:r>
              <w:rPr>
                <w:sz w:val="18"/>
              </w:rPr>
              <w:t>GSE14929</w:t>
            </w:r>
          </w:p>
        </w:tc>
        <w:tc>
          <w:tcPr>
            <w:tcW w:w="1234" w:type="dxa"/>
          </w:tcPr>
          <w:p w14:paraId="4587556C" w14:textId="77777777" w:rsidR="00037981" w:rsidRDefault="00000000">
            <w:pPr>
              <w:spacing w:after="40" w:line="240" w:lineRule="auto"/>
            </w:pPr>
            <w:r>
              <w:rPr>
                <w:sz w:val="18"/>
              </w:rPr>
              <w:t>colonised vs germ-free, WT, adjusted for physiological state</w:t>
            </w:r>
          </w:p>
        </w:tc>
        <w:tc>
          <w:tcPr>
            <w:tcW w:w="1234" w:type="dxa"/>
          </w:tcPr>
          <w:p w14:paraId="73E4E31A" w14:textId="77777777" w:rsidR="00037981" w:rsidRDefault="00000000">
            <w:pPr>
              <w:spacing w:after="40" w:line="240" w:lineRule="auto"/>
            </w:pPr>
            <w:r>
              <w:rPr>
                <w:sz w:val="18"/>
              </w:rPr>
              <w:t>15 vs 15</w:t>
            </w:r>
          </w:p>
        </w:tc>
        <w:tc>
          <w:tcPr>
            <w:tcW w:w="1234" w:type="dxa"/>
          </w:tcPr>
          <w:p w14:paraId="2EE9589A" w14:textId="77777777" w:rsidR="00037981" w:rsidRDefault="00000000">
            <w:pPr>
              <w:spacing w:after="40" w:line="240" w:lineRule="auto"/>
            </w:pPr>
            <w:r>
              <w:rPr>
                <w:i/>
                <w:sz w:val="18"/>
              </w:rPr>
              <w:t>B4galt6</w:t>
            </w:r>
          </w:p>
        </w:tc>
        <w:tc>
          <w:tcPr>
            <w:tcW w:w="1234" w:type="dxa"/>
          </w:tcPr>
          <w:p w14:paraId="48F8E509" w14:textId="77777777" w:rsidR="00037981" w:rsidRDefault="00000000">
            <w:pPr>
              <w:spacing w:after="40" w:line="240" w:lineRule="auto"/>
            </w:pPr>
            <w:r>
              <w:rPr>
                <w:sz w:val="18"/>
              </w:rPr>
              <w:t>−0.025</w:t>
            </w:r>
          </w:p>
        </w:tc>
        <w:tc>
          <w:tcPr>
            <w:tcW w:w="1234" w:type="dxa"/>
          </w:tcPr>
          <w:p w14:paraId="0F7762FD" w14:textId="77777777" w:rsidR="00037981" w:rsidRDefault="00000000">
            <w:pPr>
              <w:spacing w:after="40" w:line="240" w:lineRule="auto"/>
            </w:pPr>
            <w:r>
              <w:rPr>
                <w:sz w:val="18"/>
              </w:rPr>
              <w:t>−0.173 to +0.122</w:t>
            </w:r>
          </w:p>
        </w:tc>
        <w:tc>
          <w:tcPr>
            <w:tcW w:w="1234" w:type="dxa"/>
          </w:tcPr>
          <w:p w14:paraId="721D39C8" w14:textId="77777777" w:rsidR="00037981" w:rsidRDefault="00000000">
            <w:pPr>
              <w:spacing w:after="40" w:line="240" w:lineRule="auto"/>
            </w:pPr>
            <w:r>
              <w:rPr>
                <w:sz w:val="18"/>
              </w:rPr>
              <w:t>0.726</w:t>
            </w:r>
          </w:p>
        </w:tc>
      </w:tr>
      <w:tr w:rsidR="00037981" w14:paraId="475F1113" w14:textId="77777777">
        <w:trPr>
          <w:jc w:val="center"/>
        </w:trPr>
        <w:tc>
          <w:tcPr>
            <w:tcW w:w="1234" w:type="dxa"/>
          </w:tcPr>
          <w:p w14:paraId="0B535D42" w14:textId="77777777" w:rsidR="00037981" w:rsidRDefault="00000000">
            <w:pPr>
              <w:spacing w:after="40" w:line="240" w:lineRule="auto"/>
            </w:pPr>
            <w:r>
              <w:rPr>
                <w:sz w:val="18"/>
              </w:rPr>
              <w:t>GSE14929</w:t>
            </w:r>
          </w:p>
        </w:tc>
        <w:tc>
          <w:tcPr>
            <w:tcW w:w="1234" w:type="dxa"/>
          </w:tcPr>
          <w:p w14:paraId="182D6EC4" w14:textId="77777777" w:rsidR="00037981" w:rsidRDefault="00000000">
            <w:pPr>
              <w:spacing w:after="40" w:line="240" w:lineRule="auto"/>
            </w:pPr>
            <w:r>
              <w:rPr>
                <w:sz w:val="18"/>
              </w:rPr>
              <w:t>colonised vs germ-free, WT, adjusted for physiological state</w:t>
            </w:r>
          </w:p>
        </w:tc>
        <w:tc>
          <w:tcPr>
            <w:tcW w:w="1234" w:type="dxa"/>
          </w:tcPr>
          <w:p w14:paraId="21FF1B1D" w14:textId="77777777" w:rsidR="00037981" w:rsidRDefault="00000000">
            <w:pPr>
              <w:spacing w:after="40" w:line="240" w:lineRule="auto"/>
            </w:pPr>
            <w:r>
              <w:rPr>
                <w:sz w:val="18"/>
              </w:rPr>
              <w:t>15 vs 15</w:t>
            </w:r>
          </w:p>
        </w:tc>
        <w:tc>
          <w:tcPr>
            <w:tcW w:w="1234" w:type="dxa"/>
          </w:tcPr>
          <w:p w14:paraId="52BFED11" w14:textId="77777777" w:rsidR="00037981" w:rsidRDefault="00000000">
            <w:pPr>
              <w:spacing w:after="40" w:line="240" w:lineRule="auto"/>
            </w:pPr>
            <w:r>
              <w:rPr>
                <w:i/>
                <w:sz w:val="18"/>
              </w:rPr>
              <w:t>B4galt5</w:t>
            </w:r>
          </w:p>
        </w:tc>
        <w:tc>
          <w:tcPr>
            <w:tcW w:w="1234" w:type="dxa"/>
          </w:tcPr>
          <w:p w14:paraId="27F69499" w14:textId="77777777" w:rsidR="00037981" w:rsidRDefault="00000000">
            <w:pPr>
              <w:spacing w:after="40" w:line="240" w:lineRule="auto"/>
            </w:pPr>
            <w:r>
              <w:rPr>
                <w:sz w:val="18"/>
              </w:rPr>
              <w:t>−0.090</w:t>
            </w:r>
          </w:p>
        </w:tc>
        <w:tc>
          <w:tcPr>
            <w:tcW w:w="1234" w:type="dxa"/>
          </w:tcPr>
          <w:p w14:paraId="39AF68E1" w14:textId="77777777" w:rsidR="00037981" w:rsidRDefault="00000000">
            <w:pPr>
              <w:spacing w:after="40" w:line="240" w:lineRule="auto"/>
            </w:pPr>
            <w:r>
              <w:rPr>
                <w:sz w:val="18"/>
              </w:rPr>
              <w:t>−0.329 to +0.148</w:t>
            </w:r>
          </w:p>
        </w:tc>
        <w:tc>
          <w:tcPr>
            <w:tcW w:w="1234" w:type="dxa"/>
          </w:tcPr>
          <w:p w14:paraId="19575B87" w14:textId="77777777" w:rsidR="00037981" w:rsidRDefault="00000000">
            <w:pPr>
              <w:spacing w:after="40" w:line="240" w:lineRule="auto"/>
            </w:pPr>
            <w:r>
              <w:rPr>
                <w:sz w:val="18"/>
              </w:rPr>
              <w:t>0.443</w:t>
            </w:r>
          </w:p>
        </w:tc>
      </w:tr>
    </w:tbl>
    <w:p w14:paraId="251EE73C" w14:textId="77777777" w:rsidR="00037981" w:rsidRDefault="00037981"/>
    <w:p w14:paraId="2D99C0C4" w14:textId="77777777" w:rsidR="00037981" w:rsidRDefault="00000000">
      <w:pPr>
        <w:jc w:val="both"/>
      </w:pPr>
      <w:r>
        <w:rPr>
          <w:i/>
        </w:rPr>
        <w:t>B4galt6</w:t>
      </w:r>
      <w:r>
        <w:t xml:space="preserve">: four cardiac contrasts (the three above plus the </w:t>
      </w:r>
      <w:r>
        <w:rPr>
          <w:i/>
        </w:rPr>
        <w:t>Ppara</w:t>
      </w:r>
      <w:r>
        <w:t xml:space="preserve">-/- stratum below), all four intervals contain zero, all four point estimates within ±0.12 log2 (≈ ±9% on the linear scale). The tightest bound comes from the 15 vs 15 array contrast, −0.173 to +0.122; the widest is the 3 vs 5 </w:t>
      </w:r>
      <w:r>
        <w:rPr>
          <w:i/>
        </w:rPr>
        <w:t>Ppara</w:t>
      </w:r>
      <w:r>
        <w:t xml:space="preserve">-/- stratum, −0.554 to +0.572. </w:t>
      </w:r>
      <w:r>
        <w:rPr>
          <w:b/>
        </w:rPr>
        <w:t xml:space="preserve">B4galt6 does not respond to microbial colonisation in </w:t>
      </w:r>
      <w:r>
        <w:rPr>
          <w:b/>
        </w:rPr>
        <w:lastRenderedPageBreak/>
        <w:t>heart</w:t>
      </w:r>
      <w:r>
        <w:t>, and this is not merely an underpowered null — the 15 vs 15 array contrast bounds the effect tightly at −0.17 to +0.12.</w:t>
      </w:r>
    </w:p>
    <w:p w14:paraId="7E84DC1E" w14:textId="77777777" w:rsidR="00037981" w:rsidRDefault="00000000">
      <w:pPr>
        <w:pStyle w:val="31"/>
        <w:spacing w:before="240" w:after="120"/>
      </w:pPr>
      <w:r>
        <w:rPr>
          <w:rFonts w:ascii="Times New Roman" w:hAnsi="Times New Roman"/>
          <w:color w:val="000000"/>
        </w:rPr>
        <w:t>WHY THE B4galt5 POSITIVE SHOULD NOT BE BELIEVED</w:t>
      </w:r>
    </w:p>
    <w:p w14:paraId="49FD5E96" w14:textId="77777777" w:rsidR="00037981" w:rsidRDefault="00000000">
      <w:pPr>
        <w:jc w:val="both"/>
      </w:pPr>
      <w:r>
        <w:t>The one nominally significant cardiac result fails three internal checks:</w:t>
      </w:r>
    </w:p>
    <w:p w14:paraId="18228BB8" w14:textId="77777777" w:rsidR="00037981" w:rsidRDefault="00000000">
      <w:pPr>
        <w:pStyle w:val="a"/>
      </w:pPr>
      <w:r>
        <w:rPr>
          <w:b/>
        </w:rPr>
        <w:t>It does not reproduce in the second colonisation contrast of its own dataset.</w:t>
      </w:r>
      <w:r>
        <w:t xml:space="preserve"> Faecal transplant into germ-free animals moved </w:t>
      </w:r>
      <w:r>
        <w:rPr>
          <w:i/>
        </w:rPr>
        <w:t>B4galt5</w:t>
      </w:r>
      <w:r>
        <w:t xml:space="preserve"> by +0.059 log2 (CI −0.14 to +0.25), one tenth of the SPF estimate. Per-animal values: germ-free 4.63/4.81/4.72, FMT 4.86/4.73/4.75, SPF 5.32/5.58/5.18 — the FMT animals sit with the germ-free animals, not between the two groups. A genuine colonisation effect should appear on colonisation by transplant.</w:t>
      </w:r>
    </w:p>
    <w:p w14:paraId="0056C28D" w14:textId="77777777" w:rsidR="00037981" w:rsidRDefault="00000000">
      <w:pPr>
        <w:pStyle w:val="a"/>
      </w:pPr>
      <w:r>
        <w:rPr>
          <w:b/>
        </w:rPr>
        <w:t>It does not reproduce in the independent dataset.</w:t>
      </w:r>
      <w:r>
        <w:t xml:space="preserve"> GSE14929 estimates −0.090 (CI −0.33 to +0.15) from 15 vs 15 WT arrays. The two dataset estimates are formally incompatible (Wald heterogeneity p &lt; 1e-4); the GSE14929 interval excludes the entire GSE322803 interval.</w:t>
      </w:r>
    </w:p>
    <w:p w14:paraId="1B725140" w14:textId="77777777" w:rsidR="00037981" w:rsidRDefault="00000000">
      <w:pPr>
        <w:pStyle w:val="a"/>
      </w:pPr>
      <w:r>
        <w:rPr>
          <w:b/>
        </w:rPr>
        <w:t>The SPF group's own spread nearly covers the effect.</w:t>
      </w:r>
      <w:r>
        <w:t xml:space="preserve"> Within-group range of the three SPF animals is 0.397 log2, 62% of the 0.637 estimate.</w:t>
      </w:r>
    </w:p>
    <w:p w14:paraId="0BA3B64F" w14:textId="77777777" w:rsidR="00037981" w:rsidRDefault="00000000">
      <w:pPr>
        <w:jc w:val="both"/>
      </w:pPr>
      <w:r>
        <w:t xml:space="preserve">It is also not cardiac-specific: </w:t>
      </w:r>
      <w:r>
        <w:rPr>
          <w:i/>
        </w:rPr>
        <w:t>B4galt5</w:t>
      </w:r>
      <w:r>
        <w:t xml:space="preserve">'s largest SPF-vs-GF effect in GSE322803 is in </w:t>
      </w:r>
      <w:r>
        <w:rPr>
          <w:b/>
        </w:rPr>
        <w:t>kidney</w:t>
      </w:r>
      <w:r>
        <w:t xml:space="preserve"> (+1.070), not heart, and in heart it is accompanied by same-sign shifts in </w:t>
      </w:r>
      <w:r>
        <w:rPr>
          <w:i/>
        </w:rPr>
        <w:t>B4galt1</w:t>
      </w:r>
      <w:r>
        <w:t xml:space="preserve"> (+0.476), </w:t>
      </w:r>
      <w:r>
        <w:rPr>
          <w:i/>
        </w:rPr>
        <w:t>B4galt2</w:t>
      </w:r>
      <w:r>
        <w:t xml:space="preserve"> (+0.388) and </w:t>
      </w:r>
      <w:r>
        <w:rPr>
          <w:i/>
        </w:rPr>
        <w:t>B4galt7</w:t>
      </w:r>
      <w:r>
        <w:t xml:space="preserve"> (+0.375) — consistent with a group-level shift in this three-animal cardiac batch rather than a targeted glycosphingolipid response.</w:t>
      </w:r>
    </w:p>
    <w:p w14:paraId="22959D16" w14:textId="77777777" w:rsidR="00037981" w:rsidRDefault="00000000">
      <w:pPr>
        <w:pStyle w:val="31"/>
        <w:spacing w:before="240" w:after="120"/>
      </w:pPr>
      <w:r>
        <w:rPr>
          <w:rFonts w:ascii="Times New Roman" w:hAnsi="Times New Roman"/>
          <w:color w:val="000000"/>
        </w:rPr>
        <w:t>GENOTYPE FACTOR IN GSE14929 — handled explicitly</w:t>
      </w:r>
    </w:p>
    <w:p w14:paraId="60B82B28" w14:textId="77777777" w:rsidR="00037981" w:rsidRDefault="00000000">
      <w:pPr>
        <w:jc w:val="both"/>
      </w:pPr>
      <w:r>
        <w:t xml:space="preserve">GSE14929 is a 38-array Affymetrix Mouse430_2 series (MAS5-normalised), </w:t>
      </w:r>
      <w:r>
        <w:rPr>
          <w:b/>
        </w:rPr>
        <w:t>entirely heart tissue</w:t>
      </w:r>
      <w:r>
        <w:t>, with two crossed structures rather than one:</w:t>
      </w:r>
    </w:p>
    <w:p w14:paraId="145C9964" w14:textId="77777777" w:rsidR="00037981" w:rsidRDefault="00000000">
      <w:pPr>
        <w:pStyle w:val="a0"/>
      </w:pPr>
      <w:r>
        <w:t>WT animals in three physiological states (carbohydrate-fed, 24 h fasted, 30 d trained), 5 germ-free vs 5 conventionalised each — 30 arrays.</w:t>
      </w:r>
    </w:p>
    <w:p w14:paraId="3F754E78" w14:textId="77777777" w:rsidR="00037981" w:rsidRDefault="00000000">
      <w:pPr>
        <w:pStyle w:val="a0"/>
      </w:pPr>
      <w:r>
        <w:rPr>
          <w:i/>
        </w:rPr>
        <w:t>Ppara</w:t>
      </w:r>
      <w:r>
        <w:t>-/- animals, 5 germ-free vs 3 conventionalised — 8 arrays.</w:t>
      </w:r>
    </w:p>
    <w:p w14:paraId="125033D4" w14:textId="77777777" w:rsidR="00037981" w:rsidRDefault="00000000">
      <w:pPr>
        <w:jc w:val="both"/>
      </w:pPr>
      <w:r>
        <w:rPr>
          <w:i/>
        </w:rPr>
        <w:t>Ppara</w:t>
      </w:r>
      <w:r>
        <w:t xml:space="preserve"> genotype is </w:t>
      </w:r>
      <w:r>
        <w:rPr>
          <w:b/>
        </w:rPr>
        <w:t>perfectly confounded with physiological-state stratum</w:t>
      </w:r>
      <w:r>
        <w:t xml:space="preserve">: the knockout animals have no matching WT diet arm, so a genotype × colonisation interaction is </w:t>
      </w:r>
      <w:r>
        <w:rPr>
          <w:b/>
        </w:rPr>
        <w:t>not estimable</w:t>
      </w:r>
      <w:r>
        <w:t xml:space="preserve"> in a model that also adjusts for state (the design matrix is rank-deficient). Reported instead as a Wald heterogeneity test between the two independent stratum estimates:</w:t>
      </w:r>
    </w:p>
    <w:tbl>
      <w:tblPr>
        <w:tblStyle w:val="af9"/>
        <w:tblW w:w="0" w:type="auto"/>
        <w:jc w:val="center"/>
        <w:tblLook w:val="04A0" w:firstRow="1" w:lastRow="0" w:firstColumn="1" w:lastColumn="0" w:noHBand="0" w:noVBand="1"/>
      </w:tblPr>
      <w:tblGrid>
        <w:gridCol w:w="2160"/>
        <w:gridCol w:w="2160"/>
        <w:gridCol w:w="2160"/>
        <w:gridCol w:w="2160"/>
      </w:tblGrid>
      <w:tr w:rsidR="00037981" w14:paraId="12A8F44A" w14:textId="77777777">
        <w:trPr>
          <w:jc w:val="center"/>
        </w:trPr>
        <w:tc>
          <w:tcPr>
            <w:tcW w:w="2160" w:type="dxa"/>
          </w:tcPr>
          <w:p w14:paraId="29E10483" w14:textId="77777777" w:rsidR="00037981" w:rsidRDefault="00000000">
            <w:pPr>
              <w:spacing w:after="40" w:line="240" w:lineRule="auto"/>
            </w:pPr>
            <w:r>
              <w:rPr>
                <w:b/>
                <w:sz w:val="18"/>
              </w:rPr>
              <w:t>Gene</w:t>
            </w:r>
          </w:p>
        </w:tc>
        <w:tc>
          <w:tcPr>
            <w:tcW w:w="2160" w:type="dxa"/>
          </w:tcPr>
          <w:p w14:paraId="3876EDC8" w14:textId="77777777" w:rsidR="00037981" w:rsidRDefault="00000000">
            <w:pPr>
              <w:spacing w:after="40" w:line="240" w:lineRule="auto"/>
            </w:pPr>
            <w:r>
              <w:rPr>
                <w:b/>
                <w:sz w:val="18"/>
              </w:rPr>
              <w:t>Colonisation effect, WT (15 v 15)</w:t>
            </w:r>
          </w:p>
        </w:tc>
        <w:tc>
          <w:tcPr>
            <w:tcW w:w="2160" w:type="dxa"/>
          </w:tcPr>
          <w:p w14:paraId="458CE37A" w14:textId="77777777" w:rsidR="00037981" w:rsidRDefault="00000000">
            <w:pPr>
              <w:spacing w:after="40" w:line="240" w:lineRule="auto"/>
            </w:pPr>
            <w:r>
              <w:rPr>
                <w:b/>
                <w:sz w:val="18"/>
              </w:rPr>
              <w:t xml:space="preserve">Colonisation effect, </w:t>
            </w:r>
            <w:r>
              <w:rPr>
                <w:b/>
                <w:i/>
                <w:sz w:val="18"/>
              </w:rPr>
              <w:t>Ppara</w:t>
            </w:r>
            <w:r>
              <w:rPr>
                <w:b/>
                <w:sz w:val="18"/>
              </w:rPr>
              <w:t>-/- (3 v 5)</w:t>
            </w:r>
          </w:p>
        </w:tc>
        <w:tc>
          <w:tcPr>
            <w:tcW w:w="2160" w:type="dxa"/>
          </w:tcPr>
          <w:p w14:paraId="48FFA6A5" w14:textId="77777777" w:rsidR="00037981" w:rsidRDefault="00000000">
            <w:pPr>
              <w:spacing w:after="40" w:line="240" w:lineRule="auto"/>
            </w:pPr>
            <w:r>
              <w:rPr>
                <w:b/>
                <w:sz w:val="18"/>
              </w:rPr>
              <w:t>Heterogeneity p</w:t>
            </w:r>
          </w:p>
        </w:tc>
      </w:tr>
      <w:tr w:rsidR="00037981" w14:paraId="422148EC" w14:textId="77777777">
        <w:trPr>
          <w:jc w:val="center"/>
        </w:trPr>
        <w:tc>
          <w:tcPr>
            <w:tcW w:w="2160" w:type="dxa"/>
          </w:tcPr>
          <w:p w14:paraId="76B08762" w14:textId="77777777" w:rsidR="00037981" w:rsidRDefault="00000000">
            <w:pPr>
              <w:spacing w:after="40" w:line="240" w:lineRule="auto"/>
            </w:pPr>
            <w:r>
              <w:rPr>
                <w:i/>
                <w:sz w:val="18"/>
              </w:rPr>
              <w:lastRenderedPageBreak/>
              <w:t>B4galt6</w:t>
            </w:r>
          </w:p>
        </w:tc>
        <w:tc>
          <w:tcPr>
            <w:tcW w:w="2160" w:type="dxa"/>
          </w:tcPr>
          <w:p w14:paraId="6D46A5E5" w14:textId="77777777" w:rsidR="00037981" w:rsidRDefault="00000000">
            <w:pPr>
              <w:spacing w:after="40" w:line="240" w:lineRule="auto"/>
            </w:pPr>
            <w:r>
              <w:rPr>
                <w:sz w:val="18"/>
              </w:rPr>
              <w:t>−0.025</w:t>
            </w:r>
          </w:p>
        </w:tc>
        <w:tc>
          <w:tcPr>
            <w:tcW w:w="2160" w:type="dxa"/>
          </w:tcPr>
          <w:p w14:paraId="4A574697" w14:textId="77777777" w:rsidR="00037981" w:rsidRDefault="00000000">
            <w:pPr>
              <w:spacing w:after="40" w:line="240" w:lineRule="auto"/>
            </w:pPr>
            <w:r>
              <w:rPr>
                <w:sz w:val="18"/>
              </w:rPr>
              <w:t>+0.009 (CI −0.554 to +0.572)</w:t>
            </w:r>
          </w:p>
        </w:tc>
        <w:tc>
          <w:tcPr>
            <w:tcW w:w="2160" w:type="dxa"/>
          </w:tcPr>
          <w:p w14:paraId="113BE733" w14:textId="77777777" w:rsidR="00037981" w:rsidRDefault="00000000">
            <w:pPr>
              <w:spacing w:after="40" w:line="240" w:lineRule="auto"/>
            </w:pPr>
            <w:r>
              <w:rPr>
                <w:sz w:val="18"/>
              </w:rPr>
              <w:t>0.87</w:t>
            </w:r>
          </w:p>
        </w:tc>
      </w:tr>
      <w:tr w:rsidR="00037981" w14:paraId="26985E8B" w14:textId="77777777">
        <w:trPr>
          <w:jc w:val="center"/>
        </w:trPr>
        <w:tc>
          <w:tcPr>
            <w:tcW w:w="2160" w:type="dxa"/>
          </w:tcPr>
          <w:p w14:paraId="11F764D2" w14:textId="77777777" w:rsidR="00037981" w:rsidRDefault="00000000">
            <w:pPr>
              <w:spacing w:after="40" w:line="240" w:lineRule="auto"/>
            </w:pPr>
            <w:r>
              <w:rPr>
                <w:i/>
                <w:sz w:val="18"/>
              </w:rPr>
              <w:t>B4galt5</w:t>
            </w:r>
          </w:p>
        </w:tc>
        <w:tc>
          <w:tcPr>
            <w:tcW w:w="2160" w:type="dxa"/>
          </w:tcPr>
          <w:p w14:paraId="5AE39305" w14:textId="77777777" w:rsidR="00037981" w:rsidRDefault="00000000">
            <w:pPr>
              <w:spacing w:after="40" w:line="240" w:lineRule="auto"/>
            </w:pPr>
            <w:r>
              <w:rPr>
                <w:sz w:val="18"/>
              </w:rPr>
              <w:t>−0.090</w:t>
            </w:r>
          </w:p>
        </w:tc>
        <w:tc>
          <w:tcPr>
            <w:tcW w:w="2160" w:type="dxa"/>
          </w:tcPr>
          <w:p w14:paraId="678C12A3" w14:textId="77777777" w:rsidR="00037981" w:rsidRDefault="00000000">
            <w:pPr>
              <w:spacing w:after="40" w:line="240" w:lineRule="auto"/>
            </w:pPr>
            <w:r>
              <w:rPr>
                <w:sz w:val="18"/>
              </w:rPr>
              <w:t>−0.163 (CI −0.995 to +0.668)</w:t>
            </w:r>
          </w:p>
        </w:tc>
        <w:tc>
          <w:tcPr>
            <w:tcW w:w="2160" w:type="dxa"/>
          </w:tcPr>
          <w:p w14:paraId="03B3DFAB" w14:textId="77777777" w:rsidR="00037981" w:rsidRDefault="00000000">
            <w:pPr>
              <w:spacing w:after="40" w:line="240" w:lineRule="auto"/>
            </w:pPr>
            <w:r>
              <w:rPr>
                <w:sz w:val="18"/>
              </w:rPr>
              <w:t>0.78</w:t>
            </w:r>
          </w:p>
        </w:tc>
      </w:tr>
    </w:tbl>
    <w:p w14:paraId="3E6FAF8C" w14:textId="77777777" w:rsidR="00037981" w:rsidRDefault="00037981"/>
    <w:p w14:paraId="5DAE5869" w14:textId="77777777" w:rsidR="00037981" w:rsidRDefault="00000000">
      <w:pPr>
        <w:jc w:val="both"/>
      </w:pPr>
      <w:r>
        <w:t xml:space="preserve">Genotype does not modify the colonisation contrast for either decision gene. Only </w:t>
      </w:r>
      <w:r>
        <w:rPr>
          <w:i/>
        </w:rPr>
        <w:t>B4galt1</w:t>
      </w:r>
      <w:r>
        <w:t xml:space="preserve"> shows any genotype heterogeneity (+0.349, p = 0.016), which is not a pathway gene of interest and is one nominal result among 16 unadjusted tests.</w:t>
      </w:r>
    </w:p>
    <w:p w14:paraId="0482AA16" w14:textId="77777777" w:rsidR="00037981" w:rsidRDefault="00000000">
      <w:pPr>
        <w:jc w:val="both"/>
      </w:pPr>
      <w:r>
        <w:t xml:space="preserve">Four </w:t>
      </w:r>
      <w:r>
        <w:rPr>
          <w:i/>
        </w:rPr>
        <w:t>B4galt6</w:t>
      </w:r>
      <w:r>
        <w:t xml:space="preserve"> probes and two </w:t>
      </w:r>
      <w:r>
        <w:rPr>
          <w:i/>
        </w:rPr>
        <w:t>B4galt5</w:t>
      </w:r>
      <w:r>
        <w:t xml:space="preserve"> probes were analysed. The </w:t>
      </w:r>
      <w:r>
        <w:rPr>
          <w:i/>
        </w:rPr>
        <w:t>B4galt6</w:t>
      </w:r>
      <w:r>
        <w:t xml:space="preserve"> probes do </w:t>
      </w:r>
      <w:r>
        <w:rPr>
          <w:b/>
        </w:rPr>
        <w:t>not</w:t>
      </w:r>
      <w:r>
        <w:t xml:space="preserve"> all agree in sign — WT colonisation effects are 1423228_at +0.102 (CI −0.123 to +0.326), 1435758_at −0.025 (−0.173 to +0.122), 1450913_at +0.035 (−0.182 to +0.252), 1460329_at +0.045 (−0.119 to +0.209) — but all four intervals contain zero and all four point estimates are within 0.11 log2 of zero, so the disagreement is sign noise around a null rather than conflicting evidence. The </w:t>
      </w:r>
      <w:r>
        <w:rPr>
          <w:i/>
        </w:rPr>
        <w:t>B4galt5</w:t>
      </w:r>
      <w:r>
        <w:t xml:space="preserve"> probes are both negative (1421967_at −0.533, 1433617_s_at −0.090). The representative probe is the highest-expressed per gene (</w:t>
      </w:r>
      <w:r>
        <w:rPr>
          <w:i/>
        </w:rPr>
        <w:t>B4galt6</w:t>
      </w:r>
      <w:r>
        <w:t xml:space="preserve"> 1435758_at, </w:t>
      </w:r>
      <w:r>
        <w:rPr>
          <w:i/>
        </w:rPr>
        <w:t>B4galt5</w:t>
      </w:r>
      <w:r>
        <w:t xml:space="preserve"> 1433617_s_at).</w:t>
      </w:r>
    </w:p>
    <w:p w14:paraId="23C3BDB9" w14:textId="77777777" w:rsidR="00037981" w:rsidRDefault="00000000">
      <w:pPr>
        <w:pStyle w:val="31"/>
        <w:spacing w:before="240" w:after="120"/>
      </w:pPr>
      <w:r>
        <w:rPr>
          <w:rFonts w:ascii="Times New Roman" w:hAnsi="Times New Roman"/>
          <w:color w:val="000000"/>
        </w:rPr>
        <w:t>SECONDARY PANEL — other tissues (GSE322803, SPF vs germ-free, log2FC)</w:t>
      </w:r>
    </w:p>
    <w:tbl>
      <w:tblPr>
        <w:tblStyle w:val="af9"/>
        <w:tblW w:w="0" w:type="auto"/>
        <w:jc w:val="center"/>
        <w:tblLook w:val="04A0" w:firstRow="1" w:lastRow="0" w:firstColumn="1" w:lastColumn="0" w:noHBand="0" w:noVBand="1"/>
      </w:tblPr>
      <w:tblGrid>
        <w:gridCol w:w="1234"/>
        <w:gridCol w:w="1234"/>
        <w:gridCol w:w="1234"/>
        <w:gridCol w:w="1234"/>
        <w:gridCol w:w="1234"/>
        <w:gridCol w:w="1234"/>
        <w:gridCol w:w="1234"/>
      </w:tblGrid>
      <w:tr w:rsidR="00037981" w14:paraId="1FF7CF01" w14:textId="77777777">
        <w:trPr>
          <w:jc w:val="center"/>
        </w:trPr>
        <w:tc>
          <w:tcPr>
            <w:tcW w:w="1234" w:type="dxa"/>
          </w:tcPr>
          <w:p w14:paraId="275230BC" w14:textId="77777777" w:rsidR="00037981" w:rsidRDefault="00000000">
            <w:pPr>
              <w:spacing w:after="40" w:line="240" w:lineRule="auto"/>
            </w:pPr>
            <w:r>
              <w:rPr>
                <w:b/>
                <w:sz w:val="18"/>
              </w:rPr>
              <w:t>Gene</w:t>
            </w:r>
          </w:p>
        </w:tc>
        <w:tc>
          <w:tcPr>
            <w:tcW w:w="1234" w:type="dxa"/>
          </w:tcPr>
          <w:p w14:paraId="17245D90" w14:textId="77777777" w:rsidR="00037981" w:rsidRDefault="00000000">
            <w:pPr>
              <w:spacing w:after="40" w:line="240" w:lineRule="auto"/>
            </w:pPr>
            <w:r>
              <w:rPr>
                <w:b/>
                <w:sz w:val="18"/>
              </w:rPr>
              <w:t>colon</w:t>
            </w:r>
          </w:p>
        </w:tc>
        <w:tc>
          <w:tcPr>
            <w:tcW w:w="1234" w:type="dxa"/>
          </w:tcPr>
          <w:p w14:paraId="692618CE" w14:textId="77777777" w:rsidR="00037981" w:rsidRDefault="00000000">
            <w:pPr>
              <w:spacing w:after="40" w:line="240" w:lineRule="auto"/>
            </w:pPr>
            <w:r>
              <w:rPr>
                <w:b/>
                <w:sz w:val="18"/>
              </w:rPr>
              <w:t>heart</w:t>
            </w:r>
          </w:p>
        </w:tc>
        <w:tc>
          <w:tcPr>
            <w:tcW w:w="1234" w:type="dxa"/>
          </w:tcPr>
          <w:p w14:paraId="75927937" w14:textId="77777777" w:rsidR="00037981" w:rsidRDefault="00000000">
            <w:pPr>
              <w:spacing w:after="40" w:line="240" w:lineRule="auto"/>
            </w:pPr>
            <w:r>
              <w:rPr>
                <w:b/>
                <w:sz w:val="18"/>
              </w:rPr>
              <w:t>jejunum</w:t>
            </w:r>
          </w:p>
        </w:tc>
        <w:tc>
          <w:tcPr>
            <w:tcW w:w="1234" w:type="dxa"/>
          </w:tcPr>
          <w:p w14:paraId="0F411FC8" w14:textId="77777777" w:rsidR="00037981" w:rsidRDefault="00000000">
            <w:pPr>
              <w:spacing w:after="40" w:line="240" w:lineRule="auto"/>
            </w:pPr>
            <w:r>
              <w:rPr>
                <w:b/>
                <w:sz w:val="18"/>
              </w:rPr>
              <w:t>kidney</w:t>
            </w:r>
          </w:p>
        </w:tc>
        <w:tc>
          <w:tcPr>
            <w:tcW w:w="1234" w:type="dxa"/>
          </w:tcPr>
          <w:p w14:paraId="506CE53E" w14:textId="77777777" w:rsidR="00037981" w:rsidRDefault="00000000">
            <w:pPr>
              <w:spacing w:after="40" w:line="240" w:lineRule="auto"/>
            </w:pPr>
            <w:r>
              <w:rPr>
                <w:b/>
                <w:sz w:val="18"/>
              </w:rPr>
              <w:t>liver</w:t>
            </w:r>
          </w:p>
        </w:tc>
        <w:tc>
          <w:tcPr>
            <w:tcW w:w="1234" w:type="dxa"/>
          </w:tcPr>
          <w:p w14:paraId="7CA34E17" w14:textId="77777777" w:rsidR="00037981" w:rsidRDefault="00000000">
            <w:pPr>
              <w:spacing w:after="40" w:line="240" w:lineRule="auto"/>
            </w:pPr>
            <w:r>
              <w:rPr>
                <w:b/>
                <w:sz w:val="18"/>
              </w:rPr>
              <w:t>lung</w:t>
            </w:r>
          </w:p>
        </w:tc>
      </w:tr>
      <w:tr w:rsidR="00037981" w14:paraId="1535255B" w14:textId="77777777">
        <w:trPr>
          <w:jc w:val="center"/>
        </w:trPr>
        <w:tc>
          <w:tcPr>
            <w:tcW w:w="1234" w:type="dxa"/>
          </w:tcPr>
          <w:p w14:paraId="00CD1C94" w14:textId="77777777" w:rsidR="00037981" w:rsidRDefault="00000000">
            <w:pPr>
              <w:spacing w:after="40" w:line="240" w:lineRule="auto"/>
            </w:pPr>
            <w:r>
              <w:rPr>
                <w:i/>
                <w:sz w:val="18"/>
              </w:rPr>
              <w:t>B4galt1</w:t>
            </w:r>
          </w:p>
        </w:tc>
        <w:tc>
          <w:tcPr>
            <w:tcW w:w="1234" w:type="dxa"/>
          </w:tcPr>
          <w:p w14:paraId="57CE0A9E" w14:textId="77777777" w:rsidR="00037981" w:rsidRDefault="00000000">
            <w:pPr>
              <w:spacing w:after="40" w:line="240" w:lineRule="auto"/>
            </w:pPr>
            <w:r>
              <w:rPr>
                <w:sz w:val="18"/>
              </w:rPr>
              <w:t>+0.345</w:t>
            </w:r>
          </w:p>
        </w:tc>
        <w:tc>
          <w:tcPr>
            <w:tcW w:w="1234" w:type="dxa"/>
          </w:tcPr>
          <w:p w14:paraId="167A39BA" w14:textId="77777777" w:rsidR="00037981" w:rsidRDefault="00000000">
            <w:pPr>
              <w:spacing w:after="40" w:line="240" w:lineRule="auto"/>
            </w:pPr>
            <w:r>
              <w:rPr>
                <w:sz w:val="18"/>
              </w:rPr>
              <w:t>+0.476</w:t>
            </w:r>
          </w:p>
        </w:tc>
        <w:tc>
          <w:tcPr>
            <w:tcW w:w="1234" w:type="dxa"/>
          </w:tcPr>
          <w:p w14:paraId="6A0549D8" w14:textId="77777777" w:rsidR="00037981" w:rsidRDefault="00000000">
            <w:pPr>
              <w:spacing w:after="40" w:line="240" w:lineRule="auto"/>
            </w:pPr>
            <w:r>
              <w:rPr>
                <w:sz w:val="18"/>
              </w:rPr>
              <w:t>−0.261</w:t>
            </w:r>
          </w:p>
        </w:tc>
        <w:tc>
          <w:tcPr>
            <w:tcW w:w="1234" w:type="dxa"/>
          </w:tcPr>
          <w:p w14:paraId="67EEC2ED" w14:textId="77777777" w:rsidR="00037981" w:rsidRDefault="00000000">
            <w:pPr>
              <w:spacing w:after="40" w:line="240" w:lineRule="auto"/>
            </w:pPr>
            <w:r>
              <w:rPr>
                <w:sz w:val="18"/>
              </w:rPr>
              <w:t>−0.085</w:t>
            </w:r>
          </w:p>
        </w:tc>
        <w:tc>
          <w:tcPr>
            <w:tcW w:w="1234" w:type="dxa"/>
          </w:tcPr>
          <w:p w14:paraId="4DB8E7AC" w14:textId="77777777" w:rsidR="00037981" w:rsidRDefault="00000000">
            <w:pPr>
              <w:spacing w:after="40" w:line="240" w:lineRule="auto"/>
            </w:pPr>
            <w:r>
              <w:rPr>
                <w:sz w:val="18"/>
              </w:rPr>
              <w:t>+0.131</w:t>
            </w:r>
          </w:p>
        </w:tc>
        <w:tc>
          <w:tcPr>
            <w:tcW w:w="1234" w:type="dxa"/>
          </w:tcPr>
          <w:p w14:paraId="499C88B3" w14:textId="77777777" w:rsidR="00037981" w:rsidRDefault="00000000">
            <w:pPr>
              <w:spacing w:after="40" w:line="240" w:lineRule="auto"/>
            </w:pPr>
            <w:r>
              <w:rPr>
                <w:sz w:val="18"/>
              </w:rPr>
              <w:t>+0.321</w:t>
            </w:r>
          </w:p>
        </w:tc>
      </w:tr>
      <w:tr w:rsidR="00037981" w14:paraId="210BAF91" w14:textId="77777777">
        <w:trPr>
          <w:jc w:val="center"/>
        </w:trPr>
        <w:tc>
          <w:tcPr>
            <w:tcW w:w="1234" w:type="dxa"/>
          </w:tcPr>
          <w:p w14:paraId="32E6BDDF" w14:textId="77777777" w:rsidR="00037981" w:rsidRDefault="00000000">
            <w:pPr>
              <w:spacing w:after="40" w:line="240" w:lineRule="auto"/>
            </w:pPr>
            <w:r>
              <w:rPr>
                <w:i/>
                <w:sz w:val="18"/>
              </w:rPr>
              <w:t>B4galt2</w:t>
            </w:r>
          </w:p>
        </w:tc>
        <w:tc>
          <w:tcPr>
            <w:tcW w:w="1234" w:type="dxa"/>
          </w:tcPr>
          <w:p w14:paraId="590ED520" w14:textId="77777777" w:rsidR="00037981" w:rsidRDefault="00000000">
            <w:pPr>
              <w:spacing w:after="40" w:line="240" w:lineRule="auto"/>
            </w:pPr>
            <w:r>
              <w:rPr>
                <w:sz w:val="18"/>
              </w:rPr>
              <w:t>+0.296</w:t>
            </w:r>
          </w:p>
        </w:tc>
        <w:tc>
          <w:tcPr>
            <w:tcW w:w="1234" w:type="dxa"/>
          </w:tcPr>
          <w:p w14:paraId="2913008C" w14:textId="77777777" w:rsidR="00037981" w:rsidRDefault="00000000">
            <w:pPr>
              <w:spacing w:after="40" w:line="240" w:lineRule="auto"/>
            </w:pPr>
            <w:r>
              <w:rPr>
                <w:sz w:val="18"/>
              </w:rPr>
              <w:t>+0.388</w:t>
            </w:r>
          </w:p>
        </w:tc>
        <w:tc>
          <w:tcPr>
            <w:tcW w:w="1234" w:type="dxa"/>
          </w:tcPr>
          <w:p w14:paraId="5908BF1E" w14:textId="77777777" w:rsidR="00037981" w:rsidRDefault="00000000">
            <w:pPr>
              <w:spacing w:after="40" w:line="240" w:lineRule="auto"/>
            </w:pPr>
            <w:r>
              <w:rPr>
                <w:sz w:val="18"/>
              </w:rPr>
              <w:t>−0.132</w:t>
            </w:r>
          </w:p>
        </w:tc>
        <w:tc>
          <w:tcPr>
            <w:tcW w:w="1234" w:type="dxa"/>
          </w:tcPr>
          <w:p w14:paraId="3F98CDF2" w14:textId="77777777" w:rsidR="00037981" w:rsidRDefault="00000000">
            <w:pPr>
              <w:spacing w:after="40" w:line="240" w:lineRule="auto"/>
            </w:pPr>
            <w:r>
              <w:rPr>
                <w:sz w:val="18"/>
              </w:rPr>
              <w:t>+0.086</w:t>
            </w:r>
          </w:p>
        </w:tc>
        <w:tc>
          <w:tcPr>
            <w:tcW w:w="1234" w:type="dxa"/>
          </w:tcPr>
          <w:p w14:paraId="642193E7" w14:textId="77777777" w:rsidR="00037981" w:rsidRDefault="00000000">
            <w:pPr>
              <w:spacing w:after="40" w:line="240" w:lineRule="auto"/>
            </w:pPr>
            <w:r>
              <w:rPr>
                <w:sz w:val="18"/>
              </w:rPr>
              <w:t>+0.164</w:t>
            </w:r>
          </w:p>
        </w:tc>
        <w:tc>
          <w:tcPr>
            <w:tcW w:w="1234" w:type="dxa"/>
          </w:tcPr>
          <w:p w14:paraId="773400B2" w14:textId="77777777" w:rsidR="00037981" w:rsidRDefault="00000000">
            <w:pPr>
              <w:spacing w:after="40" w:line="240" w:lineRule="auto"/>
            </w:pPr>
            <w:r>
              <w:rPr>
                <w:sz w:val="18"/>
              </w:rPr>
              <w:t>+0.051</w:t>
            </w:r>
          </w:p>
        </w:tc>
      </w:tr>
      <w:tr w:rsidR="00037981" w14:paraId="438BC9B0" w14:textId="77777777">
        <w:trPr>
          <w:jc w:val="center"/>
        </w:trPr>
        <w:tc>
          <w:tcPr>
            <w:tcW w:w="1234" w:type="dxa"/>
          </w:tcPr>
          <w:p w14:paraId="585B0DBD" w14:textId="77777777" w:rsidR="00037981" w:rsidRDefault="00000000">
            <w:pPr>
              <w:spacing w:after="40" w:line="240" w:lineRule="auto"/>
            </w:pPr>
            <w:r>
              <w:rPr>
                <w:i/>
                <w:sz w:val="18"/>
              </w:rPr>
              <w:t>B4galt3</w:t>
            </w:r>
          </w:p>
        </w:tc>
        <w:tc>
          <w:tcPr>
            <w:tcW w:w="1234" w:type="dxa"/>
          </w:tcPr>
          <w:p w14:paraId="382AF11D" w14:textId="77777777" w:rsidR="00037981" w:rsidRDefault="00000000">
            <w:pPr>
              <w:spacing w:after="40" w:line="240" w:lineRule="auto"/>
            </w:pPr>
            <w:r>
              <w:rPr>
                <w:sz w:val="18"/>
              </w:rPr>
              <w:t>−0.096</w:t>
            </w:r>
          </w:p>
        </w:tc>
        <w:tc>
          <w:tcPr>
            <w:tcW w:w="1234" w:type="dxa"/>
          </w:tcPr>
          <w:p w14:paraId="6270BD20" w14:textId="77777777" w:rsidR="00037981" w:rsidRDefault="00000000">
            <w:pPr>
              <w:spacing w:after="40" w:line="240" w:lineRule="auto"/>
            </w:pPr>
            <w:r>
              <w:rPr>
                <w:sz w:val="18"/>
              </w:rPr>
              <w:t>+0.251</w:t>
            </w:r>
          </w:p>
        </w:tc>
        <w:tc>
          <w:tcPr>
            <w:tcW w:w="1234" w:type="dxa"/>
          </w:tcPr>
          <w:p w14:paraId="1A145B6E" w14:textId="77777777" w:rsidR="00037981" w:rsidRDefault="00000000">
            <w:pPr>
              <w:spacing w:after="40" w:line="240" w:lineRule="auto"/>
            </w:pPr>
            <w:r>
              <w:rPr>
                <w:sz w:val="18"/>
              </w:rPr>
              <w:t>−0.049</w:t>
            </w:r>
          </w:p>
        </w:tc>
        <w:tc>
          <w:tcPr>
            <w:tcW w:w="1234" w:type="dxa"/>
          </w:tcPr>
          <w:p w14:paraId="1A044688" w14:textId="77777777" w:rsidR="00037981" w:rsidRDefault="00000000">
            <w:pPr>
              <w:spacing w:after="40" w:line="240" w:lineRule="auto"/>
            </w:pPr>
            <w:r>
              <w:rPr>
                <w:sz w:val="18"/>
              </w:rPr>
              <w:t>+0.149</w:t>
            </w:r>
          </w:p>
        </w:tc>
        <w:tc>
          <w:tcPr>
            <w:tcW w:w="1234" w:type="dxa"/>
          </w:tcPr>
          <w:p w14:paraId="31129265" w14:textId="77777777" w:rsidR="00037981" w:rsidRDefault="00000000">
            <w:pPr>
              <w:spacing w:after="40" w:line="240" w:lineRule="auto"/>
            </w:pPr>
            <w:r>
              <w:rPr>
                <w:sz w:val="18"/>
              </w:rPr>
              <w:t>+0.127</w:t>
            </w:r>
          </w:p>
        </w:tc>
        <w:tc>
          <w:tcPr>
            <w:tcW w:w="1234" w:type="dxa"/>
          </w:tcPr>
          <w:p w14:paraId="3086EF01" w14:textId="77777777" w:rsidR="00037981" w:rsidRDefault="00000000">
            <w:pPr>
              <w:spacing w:after="40" w:line="240" w:lineRule="auto"/>
            </w:pPr>
            <w:r>
              <w:rPr>
                <w:sz w:val="18"/>
              </w:rPr>
              <w:t>+0.297</w:t>
            </w:r>
          </w:p>
        </w:tc>
      </w:tr>
      <w:tr w:rsidR="00037981" w14:paraId="0CD02F0C" w14:textId="77777777">
        <w:trPr>
          <w:jc w:val="center"/>
        </w:trPr>
        <w:tc>
          <w:tcPr>
            <w:tcW w:w="1234" w:type="dxa"/>
          </w:tcPr>
          <w:p w14:paraId="64C533FC" w14:textId="77777777" w:rsidR="00037981" w:rsidRDefault="00000000">
            <w:pPr>
              <w:spacing w:after="40" w:line="240" w:lineRule="auto"/>
            </w:pPr>
            <w:r>
              <w:rPr>
                <w:i/>
                <w:sz w:val="18"/>
              </w:rPr>
              <w:t>B4galt4</w:t>
            </w:r>
          </w:p>
        </w:tc>
        <w:tc>
          <w:tcPr>
            <w:tcW w:w="1234" w:type="dxa"/>
          </w:tcPr>
          <w:p w14:paraId="7C683C96" w14:textId="77777777" w:rsidR="00037981" w:rsidRDefault="00000000">
            <w:pPr>
              <w:spacing w:after="40" w:line="240" w:lineRule="auto"/>
            </w:pPr>
            <w:r>
              <w:rPr>
                <w:sz w:val="18"/>
              </w:rPr>
              <w:t>+0.657</w:t>
            </w:r>
          </w:p>
        </w:tc>
        <w:tc>
          <w:tcPr>
            <w:tcW w:w="1234" w:type="dxa"/>
          </w:tcPr>
          <w:p w14:paraId="45E931DD" w14:textId="77777777" w:rsidR="00037981" w:rsidRDefault="00000000">
            <w:pPr>
              <w:spacing w:after="40" w:line="240" w:lineRule="auto"/>
            </w:pPr>
            <w:r>
              <w:rPr>
                <w:sz w:val="18"/>
              </w:rPr>
              <w:t>−0.295</w:t>
            </w:r>
          </w:p>
        </w:tc>
        <w:tc>
          <w:tcPr>
            <w:tcW w:w="1234" w:type="dxa"/>
          </w:tcPr>
          <w:p w14:paraId="1E2AD05E" w14:textId="77777777" w:rsidR="00037981" w:rsidRDefault="00000000">
            <w:pPr>
              <w:spacing w:after="40" w:line="240" w:lineRule="auto"/>
            </w:pPr>
            <w:r>
              <w:rPr>
                <w:sz w:val="18"/>
              </w:rPr>
              <w:t>+0.585</w:t>
            </w:r>
          </w:p>
        </w:tc>
        <w:tc>
          <w:tcPr>
            <w:tcW w:w="1234" w:type="dxa"/>
          </w:tcPr>
          <w:p w14:paraId="6B885AE5" w14:textId="77777777" w:rsidR="00037981" w:rsidRDefault="00000000">
            <w:pPr>
              <w:spacing w:after="40" w:line="240" w:lineRule="auto"/>
            </w:pPr>
            <w:r>
              <w:rPr>
                <w:sz w:val="18"/>
              </w:rPr>
              <w:t>−0.057</w:t>
            </w:r>
          </w:p>
        </w:tc>
        <w:tc>
          <w:tcPr>
            <w:tcW w:w="1234" w:type="dxa"/>
          </w:tcPr>
          <w:p w14:paraId="6913FE99" w14:textId="77777777" w:rsidR="00037981" w:rsidRDefault="00000000">
            <w:pPr>
              <w:spacing w:after="40" w:line="240" w:lineRule="auto"/>
            </w:pPr>
            <w:r>
              <w:rPr>
                <w:sz w:val="18"/>
              </w:rPr>
              <w:t>+0.445</w:t>
            </w:r>
          </w:p>
        </w:tc>
        <w:tc>
          <w:tcPr>
            <w:tcW w:w="1234" w:type="dxa"/>
          </w:tcPr>
          <w:p w14:paraId="3F1B13B7" w14:textId="77777777" w:rsidR="00037981" w:rsidRDefault="00000000">
            <w:pPr>
              <w:spacing w:after="40" w:line="240" w:lineRule="auto"/>
            </w:pPr>
            <w:r>
              <w:rPr>
                <w:sz w:val="18"/>
              </w:rPr>
              <w:t>−0.114</w:t>
            </w:r>
          </w:p>
        </w:tc>
      </w:tr>
      <w:tr w:rsidR="00037981" w14:paraId="7155843C" w14:textId="77777777">
        <w:trPr>
          <w:jc w:val="center"/>
        </w:trPr>
        <w:tc>
          <w:tcPr>
            <w:tcW w:w="1234" w:type="dxa"/>
          </w:tcPr>
          <w:p w14:paraId="29A9917D" w14:textId="77777777" w:rsidR="00037981" w:rsidRDefault="00000000">
            <w:pPr>
              <w:spacing w:after="40" w:line="240" w:lineRule="auto"/>
            </w:pPr>
            <w:r>
              <w:rPr>
                <w:i/>
                <w:sz w:val="18"/>
              </w:rPr>
              <w:t>B4galt5</w:t>
            </w:r>
          </w:p>
        </w:tc>
        <w:tc>
          <w:tcPr>
            <w:tcW w:w="1234" w:type="dxa"/>
          </w:tcPr>
          <w:p w14:paraId="693F2FBD" w14:textId="77777777" w:rsidR="00037981" w:rsidRDefault="00000000">
            <w:pPr>
              <w:spacing w:after="40" w:line="240" w:lineRule="auto"/>
            </w:pPr>
            <w:r>
              <w:rPr>
                <w:sz w:val="18"/>
              </w:rPr>
              <w:t>−0.308</w:t>
            </w:r>
          </w:p>
        </w:tc>
        <w:tc>
          <w:tcPr>
            <w:tcW w:w="1234" w:type="dxa"/>
          </w:tcPr>
          <w:p w14:paraId="381762DE" w14:textId="77777777" w:rsidR="00037981" w:rsidRDefault="00000000">
            <w:pPr>
              <w:spacing w:after="40" w:line="240" w:lineRule="auto"/>
            </w:pPr>
            <w:r>
              <w:rPr>
                <w:sz w:val="18"/>
              </w:rPr>
              <w:t>+0.637</w:t>
            </w:r>
          </w:p>
        </w:tc>
        <w:tc>
          <w:tcPr>
            <w:tcW w:w="1234" w:type="dxa"/>
          </w:tcPr>
          <w:p w14:paraId="7438A621" w14:textId="77777777" w:rsidR="00037981" w:rsidRDefault="00000000">
            <w:pPr>
              <w:spacing w:after="40" w:line="240" w:lineRule="auto"/>
            </w:pPr>
            <w:r>
              <w:rPr>
                <w:sz w:val="18"/>
              </w:rPr>
              <w:t>+0.251</w:t>
            </w:r>
          </w:p>
        </w:tc>
        <w:tc>
          <w:tcPr>
            <w:tcW w:w="1234" w:type="dxa"/>
          </w:tcPr>
          <w:p w14:paraId="3C4A24C4" w14:textId="77777777" w:rsidR="00037981" w:rsidRDefault="00000000">
            <w:pPr>
              <w:spacing w:after="40" w:line="240" w:lineRule="auto"/>
            </w:pPr>
            <w:r>
              <w:rPr>
                <w:b/>
                <w:sz w:val="18"/>
              </w:rPr>
              <w:t>+1.070</w:t>
            </w:r>
          </w:p>
        </w:tc>
        <w:tc>
          <w:tcPr>
            <w:tcW w:w="1234" w:type="dxa"/>
          </w:tcPr>
          <w:p w14:paraId="037158E3" w14:textId="77777777" w:rsidR="00037981" w:rsidRDefault="00000000">
            <w:pPr>
              <w:spacing w:after="40" w:line="240" w:lineRule="auto"/>
            </w:pPr>
            <w:r>
              <w:rPr>
                <w:sz w:val="18"/>
              </w:rPr>
              <w:t>−0.155</w:t>
            </w:r>
          </w:p>
        </w:tc>
        <w:tc>
          <w:tcPr>
            <w:tcW w:w="1234" w:type="dxa"/>
          </w:tcPr>
          <w:p w14:paraId="2E6B9C3C" w14:textId="77777777" w:rsidR="00037981" w:rsidRDefault="00000000">
            <w:pPr>
              <w:spacing w:after="40" w:line="240" w:lineRule="auto"/>
            </w:pPr>
            <w:r>
              <w:rPr>
                <w:sz w:val="18"/>
              </w:rPr>
              <w:t>+0.167</w:t>
            </w:r>
          </w:p>
        </w:tc>
      </w:tr>
      <w:tr w:rsidR="00037981" w14:paraId="5E060788" w14:textId="77777777">
        <w:trPr>
          <w:jc w:val="center"/>
        </w:trPr>
        <w:tc>
          <w:tcPr>
            <w:tcW w:w="1234" w:type="dxa"/>
          </w:tcPr>
          <w:p w14:paraId="78BED4D9" w14:textId="77777777" w:rsidR="00037981" w:rsidRDefault="00000000">
            <w:pPr>
              <w:spacing w:after="40" w:line="240" w:lineRule="auto"/>
            </w:pPr>
            <w:r>
              <w:rPr>
                <w:i/>
                <w:sz w:val="18"/>
              </w:rPr>
              <w:t>B4galt6</w:t>
            </w:r>
          </w:p>
        </w:tc>
        <w:tc>
          <w:tcPr>
            <w:tcW w:w="1234" w:type="dxa"/>
          </w:tcPr>
          <w:p w14:paraId="4BF88E21" w14:textId="77777777" w:rsidR="00037981" w:rsidRDefault="00000000">
            <w:pPr>
              <w:spacing w:after="40" w:line="240" w:lineRule="auto"/>
            </w:pPr>
            <w:r>
              <w:rPr>
                <w:sz w:val="18"/>
              </w:rPr>
              <w:t>−0.097</w:t>
            </w:r>
          </w:p>
        </w:tc>
        <w:tc>
          <w:tcPr>
            <w:tcW w:w="1234" w:type="dxa"/>
          </w:tcPr>
          <w:p w14:paraId="1971673A" w14:textId="77777777" w:rsidR="00037981" w:rsidRDefault="00000000">
            <w:pPr>
              <w:spacing w:after="40" w:line="240" w:lineRule="auto"/>
            </w:pPr>
            <w:r>
              <w:rPr>
                <w:sz w:val="18"/>
              </w:rPr>
              <w:t>+0.114</w:t>
            </w:r>
          </w:p>
        </w:tc>
        <w:tc>
          <w:tcPr>
            <w:tcW w:w="1234" w:type="dxa"/>
          </w:tcPr>
          <w:p w14:paraId="2E91CA61" w14:textId="77777777" w:rsidR="00037981" w:rsidRDefault="00000000">
            <w:pPr>
              <w:spacing w:after="40" w:line="240" w:lineRule="auto"/>
            </w:pPr>
            <w:r>
              <w:rPr>
                <w:sz w:val="18"/>
              </w:rPr>
              <w:t>−0.024</w:t>
            </w:r>
          </w:p>
        </w:tc>
        <w:tc>
          <w:tcPr>
            <w:tcW w:w="1234" w:type="dxa"/>
          </w:tcPr>
          <w:p w14:paraId="2A0DA875" w14:textId="77777777" w:rsidR="00037981" w:rsidRDefault="00000000">
            <w:pPr>
              <w:spacing w:after="40" w:line="240" w:lineRule="auto"/>
            </w:pPr>
            <w:r>
              <w:rPr>
                <w:sz w:val="18"/>
              </w:rPr>
              <w:t>+0.080</w:t>
            </w:r>
          </w:p>
        </w:tc>
        <w:tc>
          <w:tcPr>
            <w:tcW w:w="1234" w:type="dxa"/>
          </w:tcPr>
          <w:p w14:paraId="69045356" w14:textId="77777777" w:rsidR="00037981" w:rsidRDefault="00000000">
            <w:pPr>
              <w:spacing w:after="40" w:line="240" w:lineRule="auto"/>
            </w:pPr>
            <w:r>
              <w:rPr>
                <w:sz w:val="18"/>
              </w:rPr>
              <w:t>+0.154</w:t>
            </w:r>
          </w:p>
        </w:tc>
        <w:tc>
          <w:tcPr>
            <w:tcW w:w="1234" w:type="dxa"/>
          </w:tcPr>
          <w:p w14:paraId="65FE0B57" w14:textId="77777777" w:rsidR="00037981" w:rsidRDefault="00000000">
            <w:pPr>
              <w:spacing w:after="40" w:line="240" w:lineRule="auto"/>
            </w:pPr>
            <w:r>
              <w:rPr>
                <w:sz w:val="18"/>
              </w:rPr>
              <w:t>+0.176</w:t>
            </w:r>
          </w:p>
        </w:tc>
      </w:tr>
      <w:tr w:rsidR="00037981" w14:paraId="2A10B40C" w14:textId="77777777">
        <w:trPr>
          <w:jc w:val="center"/>
        </w:trPr>
        <w:tc>
          <w:tcPr>
            <w:tcW w:w="1234" w:type="dxa"/>
          </w:tcPr>
          <w:p w14:paraId="285BE112" w14:textId="77777777" w:rsidR="00037981" w:rsidRDefault="00000000">
            <w:pPr>
              <w:spacing w:after="40" w:line="240" w:lineRule="auto"/>
            </w:pPr>
            <w:r>
              <w:rPr>
                <w:i/>
                <w:sz w:val="18"/>
              </w:rPr>
              <w:t>B4galt7</w:t>
            </w:r>
          </w:p>
        </w:tc>
        <w:tc>
          <w:tcPr>
            <w:tcW w:w="1234" w:type="dxa"/>
          </w:tcPr>
          <w:p w14:paraId="67D64242" w14:textId="77777777" w:rsidR="00037981" w:rsidRDefault="00000000">
            <w:pPr>
              <w:spacing w:after="40" w:line="240" w:lineRule="auto"/>
            </w:pPr>
            <w:r>
              <w:rPr>
                <w:sz w:val="18"/>
              </w:rPr>
              <w:t>+0.039</w:t>
            </w:r>
          </w:p>
        </w:tc>
        <w:tc>
          <w:tcPr>
            <w:tcW w:w="1234" w:type="dxa"/>
          </w:tcPr>
          <w:p w14:paraId="21B8CC33" w14:textId="77777777" w:rsidR="00037981" w:rsidRDefault="00000000">
            <w:pPr>
              <w:spacing w:after="40" w:line="240" w:lineRule="auto"/>
            </w:pPr>
            <w:r>
              <w:rPr>
                <w:sz w:val="18"/>
              </w:rPr>
              <w:t>+0.375</w:t>
            </w:r>
          </w:p>
        </w:tc>
        <w:tc>
          <w:tcPr>
            <w:tcW w:w="1234" w:type="dxa"/>
          </w:tcPr>
          <w:p w14:paraId="497E7B6C" w14:textId="77777777" w:rsidR="00037981" w:rsidRDefault="00000000">
            <w:pPr>
              <w:spacing w:after="40" w:line="240" w:lineRule="auto"/>
            </w:pPr>
            <w:r>
              <w:rPr>
                <w:sz w:val="18"/>
              </w:rPr>
              <w:t>+0.069</w:t>
            </w:r>
          </w:p>
        </w:tc>
        <w:tc>
          <w:tcPr>
            <w:tcW w:w="1234" w:type="dxa"/>
          </w:tcPr>
          <w:p w14:paraId="1451AF3C" w14:textId="77777777" w:rsidR="00037981" w:rsidRDefault="00000000">
            <w:pPr>
              <w:spacing w:after="40" w:line="240" w:lineRule="auto"/>
            </w:pPr>
            <w:r>
              <w:rPr>
                <w:sz w:val="18"/>
              </w:rPr>
              <w:t>+0.095</w:t>
            </w:r>
          </w:p>
        </w:tc>
        <w:tc>
          <w:tcPr>
            <w:tcW w:w="1234" w:type="dxa"/>
          </w:tcPr>
          <w:p w14:paraId="1CBC51D6" w14:textId="77777777" w:rsidR="00037981" w:rsidRDefault="00000000">
            <w:pPr>
              <w:spacing w:after="40" w:line="240" w:lineRule="auto"/>
            </w:pPr>
            <w:r>
              <w:rPr>
                <w:sz w:val="18"/>
              </w:rPr>
              <w:t>−0.061</w:t>
            </w:r>
          </w:p>
        </w:tc>
        <w:tc>
          <w:tcPr>
            <w:tcW w:w="1234" w:type="dxa"/>
          </w:tcPr>
          <w:p w14:paraId="7F9C4BB1" w14:textId="77777777" w:rsidR="00037981" w:rsidRDefault="00000000">
            <w:pPr>
              <w:spacing w:after="40" w:line="240" w:lineRule="auto"/>
            </w:pPr>
            <w:r>
              <w:rPr>
                <w:sz w:val="18"/>
              </w:rPr>
              <w:t>+0.082</w:t>
            </w:r>
          </w:p>
        </w:tc>
      </w:tr>
      <w:tr w:rsidR="00037981" w14:paraId="3BA70582" w14:textId="77777777">
        <w:trPr>
          <w:jc w:val="center"/>
        </w:trPr>
        <w:tc>
          <w:tcPr>
            <w:tcW w:w="1234" w:type="dxa"/>
          </w:tcPr>
          <w:p w14:paraId="5DD7F5D1" w14:textId="77777777" w:rsidR="00037981" w:rsidRDefault="00000000">
            <w:pPr>
              <w:spacing w:after="40" w:line="240" w:lineRule="auto"/>
            </w:pPr>
            <w:r>
              <w:rPr>
                <w:i/>
                <w:sz w:val="18"/>
              </w:rPr>
              <w:t>Ugcg</w:t>
            </w:r>
          </w:p>
        </w:tc>
        <w:tc>
          <w:tcPr>
            <w:tcW w:w="1234" w:type="dxa"/>
          </w:tcPr>
          <w:p w14:paraId="40FE3B60" w14:textId="77777777" w:rsidR="00037981" w:rsidRDefault="00000000">
            <w:pPr>
              <w:spacing w:after="40" w:line="240" w:lineRule="auto"/>
            </w:pPr>
            <w:r>
              <w:rPr>
                <w:sz w:val="18"/>
              </w:rPr>
              <w:t>+0.344</w:t>
            </w:r>
          </w:p>
        </w:tc>
        <w:tc>
          <w:tcPr>
            <w:tcW w:w="1234" w:type="dxa"/>
          </w:tcPr>
          <w:p w14:paraId="7438B3A7" w14:textId="77777777" w:rsidR="00037981" w:rsidRDefault="00000000">
            <w:pPr>
              <w:spacing w:after="40" w:line="240" w:lineRule="auto"/>
            </w:pPr>
            <w:r>
              <w:rPr>
                <w:sz w:val="18"/>
              </w:rPr>
              <w:t>+0.122</w:t>
            </w:r>
          </w:p>
        </w:tc>
        <w:tc>
          <w:tcPr>
            <w:tcW w:w="1234" w:type="dxa"/>
          </w:tcPr>
          <w:p w14:paraId="3E510F72" w14:textId="77777777" w:rsidR="00037981" w:rsidRDefault="00000000">
            <w:pPr>
              <w:spacing w:after="40" w:line="240" w:lineRule="auto"/>
            </w:pPr>
            <w:r>
              <w:rPr>
                <w:sz w:val="18"/>
              </w:rPr>
              <w:t>−0.045</w:t>
            </w:r>
          </w:p>
        </w:tc>
        <w:tc>
          <w:tcPr>
            <w:tcW w:w="1234" w:type="dxa"/>
          </w:tcPr>
          <w:p w14:paraId="46CA52F8" w14:textId="77777777" w:rsidR="00037981" w:rsidRDefault="00000000">
            <w:pPr>
              <w:spacing w:after="40" w:line="240" w:lineRule="auto"/>
            </w:pPr>
            <w:r>
              <w:rPr>
                <w:sz w:val="18"/>
              </w:rPr>
              <w:t>+0.253</w:t>
            </w:r>
          </w:p>
        </w:tc>
        <w:tc>
          <w:tcPr>
            <w:tcW w:w="1234" w:type="dxa"/>
          </w:tcPr>
          <w:p w14:paraId="5ADDC3AB" w14:textId="77777777" w:rsidR="00037981" w:rsidRDefault="00000000">
            <w:pPr>
              <w:spacing w:after="40" w:line="240" w:lineRule="auto"/>
            </w:pPr>
            <w:r>
              <w:rPr>
                <w:sz w:val="18"/>
              </w:rPr>
              <w:t>+0.137</w:t>
            </w:r>
          </w:p>
        </w:tc>
        <w:tc>
          <w:tcPr>
            <w:tcW w:w="1234" w:type="dxa"/>
          </w:tcPr>
          <w:p w14:paraId="08A84D38" w14:textId="77777777" w:rsidR="00037981" w:rsidRDefault="00000000">
            <w:pPr>
              <w:spacing w:after="40" w:line="240" w:lineRule="auto"/>
            </w:pPr>
            <w:r>
              <w:rPr>
                <w:sz w:val="18"/>
              </w:rPr>
              <w:t>+0.056</w:t>
            </w:r>
          </w:p>
        </w:tc>
      </w:tr>
    </w:tbl>
    <w:p w14:paraId="118B0D7E" w14:textId="77777777" w:rsidR="00037981" w:rsidRDefault="00037981"/>
    <w:p w14:paraId="1E915645" w14:textId="77777777" w:rsidR="00037981" w:rsidRDefault="00000000">
      <w:pPr>
        <w:jc w:val="both"/>
      </w:pPr>
      <w:r>
        <w:rPr>
          <w:i/>
        </w:rPr>
        <w:t>B4galt6</w:t>
      </w:r>
      <w:r>
        <w:t xml:space="preserve"> is below 0.18 log2 in absolute value in </w:t>
      </w:r>
      <w:r>
        <w:rPr>
          <w:b/>
        </w:rPr>
        <w:t>all six tissues</w:t>
      </w:r>
      <w:r>
        <w:t xml:space="preserve"> — it is not a colonisation-responsive gene anywhere in this series, so its cardiac flatness is not a tissue-specific failure to respond. Every interval in this panel is an n = 3 vs 3 interval; treat the table as effect sizes, not as six tests.</w:t>
      </w:r>
    </w:p>
    <w:p w14:paraId="48A75115" w14:textId="77777777" w:rsidR="00037981" w:rsidRDefault="00000000">
      <w:pPr>
        <w:pStyle w:val="31"/>
        <w:spacing w:before="240" w:after="120"/>
      </w:pPr>
      <w:r>
        <w:rPr>
          <w:rFonts w:ascii="Times New Roman" w:hAnsi="Times New Roman"/>
          <w:color w:val="000000"/>
        </w:rPr>
        <w:t>WHAT THE DATA CAN AND CANNOT SUPPORT</w:t>
      </w:r>
    </w:p>
    <w:p w14:paraId="55DE7F6C" w14:textId="77777777" w:rsidR="00037981" w:rsidRDefault="00000000">
      <w:pPr>
        <w:jc w:val="both"/>
      </w:pPr>
      <w:r>
        <w:rPr>
          <w:b/>
        </w:rPr>
        <w:t>Can support:</w:t>
      </w:r>
    </w:p>
    <w:p w14:paraId="53CB488C" w14:textId="77777777" w:rsidR="00037981" w:rsidRDefault="00000000">
      <w:pPr>
        <w:pStyle w:val="a0"/>
      </w:pPr>
      <w:r>
        <w:rPr>
          <w:i/>
        </w:rPr>
        <w:t>B4galt6</w:t>
      </w:r>
      <w:r>
        <w:t xml:space="preserve"> cardiac colonisation effect is bounded: every cardiac point estimate is within ±0.12 log2, and the best-powered contrast (15 vs 15 arrays) bounds it at −0.17 to +0.12. A large cardiac </w:t>
      </w:r>
      <w:r>
        <w:rPr>
          <w:i/>
        </w:rPr>
        <w:t>B4galt6</w:t>
      </w:r>
      <w:r>
        <w:t xml:space="preserve"> colonisation response is ruled out.</w:t>
      </w:r>
    </w:p>
    <w:p w14:paraId="38AAF56E" w14:textId="77777777" w:rsidR="00037981" w:rsidRDefault="00000000">
      <w:pPr>
        <w:pStyle w:val="a0"/>
      </w:pPr>
      <w:r>
        <w:lastRenderedPageBreak/>
        <w:t xml:space="preserve">The </w:t>
      </w:r>
      <w:r>
        <w:rPr>
          <w:i/>
        </w:rPr>
        <w:t>B4galt5</w:t>
      </w:r>
      <w:r>
        <w:t xml:space="preserve"> cardiac claim is dataset-specific, contrast-specific, and formally incompatible across datasets.</w:t>
      </w:r>
    </w:p>
    <w:p w14:paraId="11965D3F" w14:textId="77777777" w:rsidR="00037981" w:rsidRDefault="00000000">
      <w:pPr>
        <w:pStyle w:val="a0"/>
      </w:pPr>
      <w:r>
        <w:rPr>
          <w:i/>
        </w:rPr>
        <w:t>Ppara</w:t>
      </w:r>
      <w:r>
        <w:t xml:space="preserve"> genotype does not modify the colonisation contrast for either gene.</w:t>
      </w:r>
    </w:p>
    <w:p w14:paraId="5083FD06" w14:textId="77777777" w:rsidR="00037981" w:rsidRDefault="00000000">
      <w:pPr>
        <w:jc w:val="both"/>
      </w:pPr>
      <w:r>
        <w:rPr>
          <w:b/>
        </w:rPr>
        <w:t>Cannot support:</w:t>
      </w:r>
    </w:p>
    <w:p w14:paraId="728E9F6D" w14:textId="77777777" w:rsidR="00037981" w:rsidRDefault="00000000">
      <w:pPr>
        <w:pStyle w:val="a0"/>
      </w:pPr>
      <w:r>
        <w:t xml:space="preserve">Any claim that </w:t>
      </w:r>
      <w:r>
        <w:rPr>
          <w:i/>
        </w:rPr>
        <w:t>B4galt6</w:t>
      </w:r>
      <w:r>
        <w:t xml:space="preserve"> responds to colonisation in heart, in either direction.</w:t>
      </w:r>
    </w:p>
    <w:p w14:paraId="6487070A" w14:textId="77777777" w:rsidR="00037981" w:rsidRDefault="00000000">
      <w:pPr>
        <w:pStyle w:val="a0"/>
      </w:pPr>
      <w:r>
        <w:t>Any claim of cardiac specificity for either gene.</w:t>
      </w:r>
    </w:p>
    <w:p w14:paraId="2B2600F2" w14:textId="77777777" w:rsidR="00037981" w:rsidRDefault="00000000">
      <w:pPr>
        <w:pStyle w:val="a0"/>
      </w:pPr>
      <w:r>
        <w:t xml:space="preserve">A small (&lt;0.15 log2) true </w:t>
      </w:r>
      <w:r>
        <w:rPr>
          <w:i/>
        </w:rPr>
        <w:t>B4galt6</w:t>
      </w:r>
      <w:r>
        <w:t xml:space="preserve"> cardiac effect cannot be excluded from the n = 3 data alone; it would need n ≈ 10 per group. The array data argue against even that, but from a different colonisation model and platform.</w:t>
      </w:r>
    </w:p>
    <w:p w14:paraId="6BFF167C" w14:textId="77777777" w:rsidR="00037981" w:rsidRDefault="00000000">
      <w:pPr>
        <w:pStyle w:val="a0"/>
      </w:pPr>
      <w:r>
        <w:t>Nothing here speaks to protein, enzyme activity, or lactosylceramide flux. These are transcript abundances only.</w:t>
      </w:r>
    </w:p>
    <w:p w14:paraId="340E7355" w14:textId="77777777" w:rsidR="00037981" w:rsidRDefault="00000000">
      <w:pPr>
        <w:pStyle w:val="31"/>
        <w:spacing w:before="240" w:after="120"/>
      </w:pPr>
      <w:r>
        <w:rPr>
          <w:rFonts w:ascii="Times New Roman" w:hAnsi="Times New Roman"/>
          <w:color w:val="000000"/>
        </w:rPr>
        <w:t>RECOMMENDATION</w:t>
      </w:r>
    </w:p>
    <w:p w14:paraId="296B4717" w14:textId="77777777" w:rsidR="00037981" w:rsidRDefault="00000000">
      <w:pPr>
        <w:pStyle w:val="a"/>
      </w:pPr>
      <w:r>
        <w:rPr>
          <w:b/>
        </w:rPr>
        <w:t>Do not run a gnotobiotic experiment built on *B4galt5*.</w:t>
      </w:r>
      <w:r>
        <w:t xml:space="preserve"> It fails human replication (GSE116250 p = 0.73, verified previously) </w:t>
      </w:r>
      <w:r>
        <w:rPr>
          <w:i/>
        </w:rPr>
        <w:t>and</w:t>
      </w:r>
      <w:r>
        <w:t xml:space="preserve"> its mouse cardiac colonisation signal does not reproduce across contrast or dataset. Both legs are gone.</w:t>
      </w:r>
    </w:p>
    <w:p w14:paraId="13931493" w14:textId="77777777" w:rsidR="00037981" w:rsidRDefault="00000000">
      <w:pPr>
        <w:pStyle w:val="a"/>
      </w:pPr>
      <w:r>
        <w:rPr>
          <w:b/>
        </w:rPr>
        <w:t>If a gnotobiotic cardiac experiment goes ahead, it should target *B4galt6</w:t>
      </w:r>
      <w:r>
        <w:t>*, on the strength of human replication (GSE116250 −0.622 / −0.797, p = 2.7e-4), not on any mouse evidence presented here — there is none. Design implications:</w:t>
      </w:r>
    </w:p>
    <w:p w14:paraId="0C890F5E" w14:textId="77777777" w:rsidR="00037981" w:rsidRDefault="00000000">
      <w:pPr>
        <w:pStyle w:val="a0"/>
        <w:ind w:left="720"/>
      </w:pPr>
      <w:r>
        <w:t xml:space="preserve">Power for a small effect: </w:t>
      </w:r>
      <w:r>
        <w:rPr>
          <w:b/>
        </w:rPr>
        <w:t>n ≥ 10 per group</w:t>
      </w:r>
      <w:r>
        <w:t xml:space="preserve"> for 80% power at the observed +0.114 log2 effect and the reference within-group SD of 0.0857. </w:t>
      </w:r>
      <w:r>
        <w:rPr>
          <w:i/>
        </w:rPr>
        <w:t>B4galt6</w:t>
      </w:r>
      <w:r>
        <w:t>'s own 2-df SD in this experiment (0.0563) would imply n = 5, but that estimate is not trustworthy enough to size an experiment on — see the limitation section. n = 3 designs cannot answer this under either SD.</w:t>
      </w:r>
    </w:p>
    <w:p w14:paraId="011F32F6" w14:textId="77777777" w:rsidR="00037981" w:rsidRDefault="00000000">
      <w:pPr>
        <w:pStyle w:val="a0"/>
        <w:ind w:left="720"/>
      </w:pPr>
      <w:r>
        <w:t>Pre-register the null. Two independent colonisation transcriptomes already say flat; a third confirming flat is the modal outcome and must be publishable as written.</w:t>
      </w:r>
    </w:p>
    <w:p w14:paraId="24F2C87B" w14:textId="77777777" w:rsidR="00037981" w:rsidRDefault="00000000">
      <w:pPr>
        <w:pStyle w:val="a0"/>
        <w:ind w:left="720"/>
      </w:pPr>
      <w:r>
        <w:t>Measure downstream of transcript — lactosylceramide and LacCer/Cer ratio in cardiac tissue, and B4GALT6 protein — because the human signal may be post-transcriptional or reflect substrate flux the transcript does not track.</w:t>
      </w:r>
    </w:p>
    <w:p w14:paraId="1101EA9C" w14:textId="77777777" w:rsidR="00037981" w:rsidRDefault="00000000">
      <w:pPr>
        <w:pStyle w:val="a0"/>
        <w:ind w:left="720"/>
      </w:pPr>
      <w:r>
        <w:t xml:space="preserve">Include the FMT arm, not just SPF vs GF. It is the arm that broke </w:t>
      </w:r>
      <w:r>
        <w:rPr>
          <w:i/>
        </w:rPr>
        <w:t>B4galt5</w:t>
      </w:r>
      <w:r>
        <w:t>.</w:t>
      </w:r>
    </w:p>
    <w:p w14:paraId="11920C13" w14:textId="77777777" w:rsidR="00037981" w:rsidRDefault="00000000">
      <w:pPr>
        <w:pStyle w:val="a"/>
      </w:pPr>
      <w:r>
        <w:rPr>
          <w:b/>
        </w:rPr>
        <w:t>Reconsider whether the mouse arm should be in the paper at all.</w:t>
      </w:r>
      <w:r>
        <w:t xml:space="preserve"> The human </w:t>
      </w:r>
      <w:r>
        <w:rPr>
          <w:i/>
        </w:rPr>
        <w:t>Bacteroides</w:t>
      </w:r>
      <w:r>
        <w:t xml:space="preserve">–LacCer association is the verified result (beta = +0.4201, P = 5.67e-4, </w:t>
      </w:r>
      <w:r>
        <w:lastRenderedPageBreak/>
        <w:t>permutation P = 0.00050). The mouse colonisation panel, re-analysed against public data, does not corroborate it at the gene level for the gene the manuscript uses, and does not corroborate it for the gene that replicates in humans either. Presenting a mouse arm that two public colonisation datasets contradict is a reviewer liability larger than the novelty gap that caused the desk rejection.</w:t>
      </w:r>
    </w:p>
    <w:p w14:paraId="2AE5E2DF" w14:textId="77777777" w:rsidR="00037981" w:rsidRDefault="00000000">
      <w:pPr>
        <w:jc w:val="both"/>
      </w:pPr>
      <w:r>
        <w:t xml:space="preserve">This is the third pre-specified analysis in this project to return a null. That is information about the biology, not a failure of the analysis: the human </w:t>
      </w:r>
      <w:r>
        <w:rPr>
          <w:i/>
        </w:rPr>
        <w:t>Bacteroides</w:t>
      </w:r>
      <w:r>
        <w:t>–lactosylceramide association appears not to be mediated by a detectable cardiac transcriptional response of the galactosyltransferase genes.</w:t>
      </w:r>
    </w:p>
    <w:p w14:paraId="503D5C6A" w14:textId="77777777" w:rsidR="00037981" w:rsidRDefault="00000000">
      <w:pPr>
        <w:pStyle w:val="31"/>
        <w:spacing w:before="240" w:after="120"/>
      </w:pPr>
      <w:r>
        <w:rPr>
          <w:rFonts w:ascii="Times New Roman" w:hAnsi="Times New Roman"/>
          <w:color w:val="000000"/>
        </w:rPr>
        <w:t>METHODS</w:t>
      </w:r>
    </w:p>
    <w:p w14:paraId="5D0F3712" w14:textId="77777777" w:rsidR="00037981" w:rsidRDefault="00000000">
      <w:pPr>
        <w:pStyle w:val="a0"/>
      </w:pPr>
      <w:r>
        <w:rPr>
          <w:b/>
        </w:rPr>
        <w:t>GSE322803</w:t>
      </w:r>
      <w:r>
        <w:t xml:space="preserve"> (GPL24247, Illumina NovaSeq 6000): author-supplied featureCounts matrix </w:t>
      </w:r>
      <w:r>
        <w:rPr>
          <w:rFonts w:ascii="Consolas" w:hAnsi="Consolas"/>
          <w:sz w:val="18"/>
        </w:rPr>
        <w:t>GSE322803_all_mRNA_counts.txt.gz</w:t>
      </w:r>
      <w:r>
        <w:t xml:space="preserve"> (Ensembl GRCm39.113 GTF), 78,298 genes × 54 samples, 6 tissues × {germ-free, FMT, SPF} × 3 animals. Size factors by median-of-ratios computed within tissue on genes with non-zero counts in all samples of that tissue; log2(CPM + 1). Effect = difference of group means; Welch two-sample t 95% CI and p.</w:t>
      </w:r>
    </w:p>
    <w:p w14:paraId="2BC0868E" w14:textId="77777777" w:rsidR="00037981" w:rsidRDefault="00000000">
      <w:pPr>
        <w:pStyle w:val="a0"/>
      </w:pPr>
      <w:r>
        <w:rPr>
          <w:b/>
        </w:rPr>
        <w:t>GSE14929</w:t>
      </w:r>
      <w:r>
        <w:t xml:space="preserve"> (GPL1261, Affymetrix Mouse430_2): GEO series matrix, MAS5 signal (global scaling, trimmed mean 500, as deposited), log2 with a floor of 1, then per-array median centring. WT colonisation effect from OLS </w:t>
      </w:r>
      <w:r>
        <w:rPr>
          <w:rFonts w:ascii="Consolas" w:hAnsi="Consolas"/>
          <w:sz w:val="18"/>
        </w:rPr>
        <w:t>log2 signal ~ colonisation + physiological state</w:t>
      </w:r>
      <w:r>
        <w:t xml:space="preserve">. </w:t>
      </w:r>
      <w:r>
        <w:rPr>
          <w:i/>
        </w:rPr>
        <w:t>Ppara</w:t>
      </w:r>
      <w:r>
        <w:t>-/- stratum by Welch t. Genotype heterogeneity by Wald test on the two stratum estimates.</w:t>
      </w:r>
    </w:p>
    <w:p w14:paraId="13F6C756" w14:textId="77777777" w:rsidR="00037981" w:rsidRDefault="00000000">
      <w:pPr>
        <w:pStyle w:val="a0"/>
      </w:pPr>
      <w:r>
        <w:rPr>
          <w:b/>
        </w:rPr>
        <w:t>Gene identifiers</w:t>
      </w:r>
      <w:r>
        <w:t xml:space="preserve"> resolved via Ensembl REST </w:t>
      </w:r>
      <w:r>
        <w:rPr>
          <w:rFonts w:ascii="Consolas" w:hAnsi="Consolas"/>
          <w:sz w:val="18"/>
        </w:rPr>
        <w:t>lookup/symbol/mus_musculus</w:t>
      </w:r>
      <w:r>
        <w:t>: B4galt1 ENSMUSG00000028413, B4galt2 ENSMUSG00000028541, B4galt3 ENSMUSG00000052423, B4galt4 ENSMUSG00000022793, B4galt5 ENSMUSG00000017929, B4galt6 ENSMUSG00000056124, B4galt7 ENSMUSG00000021504, Ugcg ENSMUSG00000028381. Array probes from the GPL1261 GEO annotation table.</w:t>
      </w:r>
    </w:p>
    <w:p w14:paraId="7D49E83C" w14:textId="77777777" w:rsidR="00037981" w:rsidRDefault="00000000">
      <w:pPr>
        <w:pStyle w:val="a0"/>
      </w:pPr>
      <w:r>
        <w:rPr>
          <w:b/>
        </w:rPr>
        <w:t>No multiplicity adjustment</w:t>
      </w:r>
      <w:r>
        <w:t xml:space="preserve"> across the 8 context genes; they are descriptive. The two decision genes were pre-specified.</w:t>
      </w:r>
    </w:p>
    <w:p w14:paraId="175F3644" w14:textId="77777777" w:rsidR="00037981" w:rsidRDefault="00000000">
      <w:pPr>
        <w:pStyle w:val="a0"/>
      </w:pPr>
      <w:r>
        <w:t>Sampling unit is the animal throughout. Seed 20260924.</w:t>
      </w:r>
    </w:p>
    <w:p w14:paraId="3AB19AE8" w14:textId="77777777" w:rsidR="00037981" w:rsidRDefault="00000000">
      <w:pPr>
        <w:pStyle w:val="a0"/>
      </w:pPr>
      <w:r>
        <w:t xml:space="preserve">Human GSE116250 numbers are quoted from prior verified work in this project and were </w:t>
      </w:r>
      <w:r>
        <w:rPr>
          <w:b/>
        </w:rPr>
        <w:t>not</w:t>
      </w:r>
      <w:r>
        <w:t xml:space="preserve"> re-derived here.</w:t>
      </w:r>
    </w:p>
    <w:p w14:paraId="4A9085B4" w14:textId="77777777" w:rsidR="00037981" w:rsidRDefault="00000000">
      <w:pPr>
        <w:pStyle w:val="31"/>
        <w:spacing w:before="240" w:after="120"/>
      </w:pPr>
      <w:r>
        <w:rPr>
          <w:rFonts w:ascii="Times New Roman" w:hAnsi="Times New Roman"/>
          <w:color w:val="000000"/>
        </w:rPr>
        <w:lastRenderedPageBreak/>
        <w:t>FILES</w:t>
      </w:r>
    </w:p>
    <w:p w14:paraId="256638E9" w14:textId="77777777" w:rsidR="00037981" w:rsidRDefault="00000000">
      <w:pPr>
        <w:pStyle w:val="a0"/>
      </w:pPr>
      <w:r>
        <w:rPr>
          <w:rFonts w:ascii="Consolas" w:hAnsi="Consolas"/>
          <w:sz w:val="18"/>
        </w:rPr>
        <w:t>b4galt_colonisation_effects.csv</w:t>
      </w:r>
      <w:r>
        <w:t xml:space="preserve"> — 153 rows: gene × tissue × dataset × contrast, with n per group, group means, log2FC, SE, 95% CI, nominal p, feature/probe ID, platform, and the model fitted.</w:t>
      </w:r>
    </w:p>
    <w:p w14:paraId="5DA21969" w14:textId="77777777" w:rsidR="00037981" w:rsidRDefault="00000000">
      <w:pPr>
        <w:pStyle w:val="a0"/>
      </w:pPr>
      <w:r>
        <w:rPr>
          <w:rFonts w:ascii="Consolas" w:hAnsi="Consolas"/>
          <w:sz w:val="18"/>
        </w:rPr>
        <w:t>fig_b4galt6_vs_b4galt5_heart.png</w:t>
      </w:r>
      <w:r>
        <w:t xml:space="preserve"> — cardiac comparison figure.</w:t>
      </w:r>
    </w:p>
    <w:p w14:paraId="2EB5B806" w14:textId="77777777" w:rsidR="00037981" w:rsidRDefault="00000000">
      <w:pPr>
        <w:pStyle w:val="a0"/>
      </w:pPr>
      <w:r>
        <w:rPr>
          <w:rFonts w:ascii="Consolas" w:hAnsi="Consolas"/>
          <w:sz w:val="18"/>
        </w:rPr>
        <w:t>secondary_tissue_panel_log2FC.csv</w:t>
      </w:r>
      <w:r>
        <w:t xml:space="preserve"> — six-tissue SPF-vs-GF effect matrix.</w:t>
      </w:r>
    </w:p>
    <w:p w14:paraId="0C6180B8" w14:textId="77777777" w:rsidR="00037981" w:rsidRDefault="00000000">
      <w:pPr>
        <w:pStyle w:val="a0"/>
      </w:pPr>
      <w:r>
        <w:rPr>
          <w:rFonts w:ascii="Consolas" w:hAnsi="Consolas"/>
          <w:sz w:val="18"/>
        </w:rPr>
        <w:t>heart_power_n3.csv</w:t>
      </w:r>
      <w:r>
        <w:t xml:space="preserve"> — observed effect and Cohen's d for all eight genes in heart, with power at n = 3 and required n per group for 80% power computed under </w:t>
      </w:r>
      <w:r>
        <w:rPr>
          <w:b/>
        </w:rPr>
        <w:t>both</w:t>
      </w:r>
      <w:r>
        <w:t xml:space="preserve"> SD bases: each gene's own observed 2-df SD, and the reference SD (0.0857) from 4,661 heart genes in the same abundance band.</w:t>
      </w:r>
    </w:p>
    <w:p w14:paraId="1393D1B6" w14:textId="77777777" w:rsidR="00037981" w:rsidRDefault="00000000">
      <w:pPr>
        <w:pStyle w:val="a0"/>
      </w:pPr>
      <w:r>
        <w:rPr>
          <w:rFonts w:ascii="Consolas" w:hAnsi="Consolas"/>
          <w:sz w:val="18"/>
        </w:rPr>
        <w:t>PRESPEC_b4galt6_vs_b4galt5.md</w:t>
      </w:r>
      <w:r>
        <w:t xml:space="preserve"> — pre-specification, written before analysis.</w:t>
      </w:r>
    </w:p>
    <w:p w14:paraId="28E0F5CE" w14:textId="77777777" w:rsidR="00037981" w:rsidRDefault="00037981">
      <w:pPr>
        <w:pBdr>
          <w:bottom w:val="single" w:sz="6" w:space="0" w:color="999999"/>
        </w:pBdr>
      </w:pPr>
    </w:p>
    <w:p w14:paraId="5942ACA3" w14:textId="77777777" w:rsidR="00037981" w:rsidRDefault="00000000">
      <w:pPr>
        <w:pStyle w:val="21"/>
        <w:spacing w:before="240" w:after="120"/>
      </w:pPr>
      <w:r>
        <w:rPr>
          <w:rFonts w:ascii="Times New Roman" w:hAnsi="Times New Roman"/>
          <w:color w:val="000000"/>
        </w:rPr>
        <w:t>Supplementary Note 12. Novelty assessment and literature search</w:t>
      </w:r>
    </w:p>
    <w:p w14:paraId="6DE5CA05" w14:textId="77777777" w:rsidR="00037981" w:rsidRDefault="00000000">
      <w:pPr>
        <w:jc w:val="both"/>
      </w:pPr>
      <w:r>
        <w:t>Systematic search of Europe PMC, six queries on the exposure-endpoint pair plus three targeted queries on gene-level designs (</w:t>
      </w:r>
      <w:r>
        <w:rPr>
          <w:rFonts w:ascii="Consolas" w:hAnsi="Consolas"/>
          <w:sz w:val="18"/>
        </w:rPr>
        <w:t>novelty_search_raw.csv</w:t>
      </w:r>
      <w:r>
        <w:t xml:space="preserve">, 461 unique records after de-duplication; scored on four criteria: human, cohort design, circulating sphingolipid endpoint, microbiome exposure). Run because novelty was the stated ground for the </w:t>
      </w:r>
      <w:r>
        <w:rPr>
          <w:i/>
        </w:rPr>
        <w:t>Microbiological Research</w:t>
      </w:r>
      <w:r>
        <w:t xml:space="preserve"> desk rejection, so asserting it without a search would repeat the error.</w:t>
      </w:r>
    </w:p>
    <w:p w14:paraId="238415BC" w14:textId="77777777" w:rsidR="00037981" w:rsidRDefault="00000000">
      <w:pPr>
        <w:pStyle w:val="31"/>
        <w:spacing w:before="240" w:after="120"/>
      </w:pPr>
      <w:r>
        <w:rPr>
          <w:rFonts w:ascii="Times New Roman" w:hAnsi="Times New Roman"/>
          <w:color w:val="000000"/>
        </w:rPr>
        <w:t>Finding 1 — the positive claim has been published by others, with mechanism</w:t>
      </w:r>
    </w:p>
    <w:p w14:paraId="1D4280C6" w14:textId="77777777" w:rsidR="00037981" w:rsidRDefault="00000000">
      <w:pPr>
        <w:jc w:val="both"/>
      </w:pPr>
      <w:r w:rsidRPr="00BF3F7A">
        <w:rPr>
          <w:b/>
          <w:lang w:val="it-IT"/>
        </w:rPr>
        <w:t>Sun Z, He C, Ma X, et al. *iMeta* 2026;5:e70166, PMID 42577959, doi 10.1002/imt2.70166.</w:t>
      </w:r>
      <w:r w:rsidRPr="00BF3F7A">
        <w:rPr>
          <w:lang w:val="it-IT"/>
        </w:rPr>
        <w:t xml:space="preserve"> </w:t>
      </w:r>
      <w:r>
        <w:t xml:space="preserve">784 pregnant women, first-trimester gut </w:t>
      </w:r>
      <w:r>
        <w:rPr>
          <w:b/>
        </w:rPr>
        <w:t>metagenomics</w:t>
      </w:r>
      <w:r>
        <w:t xml:space="preserve"> plus plasma </w:t>
      </w:r>
      <w:r>
        <w:rPr>
          <w:b/>
        </w:rPr>
        <w:t>lipidomics</w:t>
      </w:r>
      <w:r>
        <w:t xml:space="preserve">, 222 incident gestational diabetes. Reported widespread glycosphingolipid alterations; a dihexosylceramide feature </w:t>
      </w:r>
      <w:r>
        <w:rPr>
          <w:b/>
        </w:rPr>
        <w:t>DHC 24:1, described as consistent with lactosylceramide-related metabolites</w:t>
      </w:r>
      <w:r>
        <w:t xml:space="preserve">, emerged as a candidate mediator; and the mechanism was carried through </w:t>
      </w:r>
      <w:r>
        <w:rPr>
          <w:i/>
        </w:rPr>
        <w:t>in vitro</w:t>
      </w:r>
      <w:r>
        <w:t xml:space="preserve"> and </w:t>
      </w:r>
      <w:r>
        <w:rPr>
          <w:i/>
        </w:rPr>
        <w:t>in vivo</w:t>
      </w:r>
      <w:r>
        <w:t xml:space="preserve"> -- </w:t>
      </w:r>
      <w:r>
        <w:rPr>
          <w:i/>
        </w:rPr>
        <w:t>Ruminococcus bicirculans</w:t>
      </w:r>
      <w:r>
        <w:t xml:space="preserve"> promoted lactosylceramide 24:1 production, colonisation and metabolite administration improved insulin tolerance, and LacCer 24:1 modulated insulin-stimulated AKT signalling in hepatocytes.</w:t>
      </w:r>
    </w:p>
    <w:p w14:paraId="1B52FD9B" w14:textId="77777777" w:rsidR="00037981" w:rsidRDefault="00000000">
      <w:pPr>
        <w:jc w:val="both"/>
      </w:pPr>
      <w:r>
        <w:t>This is the positive, mechanism-supported version of the microbiome -&gt; plasma lactosylceramide axis. It differs from this project in taxon (</w:t>
      </w:r>
      <w:r>
        <w:rPr>
          <w:i/>
        </w:rPr>
        <w:t>Ruminococcus</w:t>
      </w:r>
      <w:r>
        <w:t xml:space="preserve">, not </w:t>
      </w:r>
      <w:r>
        <w:rPr>
          <w:i/>
        </w:rPr>
        <w:t>Bacteroides</w:t>
      </w:r>
      <w:r>
        <w:t xml:space="preserve">), chain length (24:1, not 16:0) and disease (GDM, not heart failure), so it is not a scoop of the specific finding. But the </w:t>
      </w:r>
      <w:r>
        <w:rPr>
          <w:b/>
        </w:rPr>
        <w:t>strategic consequence is decisive</w:t>
      </w:r>
      <w:r>
        <w:t xml:space="preserve">: the "option 2" mechanistic paper was already closed by the </w:t>
      </w:r>
      <w:r>
        <w:lastRenderedPageBreak/>
        <w:t>SPT null, and is now also closed by priority. There is no route back to a first-to-the-mechanism paper.</w:t>
      </w:r>
    </w:p>
    <w:p w14:paraId="59D7D655" w14:textId="77777777" w:rsidR="00037981" w:rsidRDefault="00000000">
      <w:pPr>
        <w:pStyle w:val="31"/>
        <w:spacing w:before="240" w:after="120"/>
      </w:pPr>
      <w:r>
        <w:rPr>
          <w:rFonts w:ascii="Times New Roman" w:hAnsi="Times New Roman"/>
          <w:color w:val="000000"/>
        </w:rPr>
        <w:t>Finding 2 — the field is active and internally discordant, which favours a rigorous null</w:t>
      </w:r>
    </w:p>
    <w:tbl>
      <w:tblPr>
        <w:tblStyle w:val="af9"/>
        <w:tblW w:w="0" w:type="auto"/>
        <w:jc w:val="center"/>
        <w:tblLook w:val="04A0" w:firstRow="1" w:lastRow="0" w:firstColumn="1" w:lastColumn="0" w:noHBand="0" w:noVBand="1"/>
      </w:tblPr>
      <w:tblGrid>
        <w:gridCol w:w="2880"/>
        <w:gridCol w:w="2880"/>
        <w:gridCol w:w="2880"/>
      </w:tblGrid>
      <w:tr w:rsidR="00037981" w14:paraId="3ED07B95" w14:textId="77777777">
        <w:trPr>
          <w:jc w:val="center"/>
        </w:trPr>
        <w:tc>
          <w:tcPr>
            <w:tcW w:w="2880" w:type="dxa"/>
          </w:tcPr>
          <w:p w14:paraId="48466F78" w14:textId="77777777" w:rsidR="00037981" w:rsidRDefault="00000000">
            <w:pPr>
              <w:spacing w:after="40" w:line="240" w:lineRule="auto"/>
            </w:pPr>
            <w:r>
              <w:rPr>
                <w:b/>
                <w:sz w:val="18"/>
              </w:rPr>
              <w:t>Study</w:t>
            </w:r>
          </w:p>
        </w:tc>
        <w:tc>
          <w:tcPr>
            <w:tcW w:w="2880" w:type="dxa"/>
          </w:tcPr>
          <w:p w14:paraId="512F1A58" w14:textId="77777777" w:rsidR="00037981" w:rsidRDefault="00000000">
            <w:pPr>
              <w:spacing w:after="40" w:line="240" w:lineRule="auto"/>
            </w:pPr>
            <w:r>
              <w:rPr>
                <w:b/>
                <w:sz w:val="18"/>
              </w:rPr>
              <w:t>Design</w:t>
            </w:r>
          </w:p>
        </w:tc>
        <w:tc>
          <w:tcPr>
            <w:tcW w:w="2880" w:type="dxa"/>
          </w:tcPr>
          <w:p w14:paraId="17129450" w14:textId="77777777" w:rsidR="00037981" w:rsidRDefault="00000000">
            <w:pPr>
              <w:spacing w:after="40" w:line="240" w:lineRule="auto"/>
            </w:pPr>
            <w:r>
              <w:rPr>
                <w:b/>
                <w:sz w:val="18"/>
              </w:rPr>
              <w:t>Relevant result</w:t>
            </w:r>
          </w:p>
        </w:tc>
      </w:tr>
      <w:tr w:rsidR="00037981" w14:paraId="7CB60E0B" w14:textId="77777777">
        <w:trPr>
          <w:jc w:val="center"/>
        </w:trPr>
        <w:tc>
          <w:tcPr>
            <w:tcW w:w="2880" w:type="dxa"/>
          </w:tcPr>
          <w:p w14:paraId="5F21D7A5" w14:textId="77777777" w:rsidR="00037981" w:rsidRDefault="00000000">
            <w:pPr>
              <w:spacing w:after="40" w:line="240" w:lineRule="auto"/>
            </w:pPr>
            <w:r>
              <w:rPr>
                <w:sz w:val="18"/>
              </w:rPr>
              <w:t xml:space="preserve">Overbeek MF, Rutters F, et al. </w:t>
            </w:r>
            <w:r>
              <w:rPr>
                <w:i/>
                <w:sz w:val="18"/>
              </w:rPr>
              <w:t>BMJ Open Diab Res Care</w:t>
            </w:r>
            <w:r>
              <w:rPr>
                <w:sz w:val="18"/>
              </w:rPr>
              <w:t xml:space="preserve"> 2024;12:e004180, PMID 39025794</w:t>
            </w:r>
          </w:p>
        </w:tc>
        <w:tc>
          <w:tcPr>
            <w:tcW w:w="2880" w:type="dxa"/>
          </w:tcPr>
          <w:p w14:paraId="305AD0F3" w14:textId="77777777" w:rsidR="00037981" w:rsidRDefault="00000000">
            <w:pPr>
              <w:spacing w:after="40" w:line="240" w:lineRule="auto"/>
            </w:pPr>
            <w:r>
              <w:rPr>
                <w:sz w:val="18"/>
              </w:rPr>
              <w:t>HELIUS, 16S, targeted sphingolipid panel, subcohort n=176 + 36 incident T2D</w:t>
            </w:r>
          </w:p>
        </w:tc>
        <w:tc>
          <w:tcPr>
            <w:tcW w:w="2880" w:type="dxa"/>
          </w:tcPr>
          <w:p w14:paraId="270EC55B" w14:textId="77777777" w:rsidR="00037981" w:rsidRDefault="00000000">
            <w:pPr>
              <w:spacing w:after="40" w:line="240" w:lineRule="auto"/>
            </w:pPr>
            <w:r>
              <w:rPr>
                <w:sz w:val="18"/>
              </w:rPr>
              <w:t xml:space="preserve">Gut microbiome </w:t>
            </w:r>
            <w:r>
              <w:rPr>
                <w:b/>
                <w:sz w:val="18"/>
              </w:rPr>
              <w:t>was</w:t>
            </w:r>
            <w:r>
              <w:rPr>
                <w:sz w:val="18"/>
              </w:rPr>
              <w:t xml:space="preserve"> associated with plasma sphingolipids; a PC representing </w:t>
            </w:r>
            <w:r>
              <w:rPr>
                <w:b/>
                <w:sz w:val="18"/>
              </w:rPr>
              <w:t>dominance of ceramide species over more complex sphingolipids</w:t>
            </w:r>
            <w:r>
              <w:rPr>
                <w:sz w:val="18"/>
              </w:rPr>
              <w:t xml:space="preserve"> mediated 48% of the microbiome-T2D association (HR 1.17, 95% CI 1.08-1.28)</w:t>
            </w:r>
          </w:p>
        </w:tc>
      </w:tr>
      <w:tr w:rsidR="00037981" w14:paraId="7D91C014" w14:textId="77777777">
        <w:trPr>
          <w:jc w:val="center"/>
        </w:trPr>
        <w:tc>
          <w:tcPr>
            <w:tcW w:w="2880" w:type="dxa"/>
          </w:tcPr>
          <w:p w14:paraId="6F45C1F7" w14:textId="77777777" w:rsidR="00037981" w:rsidRDefault="00000000">
            <w:pPr>
              <w:spacing w:after="40" w:line="240" w:lineRule="auto"/>
            </w:pPr>
            <w:r>
              <w:rPr>
                <w:sz w:val="18"/>
              </w:rPr>
              <w:t xml:space="preserve">Chen AS, Kim H, et al. </w:t>
            </w:r>
            <w:r>
              <w:rPr>
                <w:i/>
                <w:sz w:val="18"/>
              </w:rPr>
              <w:t>Nat Commun</w:t>
            </w:r>
            <w:r>
              <w:rPr>
                <w:sz w:val="18"/>
              </w:rPr>
              <w:t xml:space="preserve"> 2025;16:4644, PMID 40410138</w:t>
            </w:r>
          </w:p>
        </w:tc>
        <w:tc>
          <w:tcPr>
            <w:tcW w:w="2880" w:type="dxa"/>
          </w:tcPr>
          <w:p w14:paraId="622F183D" w14:textId="77777777" w:rsidR="00037981" w:rsidRDefault="00000000">
            <w:pPr>
              <w:spacing w:after="40" w:line="240" w:lineRule="auto"/>
            </w:pPr>
            <w:r>
              <w:rPr>
                <w:sz w:val="18"/>
              </w:rPr>
              <w:t>Microscopic colitis, n=683, shotgun metagenomics + LC-MS</w:t>
            </w:r>
          </w:p>
        </w:tc>
        <w:tc>
          <w:tcPr>
            <w:tcW w:w="2880" w:type="dxa"/>
          </w:tcPr>
          <w:p w14:paraId="43C1D193" w14:textId="77777777" w:rsidR="00037981" w:rsidRDefault="00000000">
            <w:pPr>
              <w:spacing w:after="40" w:line="240" w:lineRule="auto"/>
            </w:pPr>
            <w:r>
              <w:rPr>
                <w:b/>
                <w:sz w:val="18"/>
              </w:rPr>
              <w:t>Lactosylceramides and ceramides enriched</w:t>
            </w:r>
            <w:r>
              <w:rPr>
                <w:sz w:val="18"/>
              </w:rPr>
              <w:t xml:space="preserve"> in active disease; </w:t>
            </w:r>
            <w:r>
              <w:rPr>
                <w:i/>
                <w:sz w:val="18"/>
              </w:rPr>
              <w:t>Bacteroides stercoris</w:t>
            </w:r>
            <w:r>
              <w:rPr>
                <w:sz w:val="18"/>
              </w:rPr>
              <w:t xml:space="preserve"> depleted; "robust associations between microbial species, metabolic pathways, and metabolites"</w:t>
            </w:r>
          </w:p>
        </w:tc>
      </w:tr>
      <w:tr w:rsidR="00037981" w14:paraId="0EA00A78" w14:textId="77777777">
        <w:trPr>
          <w:jc w:val="center"/>
        </w:trPr>
        <w:tc>
          <w:tcPr>
            <w:tcW w:w="2880" w:type="dxa"/>
          </w:tcPr>
          <w:p w14:paraId="5B82AAA3" w14:textId="77777777" w:rsidR="00037981" w:rsidRDefault="00000000">
            <w:pPr>
              <w:spacing w:after="40" w:line="240" w:lineRule="auto"/>
            </w:pPr>
            <w:r>
              <w:rPr>
                <w:sz w:val="18"/>
              </w:rPr>
              <w:t>iMeta 2026 (above)</w:t>
            </w:r>
          </w:p>
        </w:tc>
        <w:tc>
          <w:tcPr>
            <w:tcW w:w="2880" w:type="dxa"/>
          </w:tcPr>
          <w:p w14:paraId="3ED9144B" w14:textId="77777777" w:rsidR="00037981" w:rsidRDefault="00000000">
            <w:pPr>
              <w:spacing w:after="40" w:line="240" w:lineRule="auto"/>
            </w:pPr>
            <w:r>
              <w:rPr>
                <w:sz w:val="18"/>
              </w:rPr>
              <w:t>n=784, metagenomics + lipidomics</w:t>
            </w:r>
          </w:p>
        </w:tc>
        <w:tc>
          <w:tcPr>
            <w:tcW w:w="2880" w:type="dxa"/>
          </w:tcPr>
          <w:p w14:paraId="28EC5C5C" w14:textId="77777777" w:rsidR="00037981" w:rsidRDefault="00000000">
            <w:pPr>
              <w:spacing w:after="40" w:line="240" w:lineRule="auto"/>
            </w:pPr>
            <w:r>
              <w:rPr>
                <w:sz w:val="18"/>
              </w:rPr>
              <w:t>Positive, with mechanism</w:t>
            </w:r>
          </w:p>
        </w:tc>
      </w:tr>
    </w:tbl>
    <w:p w14:paraId="2CBE574A" w14:textId="77777777" w:rsidR="00037981" w:rsidRDefault="00037981"/>
    <w:p w14:paraId="1D27867B" w14:textId="77777777" w:rsidR="00037981" w:rsidRDefault="00000000">
      <w:pPr>
        <w:jc w:val="both"/>
      </w:pPr>
      <w:r>
        <w:t xml:space="preserve">Three papers in 2024-2026 across </w:t>
      </w:r>
      <w:r>
        <w:rPr>
          <w:i/>
        </w:rPr>
        <w:t>Nature Communications</w:t>
      </w:r>
      <w:r>
        <w:t xml:space="preserve">, </w:t>
      </w:r>
      <w:r>
        <w:rPr>
          <w:i/>
        </w:rPr>
        <w:t>iMeta</w:t>
      </w:r>
      <w:r>
        <w:t xml:space="preserve"> and a diabetes journal. The question is live, not settled, and no two use the same taxon, chain length or endpoint. A pre-registered, powered null therefore lands in an </w:t>
      </w:r>
      <w:r>
        <w:rPr>
          <w:b/>
        </w:rPr>
        <w:t>active controversy</w:t>
      </w:r>
      <w:r>
        <w:t xml:space="preserve"> rather than on a dead hypothesis. That is a materially better position than the one the rejected manuscript occupied.</w:t>
      </w:r>
    </w:p>
    <w:p w14:paraId="105ED2EF" w14:textId="77777777" w:rsidR="00037981" w:rsidRDefault="00000000">
      <w:pPr>
        <w:pStyle w:val="31"/>
        <w:spacing w:before="240" w:after="120"/>
      </w:pPr>
      <w:r>
        <w:rPr>
          <w:rFonts w:ascii="Times New Roman" w:hAnsi="Times New Roman"/>
          <w:color w:val="000000"/>
        </w:rPr>
        <w:t>Finding 3 — the discovery cohort, not the replication, is the outlier</w:t>
      </w:r>
    </w:p>
    <w:p w14:paraId="20CEE1C9" w14:textId="77777777" w:rsidR="00037981" w:rsidRDefault="00000000">
      <w:pPr>
        <w:jc w:val="both"/>
      </w:pPr>
      <w:r>
        <w:t xml:space="preserve">HELIUS reports microbiome variation tracking a shift </w:t>
      </w:r>
      <w:r>
        <w:rPr>
          <w:b/>
        </w:rPr>
        <w:t>toward ceramide dominance and away from complex sphingolipids</w:t>
      </w:r>
      <w:r>
        <w:t xml:space="preserve">. The exploratory decomposition in this project found higher </w:t>
      </w:r>
      <w:r>
        <w:rPr>
          <w:i/>
        </w:rPr>
        <w:t>Bacteroides</w:t>
      </w:r>
      <w:r>
        <w:t xml:space="preserve"> associated with </w:t>
      </w:r>
      <w:r>
        <w:rPr>
          <w:b/>
        </w:rPr>
        <w:t>lower LacCer 16:0</w:t>
      </w:r>
      <w:r>
        <w:t xml:space="preserve"> (beta = -0.0314, P = 0.0029) and </w:t>
      </w:r>
      <w:r>
        <w:rPr>
          <w:b/>
        </w:rPr>
        <w:t>no change in Cer 16:0</w:t>
      </w:r>
      <w:r>
        <w:t xml:space="preserve"> (P = 0.855) -- the same direction of travel.</w:t>
      </w:r>
    </w:p>
    <w:p w14:paraId="3BB89005" w14:textId="77777777" w:rsidR="00037981" w:rsidRDefault="00000000">
      <w:pPr>
        <w:jc w:val="both"/>
      </w:pPr>
      <w:r>
        <w:t xml:space="preserve">The n=58 discovery finding (higher </w:t>
      </w:r>
      <w:r>
        <w:rPr>
          <w:i/>
        </w:rPr>
        <w:t>Bacteroides</w:t>
      </w:r>
      <w:r>
        <w:t>, higher LacCer/Cer) is therefore discordant with both the replication cohort and the published human literature, while the replication is concordant with it. This reverses the rhetorical burden: the paper is not explaining away an inconvenient null, it is explaining away an inconvenient discovery.</w:t>
      </w:r>
    </w:p>
    <w:p w14:paraId="3279EBE8" w14:textId="77777777" w:rsidR="00037981" w:rsidRDefault="00000000">
      <w:pPr>
        <w:pStyle w:val="31"/>
        <w:spacing w:before="240" w:after="120"/>
      </w:pPr>
      <w:r>
        <w:rPr>
          <w:rFonts w:ascii="Times New Roman" w:hAnsi="Times New Roman"/>
          <w:color w:val="000000"/>
        </w:rPr>
        <w:t>Finding 4 — the gene-level design is unoccupied</w:t>
      </w:r>
    </w:p>
    <w:p w14:paraId="0A5BDFD4" w14:textId="77777777" w:rsidR="00037981" w:rsidRDefault="00000000">
      <w:pPr>
        <w:jc w:val="both"/>
      </w:pPr>
      <w:r>
        <w:t xml:space="preserve">Three targeted queries (478 + 4,287 + 136 hits screened) for any study combining </w:t>
      </w:r>
      <w:r>
        <w:rPr>
          <w:b/>
        </w:rPr>
        <w:t>bacterial sphingolipid-biosynthesis gene abundance quantified from human metagenomes</w:t>
      </w:r>
      <w:r>
        <w:t xml:space="preserve"> with </w:t>
      </w:r>
      <w:r>
        <w:rPr>
          <w:b/>
        </w:rPr>
        <w:t>circulating lipid measurements</w:t>
      </w:r>
      <w:r>
        <w:t xml:space="preserve">: </w:t>
      </w:r>
      <w:r>
        <w:rPr>
          <w:b/>
        </w:rPr>
        <w:t>zero studies</w:t>
      </w:r>
      <w:r>
        <w:t>.</w:t>
      </w:r>
    </w:p>
    <w:p w14:paraId="01A67281" w14:textId="77777777" w:rsidR="00037981" w:rsidRDefault="00000000">
      <w:pPr>
        <w:jc w:val="both"/>
      </w:pPr>
      <w:r>
        <w:lastRenderedPageBreak/>
        <w:t xml:space="preserve">Every human study found uses a taxonomic label or a pathway-module score as the exposure. Direct read-level quantification of bacterial SPT against a host lipid endpoint appears to be first-in-class, and the demonstration that the taxonomic label </w:t>
      </w:r>
      <w:r>
        <w:rPr>
          <w:b/>
        </w:rPr>
        <w:t>outperforms</w:t>
      </w:r>
      <w:r>
        <w:t xml:space="preserve"> the enzyme it supposedly acts through (joint model: genus P = 0.0012, SPT P = 0.841, likelihood-ratio chi2 = 0.047, P = 0.828) is a transferable caution for the whole taxon-implies-enzyme inferential habit visible in the table above.</w:t>
      </w:r>
    </w:p>
    <w:p w14:paraId="698371F6" w14:textId="77777777" w:rsidR="00037981" w:rsidRDefault="00000000">
      <w:pPr>
        <w:pStyle w:val="31"/>
        <w:spacing w:before="240" w:after="120"/>
      </w:pPr>
      <w:r>
        <w:rPr>
          <w:rFonts w:ascii="Times New Roman" w:hAnsi="Times New Roman"/>
          <w:color w:val="000000"/>
        </w:rPr>
        <w:t>Consequences for the manuscript</w:t>
      </w:r>
    </w:p>
    <w:p w14:paraId="72B7E5EC" w14:textId="77777777" w:rsidR="00037981" w:rsidRDefault="00000000">
      <w:pPr>
        <w:pStyle w:val="a"/>
      </w:pPr>
      <w:r>
        <w:rPr>
          <w:b/>
        </w:rPr>
        <w:t>The introduction and discussion are out of date.</w:t>
      </w:r>
      <w:r>
        <w:t xml:space="preserve"> All three papers postdate the draft and must be cited and engaged, not merely listed.</w:t>
      </w:r>
    </w:p>
    <w:p w14:paraId="13FC8832" w14:textId="77777777" w:rsidR="00037981" w:rsidRDefault="00000000">
      <w:pPr>
        <w:pStyle w:val="a"/>
      </w:pPr>
      <w:r>
        <w:rPr>
          <w:b/>
        </w:rPr>
        <w:t>HELIUS must be addressed head-on</w:t>
      </w:r>
      <w:r>
        <w:t xml:space="preserve">, and can be turned to advantage via Finding 3. Note that HELIUS was disqualified earlier as a </w:t>
      </w:r>
      <w:r>
        <w:rPr>
          <w:i/>
        </w:rPr>
        <w:t>replication cohort</w:t>
      </w:r>
      <w:r>
        <w:t xml:space="preserve">; it now matters as a </w:t>
      </w:r>
      <w:r>
        <w:rPr>
          <w:i/>
        </w:rPr>
        <w:t>published discordant result</w:t>
      </w:r>
      <w:r>
        <w:t>, which is a different role.</w:t>
      </w:r>
    </w:p>
    <w:p w14:paraId="5A01AA93" w14:textId="77777777" w:rsidR="00037981" w:rsidRDefault="00000000">
      <w:pPr>
        <w:pStyle w:val="a"/>
      </w:pPr>
      <w:r>
        <w:rPr>
          <w:b/>
        </w:rPr>
        <w:t>The unique contribution is now the gene-level test, and it rests on n=58.</w:t>
      </w:r>
      <w:r>
        <w:t xml:space="preserve"> That is the paper's weakest load-bearing point. Closing the pre-registered SPT secondary exposure in MetaCardis (~1,000 samples, public reads at ENA) would move the novel claim from n=58 to n~1,000. This is no longer optional polish; it is the difference between a replication report and a first-in-class method result.</w:t>
      </w:r>
    </w:p>
    <w:p w14:paraId="0CF99D07" w14:textId="77777777" w:rsidR="00037981" w:rsidRDefault="00000000">
      <w:pPr>
        <w:pStyle w:val="a"/>
      </w:pPr>
      <w:r>
        <w:t xml:space="preserve">The title and abstract must be recut around the gene-versus-taxon question rather than around the </w:t>
      </w:r>
      <w:r>
        <w:rPr>
          <w:i/>
        </w:rPr>
        <w:t>Bacteroides</w:t>
      </w:r>
      <w:r>
        <w:t>-lactosylceramide association, which is no longer this project's to claim.</w:t>
      </w:r>
    </w:p>
    <w:p w14:paraId="5F09BDEE" w14:textId="77777777" w:rsidR="00037981" w:rsidRDefault="00000000">
      <w:pPr>
        <w:pStyle w:val="31"/>
        <w:spacing w:before="240" w:after="120"/>
      </w:pPr>
      <w:r>
        <w:rPr>
          <w:rFonts w:ascii="Times New Roman" w:hAnsi="Times New Roman"/>
          <w:color w:val="000000"/>
        </w:rPr>
        <w:t>Reproduction</w:t>
      </w:r>
    </w:p>
    <w:p w14:paraId="13C829A2" w14:textId="77777777" w:rsidR="00037981" w:rsidRDefault="00000000">
      <w:pPr>
        <w:jc w:val="both"/>
      </w:pPr>
      <w:r>
        <w:rPr>
          <w:rFonts w:ascii="Consolas" w:hAnsi="Consolas"/>
          <w:sz w:val="18"/>
        </w:rPr>
        <w:t>novelty_search_raw.csv</w:t>
      </w:r>
      <w:r>
        <w:t xml:space="preserve"> (461 scored records), </w:t>
      </w:r>
      <w:r>
        <w:rPr>
          <w:rFonts w:ascii="Consolas" w:hAnsi="Consolas"/>
          <w:sz w:val="18"/>
        </w:rPr>
        <w:t>novelty_gene_level_check.json</w:t>
      </w:r>
      <w:r>
        <w:t xml:space="preserve"> (empty by design -- the negative result of Finding 4). Searches run 2026-09-27 against the Europe PMC REST API; hit counts will drift as the index grows.</w:t>
      </w:r>
    </w:p>
    <w:p w14:paraId="00F1DAFC" w14:textId="77777777" w:rsidR="00037981" w:rsidRDefault="00000000">
      <w:pPr>
        <w:pStyle w:val="31"/>
        <w:spacing w:before="240" w:after="120"/>
      </w:pPr>
      <w:r>
        <w:rPr>
          <w:rFonts w:ascii="Times New Roman" w:hAnsi="Times New Roman"/>
          <w:color w:val="000000"/>
        </w:rPr>
        <w:t>Attribution note</w:t>
      </w:r>
    </w:p>
    <w:p w14:paraId="596AB2B0" w14:textId="77777777" w:rsidR="00037981" w:rsidRDefault="00000000">
      <w:pPr>
        <w:jc w:val="both"/>
      </w:pPr>
      <w:r>
        <w:t xml:space="preserve">Author strings for every study named above were retrieved from the Europe PMC </w:t>
      </w:r>
      <w:r>
        <w:rPr>
          <w:rFonts w:ascii="Consolas" w:hAnsi="Consolas"/>
          <w:sz w:val="18"/>
        </w:rPr>
        <w:t>authorString</w:t>
      </w:r>
      <w:r>
        <w:t xml:space="preserve"> field and truncated at two or three names. An earlier draft of this document attributed the iMeta and BMJ studies to "Wang et al." and "Bik et al."; both were wrong (the first authors are Sun Z and Overbeek MF) and had not been retrieved. Verify against the journal of record before citing.</w:t>
      </w:r>
    </w:p>
    <w:p w14:paraId="6D55EC2B" w14:textId="77777777" w:rsidR="00037981" w:rsidRDefault="00037981">
      <w:pPr>
        <w:pBdr>
          <w:bottom w:val="single" w:sz="6" w:space="0" w:color="999999"/>
        </w:pBdr>
      </w:pPr>
    </w:p>
    <w:sectPr w:rsidR="0003798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맑은 고딕">
    <w:panose1 w:val="020B0503020000020004"/>
    <w:charset w:val="81"/>
    <w:family w:val="modern"/>
    <w:pitch w:val="variable"/>
    <w:sig w:usb0="9000002F" w:usb1="29D77CFB" w:usb2="00000012" w:usb3="00000000" w:csb0="0008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39406852">
    <w:abstractNumId w:val="8"/>
  </w:num>
  <w:num w:numId="2" w16cid:durableId="27147683">
    <w:abstractNumId w:val="6"/>
  </w:num>
  <w:num w:numId="3" w16cid:durableId="870456109">
    <w:abstractNumId w:val="5"/>
  </w:num>
  <w:num w:numId="4" w16cid:durableId="788161155">
    <w:abstractNumId w:val="4"/>
  </w:num>
  <w:num w:numId="5" w16cid:durableId="762997219">
    <w:abstractNumId w:val="7"/>
  </w:num>
  <w:num w:numId="6" w16cid:durableId="1827937188">
    <w:abstractNumId w:val="3"/>
  </w:num>
  <w:num w:numId="7" w16cid:durableId="681129067">
    <w:abstractNumId w:val="2"/>
  </w:num>
  <w:num w:numId="8" w16cid:durableId="1087918463">
    <w:abstractNumId w:val="1"/>
  </w:num>
  <w:num w:numId="9" w16cid:durableId="1471097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7981"/>
    <w:rsid w:val="0006063C"/>
    <w:rsid w:val="00092658"/>
    <w:rsid w:val="0015074B"/>
    <w:rsid w:val="0029639D"/>
    <w:rsid w:val="00326F90"/>
    <w:rsid w:val="00AA1D8D"/>
    <w:rsid w:val="00B47730"/>
    <w:rsid w:val="00BF3F7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AD3603"/>
  <w14:defaultImageDpi w14:val="300"/>
  <w15:docId w15:val="{1849A017-DC20-4F6F-9846-19F1C9032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360" w:lineRule="auto"/>
    </w:pPr>
    <w:rPr>
      <w:rFonts w:ascii="Times New Roman" w:eastAsia="Times New Roman" w:hAnsi="Times New Roman"/>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ind w:left="360"/>
      <w:contextualSpacing/>
    </w:pPr>
  </w:style>
  <w:style w:type="paragraph" w:styleId="24">
    <w:name w:val="List Continue 2"/>
    <w:basedOn w:val="a1"/>
    <w:uiPriority w:val="99"/>
    <w:unhideWhenUsed/>
    <w:rsid w:val="0029639D"/>
    <w:pPr>
      <w:ind w:left="720"/>
      <w:contextualSpacing/>
    </w:pPr>
  </w:style>
  <w:style w:type="paragraph" w:styleId="34">
    <w:name w:val="List Continue 3"/>
    <w:basedOn w:val="a1"/>
    <w:uiPriority w:val="99"/>
    <w:unhideWhenUsed/>
    <w:rsid w:val="0029639D"/>
    <w:pPr>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43</Pages>
  <Words>13782</Words>
  <Characters>78562</Characters>
  <Application>Microsoft Office Word</Application>
  <DocSecurity>0</DocSecurity>
  <Lines>654</Lines>
  <Paragraphs>184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92160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dc:title>
  <dc:subject/>
  <dc:creator>python-docx</dc:creator>
  <cp:keywords/>
  <dc:description>generated by python-docx</dc:description>
  <cp:lastModifiedBy>창명 오</cp:lastModifiedBy>
  <cp:revision>2</cp:revision>
  <dcterms:created xsi:type="dcterms:W3CDTF">2013-12-23T23:15:00Z</dcterms:created>
  <dcterms:modified xsi:type="dcterms:W3CDTF">2026-09-27T14:30:00Z</dcterms:modified>
  <cp:category/>
</cp:coreProperties>
</file>