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94A52" w14:textId="7A4EAE54" w:rsidR="00184EDF" w:rsidRPr="00FA4C48" w:rsidRDefault="00FA4C48" w:rsidP="0059374D">
      <w:pPr>
        <w:pStyle w:val="Head"/>
        <w:jc w:val="left"/>
        <w:rPr>
          <w:sz w:val="24"/>
          <w:szCs w:val="24"/>
        </w:rPr>
      </w:pPr>
      <w:bookmarkStart w:id="0" w:name="_Hlk82076926"/>
      <w:bookmarkStart w:id="1" w:name="model"/>
      <w:r w:rsidRPr="00FA4C48">
        <w:rPr>
          <w:sz w:val="24"/>
          <w:szCs w:val="24"/>
        </w:rPr>
        <w:t>Demand-Driven Efforts to Stop Deforestation in Brazil's Soy Sector are Unlikely to be Offset by Cross-Border Leakage</w:t>
      </w:r>
      <w:r w:rsidR="00184EDF" w:rsidRPr="00FA4C48">
        <w:rPr>
          <w:sz w:val="24"/>
          <w:szCs w:val="24"/>
        </w:rPr>
        <w:t xml:space="preserve"> </w:t>
      </w:r>
    </w:p>
    <w:bookmarkEnd w:id="0"/>
    <w:p w14:paraId="0D752A32" w14:textId="5D206C4A" w:rsidR="00184EDF" w:rsidRPr="003666BE" w:rsidRDefault="00184EDF" w:rsidP="0059374D">
      <w:pPr>
        <w:pStyle w:val="Authors"/>
        <w:jc w:val="left"/>
        <w:rPr>
          <w:vertAlign w:val="superscript"/>
        </w:rPr>
      </w:pPr>
      <w:r w:rsidRPr="003666BE">
        <w:rPr>
          <w:b/>
        </w:rPr>
        <w:t>Authors:</w:t>
      </w:r>
      <w:r w:rsidRPr="003666BE">
        <w:t xml:space="preserve"> Nelson Villoria, Rachael Garrett, Florian Gollnow</w:t>
      </w:r>
      <w:r w:rsidR="004B446B" w:rsidRPr="00741505">
        <w:t>,</w:t>
      </w:r>
      <w:r w:rsidR="004B446B">
        <w:rPr>
          <w:vertAlign w:val="superscript"/>
        </w:rPr>
        <w:t xml:space="preserve"> </w:t>
      </w:r>
      <w:r w:rsidR="004B446B" w:rsidRPr="003666BE">
        <w:t>Kimberly Carlson</w:t>
      </w:r>
    </w:p>
    <w:bookmarkEnd w:id="1"/>
    <w:p w14:paraId="07FE2A8A" w14:textId="6693992D" w:rsidR="007D7623" w:rsidRPr="003666BE" w:rsidRDefault="007D7623" w:rsidP="007D7623">
      <w:pPr>
        <w:pStyle w:val="Heading1"/>
      </w:pPr>
      <w:r w:rsidRPr="003666BE">
        <w:t xml:space="preserve">Supplementary </w:t>
      </w:r>
      <w:r w:rsidR="003E51D2" w:rsidRPr="003666BE">
        <w:t>Information</w:t>
      </w:r>
    </w:p>
    <w:p w14:paraId="35A0755F" w14:textId="77777777" w:rsidR="00C04A45" w:rsidRPr="003666BE" w:rsidRDefault="00C04A45" w:rsidP="007A33F5">
      <w:pPr>
        <w:pStyle w:val="Heading2"/>
        <w:ind w:left="0" w:firstLine="0"/>
      </w:pPr>
      <w:bookmarkStart w:id="2" w:name="_Ref74298074"/>
      <w:r w:rsidRPr="003666BE">
        <w:t>Baseline Simulations and Model Validation</w:t>
      </w:r>
    </w:p>
    <w:p w14:paraId="67C382BE" w14:textId="3D96BCC0" w:rsidR="00C04A45" w:rsidRPr="003666BE" w:rsidRDefault="00C04A45" w:rsidP="00C04A45">
      <w:pPr>
        <w:pStyle w:val="FirstParagraph"/>
      </w:pPr>
      <w:r w:rsidRPr="003666BE">
        <w:t xml:space="preserve">The base model is calibrated to the global equilibrium of production, consumption, and international trade in year 2011. The baseline simulation results from disturbing the base year equilibrium with a comprehensive set of economic shocks that capture the changes in the economy from 2011 to 2016. Therefore, the baseline simulation gives model estimates of how different the global economy in 2016 relative to is 2011. We closely follow the strategy of Yao et al. </w:t>
      </w:r>
      <w:r w:rsidRPr="003666BE">
        <w:fldChar w:fldCharType="begin"/>
      </w:r>
      <w:r w:rsidR="000D6366">
        <w:instrText xml:space="preserve"> ADDIN ZOTERO_ITEM CSL_CITATION {"citationID":"fW8DdIph","properties":{"formattedCitation":"\\super 1\\nosupersub{}","plainCitation":"1","noteIndex":0},"citationItems":[{"id":9625,"uris":["http://zotero.org/users/2600/items/UJRBATK4"],"uri":["http://zotero.org/users/2600/items/UJRBATK4"],"itemData":{"id":9625,"type":"article-journal","abstract":"Telecoupling is a novel concept describing simultaneous multiscale interactions between human and natural systems across long distances. One important vehicle for telecoupling is international agricultural trade, which has previously been addressed using multiregional input-output (MRIO) methods. This study advances that work by accounting for market-mediating factors based on the GTAP-BIO model. We apply this framework to analyze the economic and environmental consequences of the Brazilian soybean boom. We decompose the drivers of this telecoupled system into five groups – macroeconomic growth, soybean productivity, other crop productivity, government policies, and pasture and forestry factors – quantifying each socio-economic driver’s local and distant contributions to all human and natural changes in this system. We find that China’s macroeconomic growth boosted soybean production and exports from Brazil and the US, whereas macroeconomic growth in the latter two regions actually dampened soybean exports over the 2004–2011 period under examination. Brazil’s strong soybean productivity growth over this period, allowed that country to become dominant in the global soybean market. It also had strong spillover effects, displacing the US in the Chinese market and reducing overall growth in soybean output in the US. This strong soybean productivity growth also contributed to cropland expansion in Brazil.","container-title":"Global Environmental Change","DOI":"10.1016/j.gloenvcha.2018.04.005","ISSN":"0959-3780","journalAbbreviation":"Global Environmental Change","note":"Citation Key: yao2018","page":"190-200","source":"ScienceDirect","title":"Economic drivers of telecoupling and terrestrial carbon fluxes in the global soybean complex","volume":"50","author":[{"family":"Yao","given":"Guolin"},{"family":"Hertel","given":"Thomas W."},{"family":"Taheripour","given":"Farzad"}],"issued":{"date-parts":[["2018",5,1]]}}}],"schema":"https://github.com/citation-style-language/schema/raw/master/csl-citation.json"} </w:instrText>
      </w:r>
      <w:r w:rsidRPr="003666BE">
        <w:fldChar w:fldCharType="separate"/>
      </w:r>
      <w:r w:rsidR="006C5ECD" w:rsidRPr="006C5ECD">
        <w:rPr>
          <w:vertAlign w:val="superscript"/>
        </w:rPr>
        <w:t>1</w:t>
      </w:r>
      <w:r w:rsidRPr="003666BE">
        <w:fldChar w:fldCharType="end"/>
      </w:r>
      <w:r w:rsidRPr="003666BE">
        <w:t xml:space="preserve"> and Taheripour et al. </w:t>
      </w:r>
      <w:r w:rsidRPr="003666BE">
        <w:fldChar w:fldCharType="begin"/>
      </w:r>
      <w:r w:rsidR="000D6366">
        <w:instrText xml:space="preserve"> ADDIN ZOTERO_ITEM CSL_CITATION {"citationID":"mjXOUnAA","properties":{"formattedCitation":"\\super 2\\nosupersub{}","plainCitation":"2","noteIndex":0},"citationItems":[{"id":9620,"uris":["http://zotero.org/users/2600/items/K3PUMTM5"],"uri":["http://zotero.org/users/2600/items/K3PUMTM5"],"itemData":{"id":9620,"type":"article-journal","abstract":"The global demand for palm oil has grown rapidly over the past several decades. Much of the output expansion has occurred in carbon- and biodiversity-rich forest lands of Malaysia and Indonesia (M&amp;I), contributing to record levels of terrestrial carbon emissions and biodiversity loss. This has led to a variety of voluntary and mandatory regulatory actions, as well as calls for limits on palm oil imports from M&amp;I. This paper offers a comprehensive, global assessment of the economic and environmental consequences of alternative policies aimed at limiting deforestation from oil palm expansion in M&amp;I. It highlights the challenges of limiting forest and biodiversity loss in the presence of market-mediated spillovers into related oilseed and agricultural commodity and factor markets, both in M&amp;I and overseas. Indeed, limiting palm oil production or consumption is unlikely to halt deforestation in M&amp;I in the absence of active forest conservation incentives. Policies aimed at restricting palm oil production in M&amp;I also have broader consequences for the economy, including significant impacts on consumer prices, real wages, and welfare, that vary among different global regions. A crucial distinction is whether the initiative is undertaken domestically, in which case the M&amp;I region could benefit, or by major palm oil importers, in which case M&amp;I loses income. Nonetheless, all policies considered here pass the social welfare test of global carbon dioxide mitigation benefits exceeding their costs.\nAuthor Information\nFarzad Taheripoura,1, Thomas W. Hertela, and Navin Ramankuttyb,caDepartment of Agricultural Economics, Purdue University, West Lafayette, IN 47907;bSchool of Public Policy and Global Affairs, University of British Columbia, Vancouver, BC, Canada V6T 1Z2;cInstitute for Resources, Environment, and Sustainability, University of British Columbia, Vancouver, BC, Canada V6T 1Z4 Edited by Arild Underdal, University of Oslo, Oslo, Norway, and approved August 5, 2019 (received for review March 2, 2019)\nFootnotes</w:instrText>
      </w:r>
      <w:r w:rsidR="000D6366">
        <w:rPr>
          <w:rFonts w:ascii="Cambria Math" w:hAnsi="Cambria Math" w:cs="Cambria Math"/>
        </w:rPr>
        <w:instrText>↵</w:instrText>
      </w:r>
      <w:r w:rsidR="000D6366">
        <w:instrText>1To whom correspondence should be addressed. Email: tfarzad@purdue.edu.</w:instrText>
      </w:r>
      <w:r w:rsidR="000D6366">
        <w:rPr>
          <w:rFonts w:ascii="Cambria Math" w:hAnsi="Cambria Math" w:cs="Cambria Math"/>
        </w:rPr>
        <w:instrText>↵</w:instrText>
      </w:r>
      <w:r w:rsidR="000D6366">
        <w:instrText>1In 2016, the value of oil plus meal for Malaysian oil palm and the value of US soybeans per hectare per growing day were approximately $8.15 and $6.35, respectively. Expressed in this way, the gap is smaller than the oft-cited figure of 5- to 8-fold higher oil palm yields compared with yields of competing oil crops.</w:instrText>
      </w:r>
      <w:r w:rsidR="000D6366">
        <w:rPr>
          <w:rFonts w:ascii="Cambria Math" w:hAnsi="Cambria Math" w:cs="Cambria Math"/>
        </w:rPr>
        <w:instrText>↵</w:instrText>
      </w:r>
      <w:r w:rsidR="000D6366">
        <w:instrText xml:space="preserve">2The EF-AEZ model calculates emissions from changes in land cover and emissions due to changes in crop biomass. The figures reported herein include the sum of these 2 items. For TAX with 0% palm on peat, the saving in emissions due to preserving forest is positive but small compared with the loss in biomass of oil palm trees vs. the biomass of other crops.Author contributions: F.T., T.W.H., and N.R. designed research; F.T. performed research; F.T., T.W.H., and N.R. analyzed data; and F.T., T.W.H., and N.R. wrote the paper.The authors declare no conflict of interest.This article is a PNAS Direct Submission.This article contains supporting information online at www.pnas.org/lookup/suppl/doi:10.1073/pnas.1903476116/-/DCSupplemental.","container-title":"Proceedings of the National Academy of Sciences","DOI":"10.1073/pnas.1903476116","ISSN":"0027-8424, 1091-6490","journalAbbreviation":"PNAS","language":"en","note":"Citation Key: taheripour2019","page":"201903476","source":"www.pnas.org","title":"Market-mediated responses confound policies to limit deforestation from oil palm expansion in Malaysia and Indonesia","author":[{"family":"Taheripour","given":"Farzad"},{"family":"Hertel","given":"Thomas W."},{"family":"Ramankutty","given":"Navin"}],"issued":{"date-parts":[["2019",9,3]]}}}],"schema":"https://github.com/citation-style-language/schema/raw/master/csl-citation.json"} </w:instrText>
      </w:r>
      <w:r w:rsidRPr="003666BE">
        <w:fldChar w:fldCharType="separate"/>
      </w:r>
      <w:r w:rsidR="006C5ECD" w:rsidRPr="006C5ECD">
        <w:rPr>
          <w:vertAlign w:val="superscript"/>
        </w:rPr>
        <w:t>2</w:t>
      </w:r>
      <w:r w:rsidRPr="003666BE">
        <w:fldChar w:fldCharType="end"/>
      </w:r>
      <w:r w:rsidRPr="003666BE">
        <w:t>. The baseline includes the macroeconomic shocks in table S1, the shocks to agricultural factor and input productivity in table S2 and the production shocks for oilseed in the BBAP region and China in table S3 (other region are shown for completeness). Shocks to the consumption of sugar cane, coarse grains, and vegetable oils for ethanol and biodiesel production are also included (14% and 56% increase in the demand of vegetable oils and coarse grains by the chemical sector in the EU, 19% increase in the demand of coarse grains for ethanol in the U.S., 10% increase in China, and 1% increase in the demand for raw sugar for ethanol in Brazil.)</w:t>
      </w:r>
    </w:p>
    <w:p w14:paraId="527BACEE" w14:textId="3FD57E0A" w:rsidR="00C04A45" w:rsidRPr="003666BE" w:rsidRDefault="00C04A45" w:rsidP="00C04A45">
      <w:pPr>
        <w:pStyle w:val="BodyText"/>
      </w:pPr>
      <w:r w:rsidRPr="003666BE">
        <w:t>Compared to observed exports, export predictions are highly accurate for Brazil, and to a lesser extent Bolivia (table S4). In the case of Argentina, the sharp contraction in the observed exports is due to producers hoarding soybean supplies during the 2016-2017 harvest as a response to delays in planned reduction of export taxes</w:t>
      </w:r>
      <w:r w:rsidRPr="003666BE">
        <w:fldChar w:fldCharType="begin"/>
      </w:r>
      <w:r w:rsidR="000D6366">
        <w:instrText xml:space="preserve"> ADDIN ZOTERO_ITEM CSL_CITATION {"citationID":"Uyh0g4DS","properties":{"formattedCitation":"\\super 3\\nosupersub{}","plainCitation":"3","noteIndex":0},"citationItems":[{"id":10297,"uris":["http://zotero.org/users/2600/items/W2NSBUHE"],"uri":["http://zotero.org/users/2600/items/W2NSBUHE"],"itemData":{"id":10297,"type":"article-journal","language":"en","note":"Citation Key: mergen2017","page":"14","source":"Zotero","title":"2017/18 Forecast: Limited area growth for Soybeans, Sunflower, and Peanuts.","author":[{"family":"Mergen","given":"David"},{"family":"Sandoval","given":"Lazaro"}],"issued":{"date-parts":[["2017"]]}}}],"schema":"https://github.com/citation-style-language/schema/raw/master/csl-citation.json"} </w:instrText>
      </w:r>
      <w:r w:rsidRPr="003666BE">
        <w:fldChar w:fldCharType="separate"/>
      </w:r>
      <w:r w:rsidR="006C5ECD" w:rsidRPr="006C5ECD">
        <w:rPr>
          <w:vertAlign w:val="superscript"/>
        </w:rPr>
        <w:t>3</w:t>
      </w:r>
      <w:r w:rsidRPr="003666BE">
        <w:fldChar w:fldCharType="end"/>
      </w:r>
      <w:r w:rsidRPr="003666BE">
        <w:t>. In the case of Paraguay—a very marginal direct soybean exporter to China—the rapid growth from a very low initial value is not captured by the model. Regarding the importance of the Chinese market, 38% of China’s soybeans imports came from Brazil in 2011, and 14% from Argentina. Bolivia and Paraguay are marginal players. The main destination of Paraguayan oilseed is Brazil. Although trade supposedly liberalized in the region, it was not until 2016 that Argentina opened up its markets to Paraguayan soybeans in order to use underutilized soybean crushing capacity</w:t>
      </w:r>
      <w:r w:rsidRPr="003666BE">
        <w:fldChar w:fldCharType="begin"/>
      </w:r>
      <w:r w:rsidR="000D6366">
        <w:instrText xml:space="preserve"> ADDIN ZOTERO_ITEM CSL_CITATION {"citationID":"ApWcmWrk","properties":{"formattedCitation":"\\super 3\\nosupersub{}","plainCitation":"3","noteIndex":0},"citationItems":[{"id":10297,"uris":["http://zotero.org/users/2600/items/W2NSBUHE"],"uri":["http://zotero.org/users/2600/items/W2NSBUHE"],"itemData":{"id":10297,"type":"article-journal","language":"en","note":"Citation Key: mergen2017","page":"14","source":"Zotero","title":"2017/18 Forecast: Limited area growth for Soybeans, Sunflower, and Peanuts.","author":[{"family":"Mergen","given":"David"},{"family":"Sandoval","given":"Lazaro"}],"issued":{"date-parts":[["2017"]]}}}],"schema":"https://github.com/citation-style-language/schema/raw/master/csl-citation.json"} </w:instrText>
      </w:r>
      <w:r w:rsidRPr="003666BE">
        <w:fldChar w:fldCharType="separate"/>
      </w:r>
      <w:r w:rsidR="006C5ECD" w:rsidRPr="006C5ECD">
        <w:rPr>
          <w:vertAlign w:val="superscript"/>
        </w:rPr>
        <w:t>3</w:t>
      </w:r>
      <w:r w:rsidRPr="003666BE">
        <w:fldChar w:fldCharType="end"/>
      </w:r>
      <w:r w:rsidRPr="003666BE">
        <w:t>.</w:t>
      </w:r>
    </w:p>
    <w:p w14:paraId="6DA6149A" w14:textId="7BFA33D9" w:rsidR="00C04A45" w:rsidRPr="003666BE" w:rsidRDefault="00C04A45" w:rsidP="00C04A45">
      <w:pPr>
        <w:pStyle w:val="BodyText"/>
      </w:pPr>
      <w:r w:rsidRPr="003666BE">
        <w:t xml:space="preserve">The comparisons of simulated and observed oilseed, cropland, and forest area in </w:t>
      </w:r>
      <w:r w:rsidR="00353483" w:rsidRPr="003666BE">
        <w:t>Fig.</w:t>
      </w:r>
      <w:r w:rsidRPr="003666BE">
        <w:t xml:space="preserve"> </w:t>
      </w:r>
      <w:r w:rsidR="00417309" w:rsidRPr="003666BE">
        <w:t>S</w:t>
      </w:r>
      <w:r w:rsidR="00A8097A">
        <w:t>3</w:t>
      </w:r>
      <w:r w:rsidR="00417309" w:rsidRPr="003666BE">
        <w:t xml:space="preserve"> </w:t>
      </w:r>
      <w:r w:rsidRPr="003666BE">
        <w:t>are subject to some caveats. First, myriad drivers govern land use processes (e.g., market access, large scale fires, deforestation decisions responding to expectations of higher prices in the future, and land property rights), and our model is not designed to capture these drivers. Second, the translation of changes in land use calculated by applied equilibrium models rests on assumed land productivity which are highly uncertain (</w:t>
      </w:r>
      <w:r w:rsidR="00417309" w:rsidRPr="003666BE">
        <w:t>See section S3 for sensitivity analysis</w:t>
      </w:r>
      <w:r w:rsidRPr="003666BE">
        <w:t>).</w:t>
      </w:r>
    </w:p>
    <w:p w14:paraId="1771589A" w14:textId="41E5D1E3" w:rsidR="00C04A45" w:rsidRPr="003666BE" w:rsidRDefault="00C04A45" w:rsidP="00C04A45">
      <w:pPr>
        <w:pStyle w:val="BodyText"/>
      </w:pPr>
      <w:r w:rsidRPr="003666BE">
        <w:t xml:space="preserve">In addition to uncertainty in the inputs to the model, the comparisons to observed data should be taken as merely referential because there are important differences in the definitions of land cover used by FAOSTAT and the definitions used in GTAP. In particular, cropland in GTAP is equivalent to the sum of the harvested areas of all the crops in the model, while FAOSTAT includes all arable lands, meadows, and permanent crops. Regarding forests, the GTAP database only works with forests for which land rents can be imputed, which is a function of their accessibility </w:t>
      </w:r>
      <w:r w:rsidRPr="003666BE">
        <w:fldChar w:fldCharType="begin"/>
      </w:r>
      <w:r w:rsidR="000D6366">
        <w:instrText xml:space="preserve"> ADDIN ZOTERO_ITEM CSL_CITATION {"citationID":"zZ0KUmO5","properties":{"formattedCitation":"\\super 4\\nosupersub{}","plainCitation":"4","noteIndex":0},"citationItems":[{"id":813,"uris":["http://zotero.org/users/2600/items/EC7NTKWD"],"uri":["http://zotero.org/users/2600/items/EC7NTKWD"],"itemData":{"id":813,"type":"chapter","abstract":"*Chapter 3 of the forthcoming book \"Economic Analysis of Land Use in Global Climate Change Policy,\" edited by Thomas W. Hertel, Steven Rose, and Richard S.J. Tol","container-title":"Economic Analysis of Land Use in Global Climate Change Policy","event-place":"West Lafayette, IN","note":"Citation Key: sohngen2009","page":"49-72","publisher":"Center for Global Trade Analysis, Department of Agricultural Economics, Purdue University","publisher-place":"West Lafayette, IN","source":"RePEc","title":"Global Forestry Data for the Economic Modeling of Land Use","URL":"http://ideas.repec.org/p/gta/workpp/2602.html","author":[{"family":"Sohngen","given":"Brent"},{"family":"Tennity","given":"Colleen"},{"family":"Hnytka","given":"Marc"},{"family":"Meeusen","given":"Karl"}],"editor":[{"family":"Hertel","given":"Thomas W"},{"family":"Rose","given":"Steven K."},{"family":"Tol","given":"Richard S.J."}],"accessed":{"date-parts":[["2010",9,2]]},"issued":{"date-parts":[["2009"]]}}}],"schema":"https://github.com/citation-style-language/schema/raw/master/csl-citation.json"} </w:instrText>
      </w:r>
      <w:r w:rsidRPr="003666BE">
        <w:fldChar w:fldCharType="separate"/>
      </w:r>
      <w:r w:rsidR="006C5ECD" w:rsidRPr="006C5ECD">
        <w:rPr>
          <w:vertAlign w:val="superscript"/>
        </w:rPr>
        <w:t>4</w:t>
      </w:r>
      <w:r w:rsidRPr="003666BE">
        <w:fldChar w:fldCharType="end"/>
      </w:r>
      <w:r w:rsidRPr="003666BE">
        <w:t xml:space="preserve">. This is a subset of all the forests in a country, which is what is reported in </w:t>
      </w:r>
      <w:r w:rsidRPr="003666BE">
        <w:lastRenderedPageBreak/>
        <w:t>FAOSTAT. Finally, for consistency, in GTAP, the weighted changes in land cover sum up to zero so changes in one land cover must be matched by changes in other land covers so that the total sum equals zero.</w:t>
      </w:r>
    </w:p>
    <w:p w14:paraId="7260BAC6" w14:textId="77777777" w:rsidR="00C04A45" w:rsidRPr="003666BE" w:rsidRDefault="00C04A45" w:rsidP="00C04A45">
      <w:pPr>
        <w:pStyle w:val="BodyText"/>
      </w:pPr>
      <w:r w:rsidRPr="003666BE">
        <w:t>With these caveats in mind, there are still several important insights in figure S4. The model estimated change in Brazil’s oilseed harvested area is a third of the value of the harvested area indicated by FAOSTAT. Because the simulated area is the area needed to produce the observed change in oilseed production (also from FAOSTAT, table S3), this suggests that the model is overestimating either the productivity of land or the input use response to changes in prices in Brazil. This is also true in Paraguay and Bolivia, but not in Argentina). Both responses, productivity, and input use, are regulated by model parameters (See sensitivity analysis in text S4).</w:t>
      </w:r>
    </w:p>
    <w:p w14:paraId="03EA2BEE" w14:textId="77777777" w:rsidR="00C04A45" w:rsidRPr="003666BE" w:rsidRDefault="00C04A45" w:rsidP="00C04A45">
      <w:pPr>
        <w:pStyle w:val="BodyText"/>
      </w:pPr>
      <w:r w:rsidRPr="003666BE">
        <w:t>In contrast, the model overestimates cropland expansion in Argentina and Brazil and underestimates cropland expansion in Bolivia and Paraguay. The drivers of cropland change include assumptions about productivity but also depend on demand for other land-based commodities and the supply response of all the regions in the model. Below we test the sensitivity of our results to different configurations of demand and productivity shocks.</w:t>
      </w:r>
    </w:p>
    <w:p w14:paraId="49A3EF73" w14:textId="77777777" w:rsidR="00C04A45" w:rsidRPr="003666BE" w:rsidRDefault="00C04A45" w:rsidP="00C04A45">
      <w:pPr>
        <w:pStyle w:val="BodyText"/>
      </w:pPr>
      <w:r w:rsidRPr="003666BE">
        <w:t>In general, the model underestimates deforestation, which is not entirely surprising due to very different definitions of forests in GTAP (accessible forests for which a land rent can be imputed) which are a subset of the total forested area reported by FAOSTAT.</w:t>
      </w:r>
    </w:p>
    <w:p w14:paraId="76C3D93C" w14:textId="77777777" w:rsidR="006B1BBB" w:rsidRPr="003666BE" w:rsidRDefault="006B1BBB" w:rsidP="006B1BBB">
      <w:pPr>
        <w:pStyle w:val="Heading2"/>
      </w:pPr>
      <w:r w:rsidRPr="003666BE">
        <w:t>Sensitivity analysis</w:t>
      </w:r>
    </w:p>
    <w:p w14:paraId="5271BED8" w14:textId="77777777" w:rsidR="006B1BBB" w:rsidRPr="003666BE" w:rsidRDefault="006B1BBB" w:rsidP="006B1BBB">
      <w:pPr>
        <w:pStyle w:val="Heading3"/>
        <w:rPr>
          <w:rFonts w:cs="Times New Roman"/>
        </w:rPr>
      </w:pPr>
      <w:r w:rsidRPr="003666BE">
        <w:rPr>
          <w:rFonts w:cs="Times New Roman"/>
        </w:rPr>
        <w:t>To Forest Definitions</w:t>
      </w:r>
    </w:p>
    <w:p w14:paraId="70B33B9C" w14:textId="04756033" w:rsidR="006B1BBB" w:rsidRPr="003666BE" w:rsidRDefault="006B1BBB" w:rsidP="006B1BBB">
      <w:pPr>
        <w:pStyle w:val="BodyText"/>
      </w:pPr>
      <w:r w:rsidRPr="003666BE">
        <w:t>We allowed for two different definitions of forests in Brazil to accommodate different biome characteristics and ZDC</w:t>
      </w:r>
      <w:r w:rsidR="0078081C" w:rsidRPr="003666BE">
        <w:t>P</w:t>
      </w:r>
      <w:r w:rsidRPr="003666BE">
        <w:t xml:space="preserve"> targets </w:t>
      </w:r>
      <w:r w:rsidRPr="003666BE">
        <w:fldChar w:fldCharType="begin"/>
      </w:r>
      <w:r w:rsidR="000D6366">
        <w:instrText xml:space="preserve"> ADDIN ZOTERO_ITEM CSL_CITATION {"citationID":"TdKWgdaA","properties":{"formattedCitation":"\\super 5\\nosupersub{}","plainCitation":"5","noteIndex":0},"citationItems":[{"id":11300,"uris":["http://zotero.org/users/2600/items/9B3KKIUQ"],"uri":["http://zotero.org/users/2600/items/9B3KKIUQ"],"itemData":{"id":11300,"type":"report","note":"Citation Key: inpeDeforestationLegalAmazon","publisher":"National institute for space research","title":"Deforestation – Legal Amazon","URL":"http://terrabrasilis.dpi.inpe.br/downloads/","author":[{"literal":"INPE"}],"accessed":{"date-parts":[["2020",6,1]]}}}],"schema":"https://github.com/citation-style-language/schema/raw/master/csl-citation.json"} </w:instrText>
      </w:r>
      <w:r w:rsidRPr="003666BE">
        <w:fldChar w:fldCharType="separate"/>
      </w:r>
      <w:r w:rsidR="006C5ECD" w:rsidRPr="006C5ECD">
        <w:rPr>
          <w:vertAlign w:val="superscript"/>
        </w:rPr>
        <w:t>5</w:t>
      </w:r>
      <w:r w:rsidRPr="003666BE">
        <w:fldChar w:fldCharType="end"/>
      </w:r>
      <w:r w:rsidRPr="003666BE">
        <w:t>. Definition A was exclusively based on mapped forest cover. Definition B included natural grasslands outside the Amazon Biome, which may have high conservation value and are included in some traders ZDC</w:t>
      </w:r>
      <w:r w:rsidR="0078081C" w:rsidRPr="003666BE">
        <w:t>P</w:t>
      </w:r>
      <w:r w:rsidRPr="003666BE">
        <w:t xml:space="preserve"> definition [e.g., “Transforms our supply chain to be deforestation free while protecting native vegetation beyond forests.” </w:t>
      </w:r>
      <w:r w:rsidRPr="003666BE">
        <w:fldChar w:fldCharType="begin"/>
      </w:r>
      <w:r w:rsidR="000D6366">
        <w:instrText xml:space="preserve"> ADDIN ZOTERO_ITEM CSL_CITATION {"citationID":"rSLGdh14","properties":{"formattedCitation":"\\super 6\\nosupersub{}","plainCitation":"6","noteIndex":0},"citationItems":[{"id":11301,"uris":["http://zotero.org/users/2600/items/8CF4KPKX"],"uri":["http://zotero.org/users/2600/items/8CF4KPKX"],"itemData":{"id":11301,"type":"report","note":"Citation Key: cargilCargillPolicySustainable2019","title":"Cargill Policy on Sustainable Soy – South American Origins","URL":"https://www.cargill.com/doc/1432136544508/cargill-policy-on-south-american-soy.pdf","author":[{"literal":"CARGIL"}],"issued":{"date-parts":[["2019"]]}}}],"schema":"https://github.com/citation-style-language/schema/raw/master/csl-citation.json"} </w:instrText>
      </w:r>
      <w:r w:rsidRPr="003666BE">
        <w:fldChar w:fldCharType="separate"/>
      </w:r>
      <w:r w:rsidR="006C5ECD" w:rsidRPr="006C5ECD">
        <w:rPr>
          <w:vertAlign w:val="superscript"/>
        </w:rPr>
        <w:t>6</w:t>
      </w:r>
      <w:r w:rsidRPr="003666BE">
        <w:fldChar w:fldCharType="end"/>
      </w:r>
      <w:r w:rsidRPr="003666BE">
        <w:t>]. Our main results are robust to the two different definition of forests we employ in the paper (</w:t>
      </w:r>
      <w:r w:rsidR="00353483" w:rsidRPr="003666BE">
        <w:t>Fig.</w:t>
      </w:r>
      <w:r w:rsidRPr="003666BE">
        <w:t xml:space="preserve"> S</w:t>
      </w:r>
      <w:r w:rsidR="00A8097A">
        <w:t>4</w:t>
      </w:r>
      <w:r w:rsidRPr="003666BE">
        <w:t xml:space="preserve">). </w:t>
      </w:r>
    </w:p>
    <w:p w14:paraId="2702B307" w14:textId="77777777" w:rsidR="006B1BBB" w:rsidRPr="003666BE" w:rsidRDefault="006B1BBB" w:rsidP="006B1BBB">
      <w:pPr>
        <w:pStyle w:val="Heading3"/>
        <w:rPr>
          <w:rFonts w:cs="Times New Roman"/>
        </w:rPr>
      </w:pPr>
      <w:r w:rsidRPr="003666BE">
        <w:rPr>
          <w:rFonts w:cs="Times New Roman"/>
        </w:rPr>
        <w:t>To Model Parameters</w:t>
      </w:r>
    </w:p>
    <w:p w14:paraId="2D9AE7FD" w14:textId="3EA0CBF9" w:rsidR="006B1BBB" w:rsidRPr="003666BE" w:rsidRDefault="006B1BBB" w:rsidP="006B1BBB">
      <w:pPr>
        <w:pStyle w:val="BodyText"/>
      </w:pPr>
      <w:r w:rsidRPr="003666BE">
        <w:t xml:space="preserve">To bound the uncertainty of results due to uncertainty in model parameters we conduct systematic sensitivity analysis of the deforestation outcomes in the BBAP region to uncertainty in a set of key parameters </w:t>
      </w:r>
      <w:r w:rsidRPr="003666BE">
        <w:fldChar w:fldCharType="begin"/>
      </w:r>
      <w:r w:rsidR="000D6366">
        <w:instrText xml:space="preserve"> ADDIN ZOTERO_ITEM CSL_CITATION {"citationID":"1eguQBoI","properties":{"formattedCitation":"\\super 7,8\\nosupersub{}","plainCitation":"7,8","noteIndex":0},"citationItems":[{"id":117,"uris":["http://zotero.org/users/2600/items/DBZ33ZM2"],"uri":["http://zotero.org/users/2600/items/DBZ33ZM2"],"itemData":{"id":117,"type":"article-journal","container-title":"BioScience","ISSN":"0006-3568","issue":"3","note":"Citation Key: hertel2010a","page":"223-231","source":"BioOne","title":"Effects of US Maize Ethanol on Global Land Use and Greenhouse Gas Emissions: Estimating Market-Mediated Responses","title-short":"Effects of US Maize Ethanol on Global Land Use and Greenhouse Gas Emissions","volume":"60","author":[{"family":"Hertel","given":"Thomas W."},{"family":"Golub","given":"Alla A."},{"family":"Jones","given":"Andrew D."},{"family":"O'Hare","given":"Michael"},{"family":"Plevin","given":"Richard J."},{"family":"Kammen","given":"Daniel M."}],"issued":{"date-parts":[["2010",3,1]]}}},{"id":111,"uris":["http://zotero.org/users/2600/items/GQPH75R5"],"uri":["http://zotero.org/users/2600/items/GQPH75R5"],"itemData":{"id":111,"type":"article-journal","abstract":"Successful adaptation of agriculture to ongoing climate changes would help to maintain productivity growth and thereby reduce pressure to bring new lands into agriculture. In this paper we investigate the potential co-benefits of adaptation in terms of the avoided emissions from land use change. A model of global agricultural trade and land use, called SIMPLE, is utilized to link adaptation investments, yield growth rates, land conversion rates, and land use emissions. A scenario of global adaptation to offset negative yield impacts of temperature and precipitation changes to 2050, which requires a cumulative 225 billion USD of additional investment, results in 61 Mha less conversion of cropland and 15 Gt carbon dioxide equivalent (CO2e) fewer emissions by 2050. Thus our estimates imply an annual mitigation co-benefit of 0.35 GtCO2e yr−1 while spending $15 per tonne CO2e of avoided emissions. Uncertainty analysis is used to estimate a 5–95% confidence interval around these numbers of 0.25–0.43 Gt and $11–$22 per tonne CO2e. A scenario of adaptation focused only on Sub-Saharan Africa and Latin America, while less costly in aggregate, results in much smaller mitigation potentials and higher per tonne costs. These results indicate that although investing in the least developed areas may be most desirable for the main objectives of adaptation, it has little net effect on mitigation because production gains are offset by greater rates of land clearing in the benefited regions, which are relatively low yielding and land abundant. Adaptation investments in high yielding, land scarce regions such as Asia and North America are more effective for mitigation.To identify data needs, we conduct a sensitivity analysis using the Morris method (Morris 1991 Technometrics 33 161–74). The three most critical parameters for improving estimates of mitigation potential are (in descending order) the emissions factors for converting land to agriculture, the price elasticity of land supply with respect to land rents, and the elasticity of substitution between land and non-land inputs. For assessing the mitigation costs, the elasticity of productivity with respect to investments in research and development is also very important. Overall, this study finds that broad-based efforts to adapt agriculture to climate change have mitigation co-benefits that, even when forced to shoulder the entire expense of adaptation, are inexpensive relative to many activities whose main purpose is mitigation. These results therefore challenge the current approach of most climate financing portfolios, which support adaptation from funds completely separate from—and often much smaller than—mitigation ones.","container-title":"Environmental Research Letters","ISSN":"1748-9326","issue":"1","journalAbbreviation":"Environ. Res. Lett.","language":"en","note":"Citation Key: lobell2013","page":"015012","source":"Institute of Physics","title":"Climate Adaptation as Mitigation: The Case of Agricultural Investments","title-short":"Climate adaptation as mitigation","volume":"8","author":[{"family":"Lobell","given":"David B."},{"family":"Baldos","given":"Uris Lantz C."},{"family":"Hertel","given":"Thomas W."}],"issued":{"date-parts":[["2013",3,1]]}}}],"schema":"https://github.com/citation-style-language/schema/raw/master/csl-citation.json"} </w:instrText>
      </w:r>
      <w:r w:rsidRPr="003666BE">
        <w:fldChar w:fldCharType="separate"/>
      </w:r>
      <w:r w:rsidR="006C5ECD" w:rsidRPr="006C5ECD">
        <w:rPr>
          <w:vertAlign w:val="superscript"/>
        </w:rPr>
        <w:t>7,8</w:t>
      </w:r>
      <w:r w:rsidRPr="003666BE">
        <w:fldChar w:fldCharType="end"/>
      </w:r>
      <w:r w:rsidRPr="003666BE">
        <w:t xml:space="preserve">. Systematic sensitivity analysis consists in solving the model repeatedly, each time under a different set of parameter values that span the range of the plausible distribution of the underlying unobserved </w:t>
      </w:r>
      <w:r w:rsidRPr="003666BE">
        <w:rPr>
          <w:i/>
          <w:iCs/>
        </w:rPr>
        <w:t>true</w:t>
      </w:r>
      <w:r w:rsidRPr="003666BE">
        <w:t xml:space="preserve"> parameter. We use the Gaussian quadrature techniques customary in the applied general equilibrium literature </w:t>
      </w:r>
      <w:r w:rsidRPr="003666BE">
        <w:fldChar w:fldCharType="begin"/>
      </w:r>
      <w:r w:rsidR="000D6366">
        <w:instrText xml:space="preserve"> ADDIN ZOTERO_ITEM CSL_CITATION {"citationID":"dzSl5Bhu","properties":{"formattedCitation":"\\super 9,10\\nosupersub{}","plainCitation":"9,10","noteIndex":0},"citationItems":[{"id":1366,"uris":["http://zotero.org/users/2600/items/DZ4BTM58"],"uri":["http://zotero.org/users/2600/items/DZ4BTM58"],"itemData":{"id":1366,"type":"article-journal","abstract":"Sensitivity analysis for economic equilibrium models is critical for establishing the robustness of model results. A systematic method for parametric sensitivity analysis based on the Gaussian quadrature procedure for numerical integration is presented. The approach is compared to those of Harrison and Vinod and of Pagan and Shannon for the case of a computable general equilibrium model due to Walley and Wigle. The results suggest greater efficiency of the Gaussian quadrature approach.","container-title":"Journal of Policy Modeling","ISSN":"0161-8938","issue":"2","note":"Citation Key: devuyst1997","page":"175-185","source":"ScienceDirect","title":"Sensitivity analysis revisited: A quadrature-based approach","title-short":"Sensitivity analysis revisited","volume":"19","author":[{"family":"DeVuyst","given":"Eric A."},{"family":"Preckel","given":"Paul V."}],"issued":{"date-parts":[["1997",4]]}}},{"id":60,"uris":["http://zotero.org/users/2600/items/IBMGKRHJ"],"uri":["http://zotero.org/users/2600/items/IBMGKRHJ"],"itemData":{"id":60,"type":"report","abstract":"First version September 1996, revised in November 2000\n\n\n\nIn economic simulation, results often hinge crucially on values of key exogenous inputs (the values of the parameters of the model and the shocks applied). Computational burden has, in the past, hindered systematic investigation of the impacts of variations in these key exogenous inputs. In this document, practical methods for conducting systematic sensitivity analysis for any model implemented using the GEMPACK suite of software are documented.\n\n\n\nThe procedures described here are based on GTAP Technical Paper number 2 which sets out the theory behind the Gaussian quadrature methods on which the automated procedure is based. The procedures allow modellers to obtain estimates of the means and standard deviations of any endogenous variables of their model. The model only needs to be solved a relatively modest number of times (usually only 2N times if N exogenous inputs are varying); this is considerably fewer than the number of solves required by Monte Carlo methods. The procedure documented here fully automates solving the model as often as is necessary; once the user sets it up and starts it running, no further intervention is required.\n\n\n\nThe document spells out the assumptions which must be made about the distribution of the exogenous inputs for the methods described to be valid.\n\n\n\nFive examples of systematic sensitivity computations are presented and the accompanying software allows modellers to work through these examples while reading the document.\n\n\n\nThis should leave readers fully prepared to analyse the sensitivity of results for any model implemented in GEMPACK.\n\n\n\n&lt;b&gt;Note Added November 2000:&lt;/b&gt;\n\n\n\nThe Windows programs RunGTAP and RunGEM now provide much easier ways of carrying out systematic sensitivity calculations than those supplied with this Technical Paper.  If unsure, please contact &lt;a href","collection-title":"GTAP  Technical Paper","event-place":"West Lafayette  IN","genre":"Technical Paper","language":"English","note":"Citation Key: pearson2000","number":"03","publisher":"Purdue University","publisher-place":"West Lafayette  IN","title":"Implementing Systematic Sensitivity Analysis Using GEMPACK","author":[{"family":"Pearson","given":"Ken"},{"family":"Arndt","given":"Channing"}],"issued":{"date-parts":[["2000"]]}}}],"schema":"https://github.com/citation-style-language/schema/raw/master/csl-citation.json"} </w:instrText>
      </w:r>
      <w:r w:rsidRPr="003666BE">
        <w:fldChar w:fldCharType="separate"/>
      </w:r>
      <w:r w:rsidR="006C5ECD" w:rsidRPr="006C5ECD">
        <w:rPr>
          <w:vertAlign w:val="superscript"/>
        </w:rPr>
        <w:t>9,10</w:t>
      </w:r>
      <w:r w:rsidRPr="003666BE">
        <w:fldChar w:fldCharType="end"/>
      </w:r>
      <w:r w:rsidRPr="003666BE">
        <w:t xml:space="preserve">.  Gaussian quadrature sampling allows for a drastic reduction of the samples needed to obtain meaningful estimates of the mean and standard deviation of modeling outcomes conditional on specific parameter values. We follow closely Hertel et al. </w:t>
      </w:r>
      <w:r w:rsidRPr="003666BE">
        <w:fldChar w:fldCharType="begin"/>
      </w:r>
      <w:r w:rsidR="000D6366">
        <w:instrText xml:space="preserve"> ADDIN ZOTERO_ITEM CSL_CITATION {"citationID":"dHZH6WY3","properties":{"formattedCitation":"\\super 7\\nosupersub{}","plainCitation":"7","noteIndex":0},"citationItems":[{"id":117,"uris":["http://zotero.org/users/2600/items/DBZ33ZM2"],"uri":["http://zotero.org/users/2600/items/DBZ33ZM2"],"itemData":{"id":117,"type":"article-journal","container-title":"BioScience","ISSN":"0006-3568","issue":"3","note":"Citation Key: hertel2010a","page":"223-231","source":"BioOne","title":"Effects of US Maize Ethanol on Global Land Use and Greenhouse Gas Emissions: Estimating Market-Mediated Responses","title-short":"Effects of US Maize Ethanol on Global Land Use and Greenhouse Gas Emissions","volume":"60","author":[{"family":"Hertel","given":"Thomas W."},{"family":"Golub","given":"Alla A."},{"family":"Jones","given":"Andrew D."},{"family":"O'Hare","given":"Michael"},{"family":"Plevin","given":"Richard J."},{"family":"Kammen","given":"Daniel M."}],"issued":{"date-parts":[["2010",3,1]]}}}],"schema":"https://github.com/citation-style-language/schema/raw/master/csl-citation.json"} </w:instrText>
      </w:r>
      <w:r w:rsidRPr="003666BE">
        <w:fldChar w:fldCharType="separate"/>
      </w:r>
      <w:r w:rsidR="006C5ECD" w:rsidRPr="006C5ECD">
        <w:rPr>
          <w:vertAlign w:val="superscript"/>
        </w:rPr>
        <w:t>7</w:t>
      </w:r>
      <w:r w:rsidRPr="003666BE">
        <w:fldChar w:fldCharType="end"/>
      </w:r>
      <w:r w:rsidRPr="003666BE">
        <w:t>, and focus on the following parameters:</w:t>
      </w:r>
    </w:p>
    <w:p w14:paraId="2AC2A396" w14:textId="77777777" w:rsidR="006B1BBB" w:rsidRPr="003666BE" w:rsidRDefault="006B1BBB" w:rsidP="006B1BBB">
      <w:pPr>
        <w:pStyle w:val="BodyText"/>
        <w:numPr>
          <w:ilvl w:val="0"/>
          <w:numId w:val="34"/>
        </w:numPr>
      </w:pPr>
      <w:r w:rsidRPr="003666BE">
        <w:t xml:space="preserve">The elasticity of crop yields with respect to crop prices, which regulates the ease with which land can be substituted for other inputs to increase yields. The default GTAP-AEZ </w:t>
      </w:r>
      <w:r w:rsidRPr="003666BE">
        <w:lastRenderedPageBreak/>
        <w:t>value is 0.25, and we allow it to vary between 0 and 0.5, assuming a triangular distribution.</w:t>
      </w:r>
    </w:p>
    <w:p w14:paraId="080A80B2" w14:textId="657F5DD3" w:rsidR="006B1BBB" w:rsidRPr="003666BE" w:rsidRDefault="006B1BBB" w:rsidP="006B1BBB">
      <w:pPr>
        <w:pStyle w:val="BodyText"/>
        <w:numPr>
          <w:ilvl w:val="0"/>
          <w:numId w:val="34"/>
        </w:numPr>
      </w:pPr>
      <w:r w:rsidRPr="003666BE">
        <w:t>The elasticities of transformation between forests and agricultural lands and between cropland and pastures (Ω</w:t>
      </w:r>
      <w:r w:rsidRPr="003666BE">
        <w:rPr>
          <w:vertAlign w:val="subscript"/>
        </w:rPr>
        <w:t>1</w:t>
      </w:r>
      <w:r w:rsidRPr="003666BE">
        <w:t xml:space="preserve"> and Ω</w:t>
      </w:r>
      <w:r w:rsidRPr="003666BE">
        <w:rPr>
          <w:vertAlign w:val="subscript"/>
        </w:rPr>
        <w:t>2</w:t>
      </w:r>
      <w:r w:rsidRPr="003666BE">
        <w:t xml:space="preserve"> in </w:t>
      </w:r>
      <w:r w:rsidR="00353483" w:rsidRPr="003666BE">
        <w:t>Fig.</w:t>
      </w:r>
      <w:r w:rsidRPr="003666BE">
        <w:t xml:space="preserve"> </w:t>
      </w:r>
      <w:r w:rsidR="00417309" w:rsidRPr="003666BE">
        <w:t>S4</w:t>
      </w:r>
      <w:r w:rsidRPr="003666BE">
        <w:t>). We vary these two parameters by 80% assuming the values follow a triangular distribution.</w:t>
      </w:r>
    </w:p>
    <w:p w14:paraId="15F7DFEB" w14:textId="7A93C15E" w:rsidR="006B1BBB" w:rsidRPr="003666BE" w:rsidRDefault="006B1BBB" w:rsidP="006B1BBB">
      <w:pPr>
        <w:pStyle w:val="BodyText"/>
        <w:numPr>
          <w:ilvl w:val="0"/>
          <w:numId w:val="34"/>
        </w:numPr>
      </w:pPr>
      <w:r w:rsidRPr="003666BE">
        <w:t xml:space="preserve">The elasticity of substitution of imports across different exporters (Armington Elasticities). The means and standard deviations of these parameters were estimated by Hertel et al. </w:t>
      </w:r>
      <w:r w:rsidRPr="003666BE">
        <w:fldChar w:fldCharType="begin"/>
      </w:r>
      <w:r w:rsidR="000D6366">
        <w:instrText xml:space="preserve"> ADDIN ZOTERO_ITEM CSL_CITATION {"citationID":"z33ulWZP","properties":{"formattedCitation":"\\super 11\\nosupersub{}","plainCitation":"11","noteIndex":0},"citationItems":[{"id":1353,"uris":["http://zotero.org/users/2600/items/W4UTXFJW"],"uri":["http://zotero.org/users/2600/items/W4UTXFJW"],"itemData":{"id":1353,"type":"article-journal","abstract":"Computable General Equilibrium models, widely used for the analysis of Free Trade Agreements, are often criticized for having poor econometric foundations. This paper improves the linkage between econometric estimates of key parameters and their usage in CGE analysis in order to better evaluate the likely outcome of a Free Trade Area of the Americas (FTAA). Our econometric work focuses on estimation of a particular parameter, the elasticity of substitution among imports from different countries, which we show to be central to our evaluation of the normative impacts of the FTAA. We match the data in the econometric exercise to the policy experiment at hand, and employ both point estimates and the associated standard errors in our FTAA analysis which takes explicit account of the degree of uncertainty in the underlying parameters. In particular, we sample from the distribution of parameter values given by our econometric estimates in order to generate a distribution of model results, from which we can construct confidence intervals. We find that imports increase in all regions of the world as a result of the FTAA, and this outcome is robust to variation in the trade elasticities. Nine of the thirteen FTAA regions experience a welfare gain in which we are more than 95% confident. We conclude that there is great potential for combining econometric work with CGE-based policy analysis in order to produce a richer set of results that are likely to prove more satisfying to the sophisticated policy maker.","container-title":"Economic Modelling","ISSN":"0264-9993","issue":"4","note":"Citation Key: hertel2007","page":"611-635","source":"ScienceDirect","title":"How confident can we be of CGE-based assessments of Free Trade Agreements?","volume":"24","author":[{"family":"Hertel","given":"Thomas W."},{"family":"Hummels","given":"David"},{"family":"Ivanic","given":"Maros"},{"family":"Keeney","given":"Roman"}],"issued":{"date-parts":[["2007",7]]}}}],"schema":"https://github.com/citation-style-language/schema/raw/master/csl-citation.json"} </w:instrText>
      </w:r>
      <w:r w:rsidRPr="003666BE">
        <w:fldChar w:fldCharType="separate"/>
      </w:r>
      <w:r w:rsidR="006C5ECD" w:rsidRPr="006C5ECD">
        <w:rPr>
          <w:vertAlign w:val="superscript"/>
        </w:rPr>
        <w:t>11</w:t>
      </w:r>
      <w:r w:rsidRPr="003666BE">
        <w:fldChar w:fldCharType="end"/>
      </w:r>
      <w:r w:rsidRPr="003666BE">
        <w:t>.</w:t>
      </w:r>
    </w:p>
    <w:p w14:paraId="6155F723" w14:textId="28066866" w:rsidR="006B1BBB" w:rsidRPr="003666BE" w:rsidRDefault="006B1BBB" w:rsidP="006B1BBB">
      <w:pPr>
        <w:pStyle w:val="BodyText"/>
        <w:numPr>
          <w:ilvl w:val="0"/>
          <w:numId w:val="34"/>
        </w:numPr>
      </w:pPr>
      <w:r w:rsidRPr="003666BE">
        <w:t xml:space="preserve">The elasticity of effective crop land with respect to harvested crop land expansion. The GTAP-AEZ model measures land in units of output value, or effective land. An effective unit of land combines both the physical area of land as well as its yield </w:t>
      </w:r>
      <w:r w:rsidRPr="003666BE">
        <w:fldChar w:fldCharType="begin"/>
      </w:r>
      <w:r w:rsidR="000D6366">
        <w:instrText xml:space="preserve"> ADDIN ZOTERO_ITEM CSL_CITATION {"citationID":"COyDNGTq","properties":{"formattedCitation":"\\super 12\\nosupersub{}","plainCitation":"12","noteIndex":0},"citationItems":[{"id":1153,"uris":["http://zotero.org/users/2600/items/94ZDUTKC"],"uri":["http://zotero.org/users/2600/items/94ZDUTKC"],"itemData":{"id":1153,"type":"chapter","abstract":"There is significant policy interest in liquid biofuels with appealing prospects for energy security, farm security, poverty alleviation, and climate change. Large-scale commercial biofuel production could have far reaching implications for regional and global markets â€“ particularly those related to energy and land use. As such, large-scale biofuels growth is likely to have significant impacts on global greenhouse gas (GHG) emissions. This paper utilizes a CGE model with explicit biofuel, land, and energy markets. The model is able to estimate the effects on the broad range of input and output markets potentially affected globally by biofuels policies. One of the most controversial issues within the biofuels debate is potential indirect changes in land use and, in particular, the resulting changes in forest carbon stocks. To uncover consequences of biofuel policies for forest carbon, we link our CGE model with a dynamic forward looking model of the forest sector. Within this framework, we evaluate the potential effects of US and multinational biofuels growth on changes in land use and emissions from changes in forest carbon stocks.","container-title":"Economic Analysis of Land Use in Global Climate Change Policy","event-place":"London and New York","note":"Citation Key: hertel2009a","page":"123-154","publisher":"Routledge","publisher-place":"London and New York","source":"RePEc","title":"Modeling Land-Use Related Greenhouse Gas Sources and Sinks and Their Mitigation Potential","author":[{"family":"Hertel","given":"Thomas W."},{"family":"Lee","given":"Huey-Lin"},{"family":"Rose","given":"Steven"},{"family":"Sohngen","given":"Brent"}],"editor":[{"family":"Hertel","given":"T. W."},{"family":"Rose","given":"Steven"},{"family":"Tol","given":"Richard"}],"accessed":{"date-parts":[["2010",9,2]]},"issued":{"date-parts":[["2009"]]}}}],"schema":"https://github.com/citation-style-language/schema/raw/master/csl-citation.json"} </w:instrText>
      </w:r>
      <w:r w:rsidRPr="003666BE">
        <w:fldChar w:fldCharType="separate"/>
      </w:r>
      <w:r w:rsidR="006C5ECD" w:rsidRPr="006C5ECD">
        <w:rPr>
          <w:vertAlign w:val="superscript"/>
        </w:rPr>
        <w:t>12</w:t>
      </w:r>
      <w:r w:rsidRPr="003666BE">
        <w:fldChar w:fldCharType="end"/>
      </w:r>
      <w:r w:rsidRPr="003666BE">
        <w:t xml:space="preserve">. An increment in effective cropland translates into an increase in physical cropland that needs to be adjusted by the yield of the land in which cropland is expanding. In the absence of published values of these elasticities </w:t>
      </w:r>
      <w:r w:rsidRPr="003666BE">
        <w:fldChar w:fldCharType="begin"/>
      </w:r>
      <w:r w:rsidR="000D6366">
        <w:instrText xml:space="preserve"> ADDIN ZOTERO_ITEM CSL_CITATION {"citationID":"q4FIA1m5","properties":{"formattedCitation":"\\super 7\\nosupersub{}","plainCitation":"7","noteIndex":0},"citationItems":[{"id":117,"uris":["http://zotero.org/users/2600/items/DBZ33ZM2"],"uri":["http://zotero.org/users/2600/items/DBZ33ZM2"],"itemData":{"id":117,"type":"article-journal","container-title":"BioScience","ISSN":"0006-3568","issue":"3","note":"Citation Key: hertel2010a","page":"223-231","source":"BioOne","title":"Effects of US Maize Ethanol on Global Land Use and Greenhouse Gas Emissions: Estimating Market-Mediated Responses","title-short":"Effects of US Maize Ethanol on Global Land Use and Greenhouse Gas Emissions","volume":"60","author":[{"family":"Hertel","given":"Thomas W."},{"family":"Golub","given":"Alla A."},{"family":"Jones","given":"Andrew D."},{"family":"O'Hare","given":"Michael"},{"family":"Plevin","given":"Richard J."},{"family":"Kammen","given":"Daniel M."}],"issued":{"date-parts":[["2010",3,1]]}}}],"schema":"https://github.com/citation-style-language/schema/raw/master/csl-citation.json"} </w:instrText>
      </w:r>
      <w:r w:rsidRPr="003666BE">
        <w:fldChar w:fldCharType="separate"/>
      </w:r>
      <w:r w:rsidR="006C5ECD" w:rsidRPr="006C5ECD">
        <w:rPr>
          <w:vertAlign w:val="superscript"/>
        </w:rPr>
        <w:t>7</w:t>
      </w:r>
      <w:r w:rsidRPr="003666BE">
        <w:fldChar w:fldCharType="end"/>
      </w:r>
      <w:r w:rsidRPr="003666BE">
        <w:t xml:space="preserve">, the standard GTAP-AEZ model assumes that marginal lands brought into crop production are two-thirds as productive as lands currently in use, which is captured by the elasticity of effective cropland (ETA) with respect to harvested crop land expansion (ETA=0.66). In other words, a hectare of current land would need to be replaced for three hectares of marginal lands to get the same output. This value in line with the assumption that marginal lands are much less productive than the average of land currently in production. Recent estimates using terrestrial ecosystem models (TEM) suggest that the productivity of marginal lands in Brazil and other tropical countries is close to those of land under production (ETA ≈ 0.9) </w:t>
      </w:r>
      <w:r w:rsidRPr="003666BE">
        <w:fldChar w:fldCharType="begin"/>
      </w:r>
      <w:r w:rsidR="000D6366">
        <w:instrText xml:space="preserve"> ADDIN ZOTERO_ITEM CSL_CITATION {"citationID":"G5EA2xtn","properties":{"formattedCitation":"\\super 13\\nosupersub{}","plainCitation":"13","noteIndex":0},"citationItems":[{"id":1244,"uris":["http://zotero.org/users/2600/items/A9MHIHCU"],"uri":["http://zotero.org/users/2600/items/A9MHIHCU"],"itemData":{"id":1244,"type":"article-journal","abstract":"Recently, several papers have assessed land use consequences of biofuel expansion. In the absence of empirical evidence, these papers assigned subjective values to extensive margin (productivity of new croplands over productivity of existing croplands).","container-title":"Energy, Sustainability and Society","DOI":"10.1186/2192-0567-2-25","ISSN":"2192-0567","issue":"1","language":"en","note":"Citation Key: taheripour2012","page":"25","source":"www.energsustainsoc.com","title":"Biofuels, cropland expansion, and the extensive margin","volume":"2","author":[{"family":"Taheripour","given":"Farzad"},{"family":"Zhuang","given":"Qianlai"},{"family":"Tyner","given":"Wallace E."},{"family":"Lu","given":"Xiaoliang"}],"issued":{"date-parts":[["2012",12,28]]}}}],"schema":"https://github.com/citation-style-language/schema/raw/master/csl-citation.json"} </w:instrText>
      </w:r>
      <w:r w:rsidRPr="003666BE">
        <w:fldChar w:fldCharType="separate"/>
      </w:r>
      <w:r w:rsidR="006C5ECD" w:rsidRPr="006C5ECD">
        <w:rPr>
          <w:vertAlign w:val="superscript"/>
        </w:rPr>
        <w:t>13</w:t>
      </w:r>
      <w:r w:rsidRPr="003666BE">
        <w:fldChar w:fldCharType="end"/>
      </w:r>
      <w:r w:rsidRPr="003666BE">
        <w:t xml:space="preserve">; in contrast, evidence from stochastic frontier analysis, suggest a much larger gap between the natural productivity of land in the Cerrado relative to established farms elsewhere in Brazil; available estimates indicate that farms in Cerrado use 2.8 more (quality-adjusted) land than farms elsewhere </w:t>
      </w:r>
      <w:r w:rsidRPr="003666BE">
        <w:fldChar w:fldCharType="begin"/>
      </w:r>
      <w:r w:rsidR="000D6366">
        <w:instrText xml:space="preserve"> ADDIN ZOTERO_ITEM CSL_CITATION {"citationID":"u8y9cHrq","properties":{"formattedCitation":"\\super 14\\nosupersub{}","plainCitation":"14","noteIndex":0},"citationItems":[{"id":10051,"uris":["http://zotero.org/users/2600/items/Y47JV645"],"uri":["http://zotero.org/users/2600/items/Y47JV645"],"itemData":{"id":10051,"type":"article-journal","abstract":"Brazil’s emergence as a primary global agricultural producer is often credited to production expansion into soils of the Brazilian savannah or Cerrado. These soils are, however, deficient in important nutrients and prone to degradation, requiring input-intensive processes that suggest a low level of productive efficiency. Employing a sequence of agricultural censuses and a biome approach for characterizing agricultural zones, the present study evaluates the Cerrado’s total factor productivity growth and productive potential. The analysis highlights the resource cost of Brazil’s “Cerrado Miracle,” the role of paved road infrastructure in expanding production opportunities, and the significant production gains that the Cerrado may yet achieve. Results suggest a substantial productivity gap between the Cerrado’s most efficient and average producers, implying that Cerrado production might well be further boosted if average producers succeed in adopting the technologies and management practices of the more efficient operators. More generally, and to the extent the Cerrado model is generalizable elsewhere, agricultural development of the world’s savannahs, such as Sub-Saharan Africa’s Guinea regions, into breadbaskets will be expensive in terms of material inputs such as fertilizers and pesticides, depending for their success therefore on the real prices of these inputs.","container-title":"Food Policy","DOI":"10.1016/j.foodpol.2012.11.002","ISSN":"0306-9192","journalAbbreviation":"Food Policy","language":"en","note":"Citation Key: rada2013","page":"146-155","source":"ScienceDirect","title":"Assessing Brazil’s Cerrado agricultural miracle","volume":"38","author":[{"family":"Rada","given":"Nicholas"}],"issued":{"date-parts":[["2013",2,1]]}}}],"schema":"https://github.com/citation-style-language/schema/raw/master/csl-citation.json"} </w:instrText>
      </w:r>
      <w:r w:rsidRPr="003666BE">
        <w:fldChar w:fldCharType="separate"/>
      </w:r>
      <w:r w:rsidR="006C5ECD" w:rsidRPr="006C5ECD">
        <w:rPr>
          <w:vertAlign w:val="superscript"/>
        </w:rPr>
        <w:t>14</w:t>
      </w:r>
      <w:r w:rsidRPr="003666BE">
        <w:fldChar w:fldCharType="end"/>
      </w:r>
      <w:r w:rsidRPr="003666BE">
        <w:t xml:space="preserve">—this is a result consistent with ETA=0.66. Given this evidence, we set the default value of this parameter as 0.66 and we allow it to vary symmetrically (using a triangular distribution) by an ordinary change of 0.24, which effectively imposes an upper bound of 0.90, the maximum value reported in the literature </w:t>
      </w:r>
      <w:r w:rsidRPr="003666BE">
        <w:fldChar w:fldCharType="begin"/>
      </w:r>
      <w:r w:rsidR="000D6366">
        <w:instrText xml:space="preserve"> ADDIN ZOTERO_ITEM CSL_CITATION {"citationID":"UIJjHO9l","properties":{"formattedCitation":"\\super 13\\nosupersub{}","plainCitation":"13","noteIndex":0},"citationItems":[{"id":1244,"uris":["http://zotero.org/users/2600/items/A9MHIHCU"],"uri":["http://zotero.org/users/2600/items/A9MHIHCU"],"itemData":{"id":1244,"type":"article-journal","abstract":"Recently, several papers have assessed land use consequences of biofuel expansion. In the absence of empirical evidence, these papers assigned subjective values to extensive margin (productivity of new croplands over productivity of existing croplands).","container-title":"Energy, Sustainability and Society","DOI":"10.1186/2192-0567-2-25","ISSN":"2192-0567","issue":"1","language":"en","note":"Citation Key: taheripour2012","page":"25","source":"www.energsustainsoc.com","title":"Biofuels, cropland expansion, and the extensive margin","volume":"2","author":[{"family":"Taheripour","given":"Farzad"},{"family":"Zhuang","given":"Qianlai"},{"family":"Tyner","given":"Wallace E."},{"family":"Lu","given":"Xiaoliang"}],"issued":{"date-parts":[["2012",12,28]]}}}],"schema":"https://github.com/citation-style-language/schema/raw/master/csl-citation.json"} </w:instrText>
      </w:r>
      <w:r w:rsidRPr="003666BE">
        <w:fldChar w:fldCharType="separate"/>
      </w:r>
      <w:r w:rsidR="006C5ECD" w:rsidRPr="006C5ECD">
        <w:rPr>
          <w:vertAlign w:val="superscript"/>
        </w:rPr>
        <w:t>13</w:t>
      </w:r>
      <w:r w:rsidRPr="003666BE">
        <w:fldChar w:fldCharType="end"/>
      </w:r>
      <w:r w:rsidRPr="003666BE">
        <w:t xml:space="preserve">. </w:t>
      </w:r>
    </w:p>
    <w:p w14:paraId="39F6DF78" w14:textId="1EAE92E0" w:rsidR="006B1BBB" w:rsidRPr="003666BE" w:rsidRDefault="006B1BBB" w:rsidP="006B1BBB">
      <w:pPr>
        <w:pStyle w:val="BodyText"/>
      </w:pPr>
      <w:r w:rsidRPr="003666BE">
        <w:t>The confidence intervals estimated for the forest outcomes in Brazil indicate that such outcomes are statistically significant in the sense that zero is not contained in the intervals (</w:t>
      </w:r>
      <w:r w:rsidR="00353483" w:rsidRPr="003666BE">
        <w:t>Fig.</w:t>
      </w:r>
      <w:r w:rsidRPr="003666BE">
        <w:t xml:space="preserve"> S</w:t>
      </w:r>
      <w:r w:rsidR="00A8097A">
        <w:t>5</w:t>
      </w:r>
      <w:r w:rsidRPr="003666BE">
        <w:t>. For Argentina, Bolivia and Paraguay, the confidence intervals contain zero, indicating that parameter uncertainty is more important for these regions. These results underscore the urgency of refining land use parameters for agricultural frontiers countries of South America outside of Brazil.</w:t>
      </w:r>
    </w:p>
    <w:p w14:paraId="4EE7CBB2" w14:textId="4C0DED17" w:rsidR="006B1BBB" w:rsidRPr="003666BE" w:rsidRDefault="006B1BBB" w:rsidP="006B1BBB">
      <w:pPr>
        <w:pStyle w:val="BodyText"/>
      </w:pPr>
      <w:r w:rsidRPr="003666BE">
        <w:t xml:space="preserve">As an additional sensitivity test, </w:t>
      </w:r>
      <w:r w:rsidR="00353483" w:rsidRPr="003666BE">
        <w:t>Fig.</w:t>
      </w:r>
      <w:r w:rsidRPr="003666BE">
        <w:t xml:space="preserve"> </w:t>
      </w:r>
      <w:r w:rsidR="00417309" w:rsidRPr="003666BE">
        <w:t>S</w:t>
      </w:r>
      <w:r w:rsidR="0041013A">
        <w:t>6</w:t>
      </w:r>
      <w:r w:rsidR="00417309" w:rsidRPr="003666BE">
        <w:t xml:space="preserve"> </w:t>
      </w:r>
      <w:r w:rsidRPr="003666BE">
        <w:t xml:space="preserve">contrasts our estimates of net avoided deforestation in Brazil using the default ETA value of 0.66 as well as the estimates from terrestrial ecosystem models </w:t>
      </w:r>
      <w:r w:rsidRPr="003666BE">
        <w:fldChar w:fldCharType="begin"/>
      </w:r>
      <w:r w:rsidR="000D6366">
        <w:instrText xml:space="preserve"> ADDIN ZOTERO_ITEM CSL_CITATION {"citationID":"CU9Odzyc","properties":{"formattedCitation":"\\super 13\\nosupersub{}","plainCitation":"13","noteIndex":0},"citationItems":[{"id":1244,"uris":["http://zotero.org/users/2600/items/A9MHIHCU"],"uri":["http://zotero.org/users/2600/items/A9MHIHCU"],"itemData":{"id":1244,"type":"article-journal","abstract":"Recently, several papers have assessed land use consequences of biofuel expansion. In the absence of empirical evidence, these papers assigned subjective values to extensive margin (productivity of new croplands over productivity of existing croplands).","container-title":"Energy, Sustainability and Society","DOI":"10.1186/2192-0567-2-25","ISSN":"2192-0567","issue":"1","language":"en","note":"Citation Key: taheripour2012","page":"25","source":"www.energsustainsoc.com","title":"Biofuels, cropland expansion, and the extensive margin","volume":"2","author":[{"family":"Taheripour","given":"Farzad"},{"family":"Zhuang","given":"Qianlai"},{"family":"Tyner","given":"Wallace E."},{"family":"Lu","given":"Xiaoliang"}],"issued":{"date-parts":[["2012",12,28]]}}}],"schema":"https://github.com/citation-style-language/schema/raw/master/csl-citation.json"} </w:instrText>
      </w:r>
      <w:r w:rsidRPr="003666BE">
        <w:fldChar w:fldCharType="separate"/>
      </w:r>
      <w:r w:rsidR="006C5ECD" w:rsidRPr="006C5ECD">
        <w:rPr>
          <w:vertAlign w:val="superscript"/>
        </w:rPr>
        <w:t>13</w:t>
      </w:r>
      <w:r w:rsidRPr="003666BE">
        <w:fldChar w:fldCharType="end"/>
      </w:r>
      <w:r w:rsidRPr="003666BE">
        <w:t>, which are close to 0.9. The default values tend to overestimate net avoided deforestation relative to the TEM estimates by approximately 8% (i.e., 25 kha in the case of the ASM, 42 kha in the global ZDC</w:t>
      </w:r>
      <w:r w:rsidR="0078081C" w:rsidRPr="003666BE">
        <w:t>P</w:t>
      </w:r>
      <w:r w:rsidRPr="003666BE">
        <w:t xml:space="preserve"> scenario, and just above 50 kha in the other three scenarios.)</w:t>
      </w:r>
    </w:p>
    <w:p w14:paraId="2A4FD867" w14:textId="77777777" w:rsidR="004743C9" w:rsidRPr="003666BE" w:rsidRDefault="004743C9" w:rsidP="004743C9">
      <w:pPr>
        <w:pStyle w:val="Heading2"/>
      </w:pPr>
      <w:r w:rsidRPr="003666BE">
        <w:lastRenderedPageBreak/>
        <w:t>Further Details on Comparison with Existing Estimates</w:t>
      </w:r>
    </w:p>
    <w:p w14:paraId="542DC168" w14:textId="02E08572" w:rsidR="004743C9" w:rsidRPr="003666BE" w:rsidRDefault="004743C9" w:rsidP="004743C9">
      <w:pPr>
        <w:pStyle w:val="BodyText"/>
        <w:rPr>
          <w:lang w:val="es-AR"/>
        </w:rPr>
      </w:pPr>
      <w:r w:rsidRPr="003666BE">
        <w:t>Two recent articles report estimates of avoided deforestation in Brazil due to ZDC</w:t>
      </w:r>
      <w:r w:rsidR="0078081C" w:rsidRPr="003666BE">
        <w:t>P</w:t>
      </w:r>
      <w:r w:rsidR="00A5268A">
        <w:t>s</w:t>
      </w:r>
      <w:r w:rsidRPr="003666BE">
        <w:t xml:space="preserve"> in soy supply chain</w:t>
      </w:r>
      <w:r w:rsidR="00A5268A">
        <w:t>s in Brazil</w:t>
      </w:r>
      <w:r w:rsidRPr="003666BE">
        <w:t xml:space="preserve">. Heilmayr et al. </w:t>
      </w:r>
      <w:r w:rsidRPr="003666BE">
        <w:fldChar w:fldCharType="begin"/>
      </w:r>
      <w:r w:rsidR="000D6366">
        <w:instrText xml:space="preserve"> ADDIN ZOTERO_ITEM CSL_CITATION {"citationID":"iN7hAZzL","properties":{"formattedCitation":"\\super 15\\nosupersub{}","plainCitation":"15","noteIndex":0},"citationItems":[{"id":10858,"uris":["http://zotero.org/users/2600/items/LXTFZJT5"],"uri":["http://zotero.org/users/2600/items/LXTFZJT5"],"itemData":{"id":10858,"type":"article-journal","container-title":"Nature Food","DOI":"10.1038/s43016-020-00194-5","ISSN":"2662-1355","issue":"12","language":"en","note":"Citation Key: heilmayr2020","page":"801-810","source":"Crossref","title":"Brazil’s Amazon Soy Moratorium reduced deforestation","volume":"1","author":[{"family":"Heilmayr","given":"Robert"},{"family":"Rausch","given":"Lisa L."},{"family":"Munger","given":"Jacob"},{"family":"Gibbs","given":"Holly K."}],"issued":{"date-parts":[["2020",12]]}}}],"schema":"https://github.com/citation-style-language/schema/raw/master/csl-citation.json"} </w:instrText>
      </w:r>
      <w:r w:rsidRPr="003666BE">
        <w:fldChar w:fldCharType="separate"/>
      </w:r>
      <w:r w:rsidR="006C5ECD" w:rsidRPr="006C5ECD">
        <w:rPr>
          <w:vertAlign w:val="superscript"/>
        </w:rPr>
        <w:t>15</w:t>
      </w:r>
      <w:r w:rsidRPr="003666BE">
        <w:fldChar w:fldCharType="end"/>
      </w:r>
      <w:r w:rsidRPr="003666BE">
        <w:t xml:space="preserve"> use a triple difference-in-difference regression design to isolate the effect of the ASM using fine scale data of the Amazon Biome during the period 2006-2016. Their regression counterfactual indicates that the ASM saved an estimated 1,800 kha +/- 900 kha, with a 95% confidence interval of 900-2,700 kha. On an annualized basis this implies land savings of </w:t>
      </w:r>
      <w:bookmarkStart w:id="3" w:name="_Hlk83803663"/>
      <w:r w:rsidRPr="003666BE">
        <w:t>90-270 kha/year</w:t>
      </w:r>
      <w:bookmarkEnd w:id="3"/>
      <w:r w:rsidRPr="003666BE">
        <w:t xml:space="preserve">. Our estimate under the most stringent market share threshold of </w:t>
      </w:r>
      <w:r w:rsidR="00A5268A">
        <w:t>≥</w:t>
      </w:r>
      <w:r w:rsidRPr="003666BE">
        <w:t xml:space="preserve">75% indicates avoided deforestation in the Amazon of 409 kha during 2011-2016, or 82 kha/year. Our estimates are therefore closest to the lower bound estimate reported in Heilmayr et al. </w:t>
      </w:r>
      <w:r w:rsidRPr="003666BE">
        <w:fldChar w:fldCharType="begin"/>
      </w:r>
      <w:r w:rsidR="000D6366">
        <w:instrText xml:space="preserve"> ADDIN ZOTERO_ITEM CSL_CITATION {"citationID":"kbFlEnTX","properties":{"formattedCitation":"\\super 15\\nosupersub{}","plainCitation":"15","noteIndex":0},"citationItems":[{"id":10858,"uris":["http://zotero.org/users/2600/items/LXTFZJT5"],"uri":["http://zotero.org/users/2600/items/LXTFZJT5"],"itemData":{"id":10858,"type":"article-journal","container-title":"Nature Food","DOI":"10.1038/s43016-020-00194-5","ISSN":"2662-1355","issue":"12","language":"en","note":"Citation Key: heilmayr2020","page":"801-810","source":"Crossref","title":"Brazil’s Amazon Soy Moratorium reduced deforestation","volume":"1","author":[{"family":"Heilmayr","given":"Robert"},{"family":"Rausch","given":"Lisa L."},{"family":"Munger","given":"Jacob"},{"family":"Gibbs","given":"Holly K."}],"issued":{"date-parts":[["2020",12]]}}}],"schema":"https://github.com/citation-style-language/schema/raw/master/csl-citation.json"} </w:instrText>
      </w:r>
      <w:r w:rsidRPr="003666BE">
        <w:fldChar w:fldCharType="separate"/>
      </w:r>
      <w:r w:rsidR="006C5ECD" w:rsidRPr="006C5ECD">
        <w:rPr>
          <w:vertAlign w:val="superscript"/>
        </w:rPr>
        <w:t>15</w:t>
      </w:r>
      <w:r w:rsidRPr="003666BE">
        <w:fldChar w:fldCharType="end"/>
      </w:r>
      <w:r w:rsidRPr="003666BE">
        <w:t>. This is not surprising since regression counterfactual approaches ignore spillover and feedback effects via trade, commodity, and factor markets, as well as adjustments in utilization by both producers and consumers as a response to changes in prices, and therefore tend to overestimate land savings from conservation programs</w:t>
      </w:r>
      <w:r w:rsidRPr="003666BE">
        <w:fldChar w:fldCharType="begin"/>
      </w:r>
      <w:r w:rsidR="000D6366">
        <w:instrText xml:space="preserve"> ADDIN ZOTERO_ITEM CSL_CITATION {"citationID":"nEW2dkpN","properties":{"formattedCitation":"\\super 16\\nosupersub{}","plainCitation":"16","noteIndex":0},"citationItems":[{"id":9613,"uris":["http://zotero.org/users/2600/items/N5N2NSU9"],"uri":["http://zotero.org/users/2600/items/N5N2NSU9"],"itemData":{"id":9613,"type":"article-journal","abstract":"Land use change and leakage effects stemming from technological change, conservation programs, and other policy interventions have received considerable attention in</w:instrText>
      </w:r>
      <w:r w:rsidR="000D6366" w:rsidRPr="000D6366">
        <w:rPr>
          <w:lang w:val="es-VE"/>
        </w:rPr>
        <w:instrText xml:space="preserve"> the scientific literature in the past decade. Economists have offered important insights about these linkages, yet much of the analysis undertaken by the land change science community does not fully avail itself of these insights. Similarly, many of the economic contributions to this field have ignored important findings from the land change science community. This paper, written by an economist, seeks to better communicate to members of the land change science community the key economic mechanisms behind land use, leakage and spillovers and how they might contribute to shaping future analyses. It does so using a series of successively more complex economic models, with each new model illustrating the importance of an added economic channel for land use change. The paper concludes by revisiting key insights which have emerged from research in the land change science community and their implications for economists conducting research into land use change and leakage.","container-title":"Environmental Research Letters","DOI":"10.1088/1748-9326/aad2a4","ISSN":"1748-9326","issue":"7","journalAbbreviation":"Environ. Res. Lett.","language":"en","note":"Citation Key: hertel2018","page":"075012","source":"Institute of Physics","title":"Economic perspectives on land use change and leakage","volume":"13","author":[{"family":"Hertel","given":"Thomas W."}],"issued":{"date-parts":[["2018",7]]}}}],"schema":"https://github.com/citation-style-language/schema/raw/master/csl-citation.json"} </w:instrText>
      </w:r>
      <w:r w:rsidRPr="003666BE">
        <w:fldChar w:fldCharType="separate"/>
      </w:r>
      <w:r w:rsidR="006C5ECD" w:rsidRPr="008C50AB">
        <w:rPr>
          <w:vertAlign w:val="superscript"/>
          <w:lang w:val="es-AR"/>
        </w:rPr>
        <w:t>16</w:t>
      </w:r>
      <w:r w:rsidRPr="003666BE">
        <w:fldChar w:fldCharType="end"/>
      </w:r>
      <w:r w:rsidRPr="003666BE">
        <w:rPr>
          <w:lang w:val="es-AR"/>
        </w:rPr>
        <w:t>.</w:t>
      </w:r>
    </w:p>
    <w:p w14:paraId="1A605233" w14:textId="6039831B" w:rsidR="004837B1" w:rsidRDefault="004743C9" w:rsidP="008C50AB">
      <w:pPr>
        <w:pStyle w:val="BodyText"/>
      </w:pPr>
      <w:r w:rsidRPr="00A967FC">
        <w:rPr>
          <w:lang w:val="es-AR"/>
        </w:rPr>
        <w:t>Soterroni et al.</w:t>
      </w:r>
      <w:r w:rsidRPr="00A967FC">
        <w:fldChar w:fldCharType="begin"/>
      </w:r>
      <w:r w:rsidR="000D6366">
        <w:rPr>
          <w:lang w:val="es-AR"/>
        </w:rPr>
        <w:instrText xml:space="preserve"> ADDIN ZOTERO_ITEM CSL_CITATION {"citationID":"wfTdVQIt","properties":{"formattedCitation":"\\super 17\\nosupersub{}","plainCitation":"17","noteIndex":0},"citationItems":[{"id":10821,"uris":["http://zotero.org/users/2600/items/HUJB4RUI"],"uri":["http://zotero.org/users/2600/items/HUJB4RUI"],"itemData":{"id":10821,"type":"article-journal","abstract":"The Cerrado biome in Brazil is a tropical savanna and an important global biodiversity hot spot. Today, only a fraction of its original area remains undisturbed, and this habitat is at risk of conversion to agriculture, especially to soybeans. Here, we present the first quantitative analysis of expanding the Soy Moratorium (SoyM) from the Brazilian Amazon to the Cerrado biome. The SoyM expansion to the Cerrado would prevent the direct conversion of 3.6 million ha of native vegetation to soybeans by 2050. Nationally, this would require a reduction in soybean area of approximately 2%. Relative risk of future native vegetation conversion for soybeans would be driven by the Brazilian domestic market, China, and the European Union. We conclude that, to preserve the Cerrado’s biodiversity and ecosystem services, urgent action is required, including a zero native vegetation conversion agreement such as the SoyM.\nExpanding the Soy Moratorium to the Cerrado biome would prevent the direct conversion of 3.6 million ha of intact Cerrado to soy.\nExpanding the Soy Moratorium to the Cerrado biome would prevent the direct conversion of 3.6 million ha of intact Cerrado to soy.","container-title":"Science Advances","DOI":"10.1126/sciadv.aav7336","ISSN":"2375-2548","issue":"7","language":"en","note":"publisher: American Association for the Advancement of Science\nsection: Research Article\nCitation Key: soterroni2019","page":"eaav7336","source":"advances.sciencemag.org","title":"Expanding the Soy Moratorium to Brazil’s Cerrado","volume":"5","author":[{"family":"Soterroni","given":"Aline C."},{"family":"Ramos","given":"Fernando M."},{"family":"Mosnier","given":"Aline"},{"family":"Fargione","given":"Joseph"},{"family":"Andrade","given":"Pedro R."},{"family":"Baumgarten","given":"Leandro"},{"family":"Pirker","given":"Johannes"},{"family":"Obersteiner","given":"Michael"},{"family":"Kraxner","given":"Florian"},{"family":"Câmara","given":"Gilberto"},{"family":"Carvalho","given":"Alexandre X. Y."},{"family":"Polasky","given":"Stephen"}],"issued":{"date-parts":[["2019",7,1]]}}}],"schema":"https://github.com/citation-style-language/schema/raw/master/csl-citation.json"} </w:instrText>
      </w:r>
      <w:r w:rsidRPr="00A967FC">
        <w:fldChar w:fldCharType="separate"/>
      </w:r>
      <w:r w:rsidR="006C5ECD" w:rsidRPr="00A967FC">
        <w:rPr>
          <w:vertAlign w:val="superscript"/>
          <w:lang w:val="es-AR"/>
        </w:rPr>
        <w:t>17</w:t>
      </w:r>
      <w:r w:rsidRPr="00A967FC">
        <w:fldChar w:fldCharType="end"/>
      </w:r>
      <w:r w:rsidRPr="00A967FC">
        <w:rPr>
          <w:lang w:val="es-AR"/>
        </w:rPr>
        <w:t xml:space="preserve"> use a </w:t>
      </w:r>
      <w:proofErr w:type="spellStart"/>
      <w:r w:rsidRPr="00A967FC">
        <w:rPr>
          <w:lang w:val="es-AR"/>
        </w:rPr>
        <w:t>partial</w:t>
      </w:r>
      <w:proofErr w:type="spellEnd"/>
      <w:r w:rsidRPr="00A967FC">
        <w:rPr>
          <w:lang w:val="es-AR"/>
        </w:rPr>
        <w:t xml:space="preserve"> </w:t>
      </w:r>
      <w:proofErr w:type="spellStart"/>
      <w:r w:rsidRPr="00A967FC">
        <w:rPr>
          <w:lang w:val="es-AR"/>
        </w:rPr>
        <w:t>equilibrium</w:t>
      </w:r>
      <w:proofErr w:type="spellEnd"/>
      <w:r w:rsidRPr="00A967FC">
        <w:rPr>
          <w:lang w:val="es-AR"/>
        </w:rPr>
        <w:t xml:space="preserve"> </w:t>
      </w:r>
      <w:proofErr w:type="spellStart"/>
      <w:r w:rsidRPr="00A967FC">
        <w:rPr>
          <w:lang w:val="es-AR"/>
        </w:rPr>
        <w:t>model</w:t>
      </w:r>
      <w:proofErr w:type="spellEnd"/>
      <w:r w:rsidRPr="00A967FC">
        <w:rPr>
          <w:lang w:val="es-AR"/>
        </w:rPr>
        <w:t xml:space="preserve"> </w:t>
      </w:r>
      <w:proofErr w:type="spellStart"/>
      <w:r w:rsidRPr="00A967FC">
        <w:rPr>
          <w:lang w:val="es-AR"/>
        </w:rPr>
        <w:t>focused</w:t>
      </w:r>
      <w:proofErr w:type="spellEnd"/>
      <w:r w:rsidRPr="00A967FC">
        <w:rPr>
          <w:lang w:val="es-AR"/>
        </w:rPr>
        <w:t xml:space="preserve"> </w:t>
      </w:r>
      <w:proofErr w:type="spellStart"/>
      <w:r w:rsidRPr="00A967FC">
        <w:rPr>
          <w:lang w:val="es-AR"/>
        </w:rPr>
        <w:t>on</w:t>
      </w:r>
      <w:proofErr w:type="spellEnd"/>
      <w:r w:rsidRPr="00A967FC">
        <w:rPr>
          <w:lang w:val="es-AR"/>
        </w:rPr>
        <w:t xml:space="preserve"> </w:t>
      </w:r>
      <w:proofErr w:type="spellStart"/>
      <w:r w:rsidRPr="00A967FC">
        <w:rPr>
          <w:lang w:val="es-AR"/>
        </w:rPr>
        <w:t>Brazil</w:t>
      </w:r>
      <w:proofErr w:type="spellEnd"/>
      <w:r w:rsidRPr="00A967FC">
        <w:rPr>
          <w:lang w:val="es-AR"/>
        </w:rPr>
        <w:t xml:space="preserve"> </w:t>
      </w:r>
      <w:proofErr w:type="spellStart"/>
      <w:r w:rsidRPr="00A967FC">
        <w:rPr>
          <w:lang w:val="es-AR"/>
        </w:rPr>
        <w:t>to</w:t>
      </w:r>
      <w:proofErr w:type="spellEnd"/>
      <w:r w:rsidRPr="00A967FC">
        <w:rPr>
          <w:lang w:val="es-AR"/>
        </w:rPr>
        <w:t xml:space="preserve"> </w:t>
      </w:r>
      <w:proofErr w:type="spellStart"/>
      <w:r w:rsidRPr="00A967FC">
        <w:rPr>
          <w:lang w:val="es-AR"/>
        </w:rPr>
        <w:t>simulate</w:t>
      </w:r>
      <w:proofErr w:type="spellEnd"/>
      <w:r w:rsidRPr="00A967FC">
        <w:rPr>
          <w:lang w:val="es-AR"/>
        </w:rPr>
        <w:t xml:space="preserve"> the </w:t>
      </w:r>
      <w:proofErr w:type="spellStart"/>
      <w:r w:rsidRPr="00A967FC">
        <w:rPr>
          <w:lang w:val="es-AR"/>
        </w:rPr>
        <w:t>effects</w:t>
      </w:r>
      <w:proofErr w:type="spellEnd"/>
      <w:r w:rsidRPr="00A967FC">
        <w:rPr>
          <w:lang w:val="es-AR"/>
        </w:rPr>
        <w:t xml:space="preserve"> of </w:t>
      </w:r>
      <w:proofErr w:type="spellStart"/>
      <w:r w:rsidRPr="00A967FC">
        <w:rPr>
          <w:lang w:val="es-AR"/>
        </w:rPr>
        <w:t>extending</w:t>
      </w:r>
      <w:proofErr w:type="spellEnd"/>
      <w:r w:rsidRPr="00A967FC">
        <w:rPr>
          <w:lang w:val="es-AR"/>
        </w:rPr>
        <w:t xml:space="preserve"> the ASM </w:t>
      </w:r>
      <w:proofErr w:type="spellStart"/>
      <w:r w:rsidRPr="00A967FC">
        <w:rPr>
          <w:lang w:val="es-AR"/>
        </w:rPr>
        <w:t>to</w:t>
      </w:r>
      <w:proofErr w:type="spellEnd"/>
      <w:r w:rsidR="00A5268A">
        <w:rPr>
          <w:lang w:val="es-AR"/>
        </w:rPr>
        <w:t xml:space="preserve"> the</w:t>
      </w:r>
      <w:r w:rsidRPr="00A967FC">
        <w:rPr>
          <w:lang w:val="es-AR"/>
        </w:rPr>
        <w:t xml:space="preserve"> Cerrado. </w:t>
      </w:r>
      <w:r w:rsidRPr="00A967FC">
        <w:t xml:space="preserve">They estimate reductions in the conversion of native vegetation (relative to a baseline without restrictions in Cerrado) of 3,600 kha during </w:t>
      </w:r>
      <w:r w:rsidR="00DF4826" w:rsidRPr="00A967FC">
        <w:t>2020</w:t>
      </w:r>
      <w:r w:rsidRPr="00A967FC">
        <w:t xml:space="preserve">-2050. This translates into avoided deforestation of </w:t>
      </w:r>
      <w:r w:rsidR="00DF4826" w:rsidRPr="00A967FC">
        <w:t xml:space="preserve">120 </w:t>
      </w:r>
      <w:r w:rsidRPr="00A967FC">
        <w:t>kha per year. In our study, the scenario that most closely resembles an extension of the ASM to Cerrado is the scenario</w:t>
      </w:r>
      <w:r w:rsidR="00B8481A" w:rsidRPr="00A967FC">
        <w:t xml:space="preserve"> “Global </w:t>
      </w:r>
      <w:r w:rsidR="006C5ECD" w:rsidRPr="00A967FC">
        <w:t>Zero</w:t>
      </w:r>
      <w:r w:rsidR="00B8481A" w:rsidRPr="00A967FC">
        <w:t xml:space="preserve"> Deforestation </w:t>
      </w:r>
      <w:r w:rsidR="006C5ECD" w:rsidRPr="00A967FC">
        <w:t>Commitments</w:t>
      </w:r>
      <w:r w:rsidR="00B8481A" w:rsidRPr="00A967FC">
        <w:t xml:space="preserve"> (incl. ASM)” (</w:t>
      </w:r>
      <w:bookmarkStart w:id="4" w:name="_Hlk87339095"/>
      <w:r w:rsidR="00B8481A" w:rsidRPr="00A967FC">
        <w:t>Figs. 1</w:t>
      </w:r>
      <w:r w:rsidR="00A967FC">
        <w:t>c, 1g</w:t>
      </w:r>
      <w:r w:rsidR="0003077F" w:rsidRPr="00A967FC">
        <w:t>, 2b</w:t>
      </w:r>
      <w:bookmarkEnd w:id="4"/>
      <w:r w:rsidR="00B8481A" w:rsidRPr="00A967FC">
        <w:t>)</w:t>
      </w:r>
      <w:r w:rsidRPr="00A967FC">
        <w:t xml:space="preserve">. Under this scenario, we estimate a net avoided deforestation during 2011-2016 of </w:t>
      </w:r>
      <w:r w:rsidR="00F00AF7" w:rsidRPr="00A967FC">
        <w:t xml:space="preserve">38.3 </w:t>
      </w:r>
      <w:r w:rsidRPr="00A967FC">
        <w:t>kha in the most restrictive scenario (</w:t>
      </w:r>
      <w:r w:rsidR="00A5268A">
        <w:t>≥</w:t>
      </w:r>
      <w:r w:rsidRPr="00A967FC">
        <w:t>75% market share threshold</w:t>
      </w:r>
      <w:r w:rsidR="003B35A0">
        <w:t xml:space="preserve">, </w:t>
      </w:r>
      <w:r w:rsidR="003B35A0" w:rsidRPr="00A967FC">
        <w:t>Fig. 2b</w:t>
      </w:r>
      <w:r w:rsidRPr="00A967FC">
        <w:t xml:space="preserve">), or </w:t>
      </w:r>
      <w:r w:rsidR="00F00AF7" w:rsidRPr="00A967FC">
        <w:t xml:space="preserve">7.6 </w:t>
      </w:r>
      <w:r w:rsidRPr="00A967FC">
        <w:t>kha/year.</w:t>
      </w:r>
      <w:r w:rsidR="00F00AF7" w:rsidRPr="00A967FC">
        <w:t xml:space="preserve"> To some </w:t>
      </w:r>
      <w:r w:rsidR="0003077F" w:rsidRPr="00A967FC">
        <w:t>extent</w:t>
      </w:r>
      <w:r w:rsidR="00F00AF7" w:rsidRPr="00A967FC">
        <w:t xml:space="preserve">, the difference between our </w:t>
      </w:r>
      <w:r w:rsidR="003B35A0" w:rsidRPr="00A967FC">
        <w:t>results may</w:t>
      </w:r>
      <w:r w:rsidR="00F00AF7" w:rsidRPr="00A967FC">
        <w:t xml:space="preserve"> be related to </w:t>
      </w:r>
      <w:r w:rsidRPr="00A967FC">
        <w:t>the fact that we only extend the ASM to municipalities in the Cerrado (and other biomes) that have committed companies with market shares large enough to assume compliance with land conversion restrictions.</w:t>
      </w:r>
      <w:r w:rsidR="00F00AF7" w:rsidRPr="00A967FC">
        <w:t xml:space="preserve"> </w:t>
      </w:r>
      <w:r w:rsidR="00DF031F" w:rsidRPr="00A967FC">
        <w:t>More fundamentally, the differences in modeling strategies and time horizons of the two studies preclude a proper comparison. For, instance, as indicated in Fig. S</w:t>
      </w:r>
      <w:r w:rsidR="00BF29E2" w:rsidRPr="00A967FC">
        <w:t>1</w:t>
      </w:r>
      <w:r w:rsidR="00DF031F" w:rsidRPr="00A967FC">
        <w:t xml:space="preserve">, cumulative deforestation for soy in the Amazon amounted to 117 kha. </w:t>
      </w:r>
      <w:r w:rsidR="00DF4826" w:rsidRPr="00A967FC">
        <w:t>At an estimated rate of 120 kha/year, Soterroni et al’s</w:t>
      </w:r>
      <w:r w:rsidR="00A5268A" w:rsidRPr="00A967FC">
        <w:fldChar w:fldCharType="begin"/>
      </w:r>
      <w:r w:rsidR="000D6366">
        <w:instrText xml:space="preserve"> ADDIN ZOTERO_ITEM CSL_CITATION {"citationID":"mKciZqN2","properties":{"formattedCitation":"\\super 17\\nosupersub{}","plainCitation":"17","noteIndex":0},"citationItems":[{"id":10821,"uris":["http://zotero.org/users/2600/items/HUJB4RUI"],"uri":["http://zotero.org/users/2600/items/HUJB4RUI"],"itemData":{"id":10821,"type":"article-journal","abstract":"The Cerrado biome in Brazil is a tropical savanna and an important global biodiversity hot spot. Today, only a fraction of its original area remains undisturbed, and this habitat is at risk of conversion to agriculture, especially to soybeans. Here, we present the first quantitative analysis of expanding the Soy Moratorium (SoyM) from the Brazilian Amazon to the Cerrado biome. The SoyM expansion to the Cerrado would prevent the direct conversion of 3.6 million ha of native vegetation to soybeans by 2050. Nationally, this would require a reduction in soybean area of approximately 2%. Relative risk of future native vegetation conversion for soybeans would be driven by the Brazilian domestic market, China, and the European Union. We conclude that, to preserve the Cerrado’s biodiversity and ecosystem services, urgent action is required, including a zero native vegetation conversion agreement such as the SoyM.\nExpanding the Soy Moratorium to the Cerrado biome would prevent the direct conversion of 3.6 million ha of intact Cerrado to soy.\nExpanding the Soy Moratorium to the Cerrado biome would prevent the direct conversion of 3.6 million ha of intact Cerrado to soy.","container-title":"Science Advances","DOI":"10.1126/sciadv.aav7336","ISSN":"2375-2548","issue":"7","language":"en","note":"publisher: American Association for the Advancement of Science\nsection: Research Article\nCitation Key: soterroni2019","page":"eaav7336","source":"advances.sciencemag.org","title":"Expanding the Soy Moratorium to Brazil’s Cerrado","volume":"5","author":[{"family":"Soterroni","given":"Aline C."},{"family":"Ramos","given":"Fernando M."},{"family":"Mosnier","given":"Aline"},{"family":"Fargione","given":"Joseph"},{"family":"Andrade","given":"Pedro R."},{"family":"Baumgarten","given":"Leandro"},{"family":"Pirker","given":"Johannes"},{"family":"Obersteiner","given":"Michael"},{"family":"Kraxner","given":"Florian"},{"family":"Câmara","given":"Gilberto"},{"family":"Carvalho","given":"Alexandre X. Y."},{"family":"Polasky","given":"Stephen"}],"issued":{"date-parts":[["2019",7,1]]}}}],"schema":"https://github.com/citation-style-language/schema/raw/master/csl-citation.json"} </w:instrText>
      </w:r>
      <w:r w:rsidR="00A5268A" w:rsidRPr="00A967FC">
        <w:fldChar w:fldCharType="separate"/>
      </w:r>
      <w:r w:rsidR="00A5268A" w:rsidRPr="00741505">
        <w:rPr>
          <w:vertAlign w:val="superscript"/>
        </w:rPr>
        <w:t>17</w:t>
      </w:r>
      <w:r w:rsidR="00A5268A" w:rsidRPr="00A967FC">
        <w:fldChar w:fldCharType="end"/>
      </w:r>
      <w:r w:rsidR="00DF4826" w:rsidRPr="00A967FC">
        <w:t xml:space="preserve"> results would </w:t>
      </w:r>
      <w:r w:rsidR="0003077F" w:rsidRPr="00A967FC">
        <w:t xml:space="preserve">have </w:t>
      </w:r>
      <w:r w:rsidR="00DF4826" w:rsidRPr="00A967FC">
        <w:t>impl</w:t>
      </w:r>
      <w:r w:rsidR="0003077F" w:rsidRPr="00A967FC">
        <w:t>ied</w:t>
      </w:r>
      <w:r w:rsidR="00DF4826" w:rsidRPr="00A967FC">
        <w:t xml:space="preserve"> large reforestation in the Cerrado</w:t>
      </w:r>
      <w:r w:rsidR="0003077F" w:rsidRPr="00A967FC">
        <w:t xml:space="preserve"> over 2011-2016</w:t>
      </w:r>
      <w:r w:rsidR="00DF4826" w:rsidRPr="00A967FC">
        <w:t>. In contrast, o</w:t>
      </w:r>
      <w:r w:rsidR="00DF031F" w:rsidRPr="00A967FC">
        <w:t>ur estimate implies that extending the ASM to Cerrado during 2011-2016 would have reduced observed deforestation by 33%.</w:t>
      </w:r>
    </w:p>
    <w:p w14:paraId="2859AC61" w14:textId="583A56BD" w:rsidR="0025706E" w:rsidRPr="003666BE" w:rsidRDefault="0025706E" w:rsidP="0025706E">
      <w:pPr>
        <w:pStyle w:val="Heading2"/>
      </w:pPr>
      <w:r w:rsidRPr="003666BE">
        <w:t>U</w:t>
      </w:r>
      <w:r w:rsidR="00A5268A">
        <w:t xml:space="preserve">nited </w:t>
      </w:r>
      <w:r w:rsidRPr="003666BE">
        <w:t>S</w:t>
      </w:r>
      <w:r w:rsidR="00A5268A">
        <w:t>tates</w:t>
      </w:r>
      <w:r w:rsidRPr="003666BE">
        <w:t xml:space="preserve"> Supply Response</w:t>
      </w:r>
    </w:p>
    <w:p w14:paraId="1336D005" w14:textId="0A3AE615" w:rsidR="0025706E" w:rsidRPr="003666BE" w:rsidRDefault="0025706E" w:rsidP="0025706E">
      <w:pPr>
        <w:pStyle w:val="BodyText"/>
      </w:pPr>
      <w:r w:rsidRPr="003666BE">
        <w:t>The ASM reduced soybean production in Brazil by 40.7 kilotonnes from 2011 to 2016 (using the 75% market share threshold</w:t>
      </w:r>
      <w:r w:rsidR="00292B5D" w:rsidRPr="003666BE">
        <w:t xml:space="preserve"> (</w:t>
      </w:r>
      <w:r w:rsidR="00353483" w:rsidRPr="003666BE">
        <w:t>Fig.</w:t>
      </w:r>
      <w:r w:rsidRPr="003666BE">
        <w:t xml:space="preserve"> </w:t>
      </w:r>
      <w:r w:rsidR="00292B5D" w:rsidRPr="003666BE">
        <w:t>S</w:t>
      </w:r>
      <w:r w:rsidR="00BF29E2">
        <w:t>7</w:t>
      </w:r>
      <w:r w:rsidR="00292B5D" w:rsidRPr="003666BE">
        <w:t>)</w:t>
      </w:r>
      <w:r w:rsidRPr="003666BE">
        <w:t xml:space="preserve">. Brazil’s production in 2016 was of 98,153 kt </w:t>
      </w:r>
      <w:r w:rsidRPr="003666BE">
        <w:fldChar w:fldCharType="begin"/>
      </w:r>
      <w:r w:rsidR="000D6366">
        <w:instrText xml:space="preserve"> ADDIN ZOTERO_ITEM CSL_CITATION {"citationID":"J0yaL3dw","properties":{"formattedCitation":"\\super 18\\nosupersub{}","plainCitation":"18","noteIndex":0},"citationItems":[{"id":1471,"uris":["http://zotero.org/users/2600/items/7PFXDTX7"],"uri":["http://zotero.org/users/2600/items/7PFXDTX7"],"itemData":{"id":1471,"type":"webpage","container-title":"Food and Agriculture Organization of the United Nations Statitstical Database","note":"Citation Key: fao2016","title":"FAOSTAT","URL":"http://faostat.fao.org/. Accessed: 07-15-2017","author":[{"family":"FAO","given":""}],"accessed":{"date-parts":[["2021",11,6]]},"issued":{"date-parts":[["2021"]]}}}],"schema":"https://github.com/citation-style-language/schema/raw/master/csl-citation.json"} </w:instrText>
      </w:r>
      <w:r w:rsidRPr="003666BE">
        <w:fldChar w:fldCharType="separate"/>
      </w:r>
      <w:r w:rsidR="000D6366" w:rsidRPr="000D6366">
        <w:rPr>
          <w:vertAlign w:val="superscript"/>
        </w:rPr>
        <w:t>18</w:t>
      </w:r>
      <w:r w:rsidRPr="003666BE">
        <w:fldChar w:fldCharType="end"/>
      </w:r>
      <w:r w:rsidRPr="003666BE">
        <w:t>, so the reduction is merely 0.04%. Most of the reduction in Brazil’s production is offset by an increase in soybean and other oilseed production in the rest of the world, particularly in North America and in the EU (</w:t>
      </w:r>
      <w:r w:rsidR="00353483" w:rsidRPr="003666BE">
        <w:t>Fig.</w:t>
      </w:r>
      <w:r w:rsidRPr="003666BE">
        <w:t xml:space="preserve"> </w:t>
      </w:r>
      <w:r w:rsidR="00292B5D" w:rsidRPr="003666BE">
        <w:t>S</w:t>
      </w:r>
      <w:r w:rsidR="00BF29E2">
        <w:t>8</w:t>
      </w:r>
      <w:r w:rsidRPr="003666BE">
        <w:t>). In both regions, the expansion of soybeans and other oilseeds comes mostly from crop reallocation, with almost negligible cropland expansion, even in the least restrictive market share thresholds (figs. S</w:t>
      </w:r>
      <w:r w:rsidR="00BF29E2">
        <w:t>9</w:t>
      </w:r>
      <w:r w:rsidRPr="003666BE">
        <w:t>, S1</w:t>
      </w:r>
      <w:r w:rsidR="00BF29E2">
        <w:t>0</w:t>
      </w:r>
      <w:r w:rsidRPr="003666BE">
        <w:t xml:space="preserve">). </w:t>
      </w:r>
    </w:p>
    <w:p w14:paraId="5FA1C16E" w14:textId="77777777" w:rsidR="00D76B7E" w:rsidRPr="003666BE" w:rsidRDefault="00D76B7E">
      <w:pPr>
        <w:spacing w:after="200"/>
        <w:rPr>
          <w:rFonts w:eastAsiaTheme="majorEastAsia"/>
          <w:b/>
          <w:bCs/>
        </w:rPr>
      </w:pPr>
      <w:r w:rsidRPr="003666BE">
        <w:br w:type="page"/>
      </w:r>
    </w:p>
    <w:bookmarkEnd w:id="2"/>
    <w:p w14:paraId="2758D3BF" w14:textId="7E882E6D" w:rsidR="000F7B87" w:rsidRPr="003666BE" w:rsidRDefault="00A5268A" w:rsidP="00DB71CB">
      <w:pPr>
        <w:pStyle w:val="Heading1"/>
      </w:pPr>
      <w:r>
        <w:lastRenderedPageBreak/>
        <w:t xml:space="preserve">Supplementary </w:t>
      </w:r>
      <w:r w:rsidR="00292B5D" w:rsidRPr="003666BE">
        <w:t xml:space="preserve">Figures (extended </w:t>
      </w:r>
      <w:r w:rsidR="003E51D2" w:rsidRPr="003666BE">
        <w:t>Data</w:t>
      </w:r>
      <w:r w:rsidR="00292B5D" w:rsidRPr="003666BE">
        <w:t xml:space="preserve"> upon publication)</w:t>
      </w:r>
    </w:p>
    <w:p w14:paraId="1FFE6D32" w14:textId="5E424DA2" w:rsidR="004743C9" w:rsidRPr="003666BE" w:rsidRDefault="004743C9" w:rsidP="005B5B7E">
      <w:pPr>
        <w:spacing w:after="200"/>
        <w:rPr>
          <w:rFonts w:eastAsiaTheme="majorEastAsia"/>
          <w:b/>
          <w:bCs/>
        </w:rPr>
      </w:pPr>
    </w:p>
    <w:p w14:paraId="65599FA0" w14:textId="53775824" w:rsidR="004743C9" w:rsidRPr="003666BE" w:rsidRDefault="004743C9">
      <w:pPr>
        <w:spacing w:after="200"/>
      </w:pPr>
      <w:r w:rsidRPr="003666BE">
        <w:rPr>
          <w:noProof/>
        </w:rPr>
        <w:drawing>
          <wp:inline distT="0" distB="0" distL="0" distR="0" wp14:anchorId="247D3DE3" wp14:editId="01E5C3F8">
            <wp:extent cx="5943600" cy="2662555"/>
            <wp:effectExtent l="0" t="0" r="0" b="4445"/>
            <wp:docPr id="6"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2662555"/>
                    </a:xfrm>
                    <a:prstGeom prst="rect">
                      <a:avLst/>
                    </a:prstGeom>
                  </pic:spPr>
                </pic:pic>
              </a:graphicData>
            </a:graphic>
          </wp:inline>
        </w:drawing>
      </w:r>
    </w:p>
    <w:p w14:paraId="3A4D99D0" w14:textId="6541E04B" w:rsidR="004743C9" w:rsidRPr="00F82E4F" w:rsidRDefault="00353483" w:rsidP="004743C9">
      <w:pPr>
        <w:pStyle w:val="Caption"/>
        <w:rPr>
          <w:rFonts w:ascii="Times New Roman" w:hAnsi="Times New Roman" w:cs="Times New Roman"/>
        </w:rPr>
      </w:pPr>
      <w:r w:rsidRPr="003666BE">
        <w:rPr>
          <w:rFonts w:ascii="Times New Roman" w:hAnsi="Times New Roman" w:cs="Times New Roman"/>
          <w:b/>
          <w:bCs/>
          <w:i w:val="0"/>
          <w:iCs/>
        </w:rPr>
        <w:t>Fig.</w:t>
      </w:r>
      <w:r w:rsidR="004743C9" w:rsidRPr="003666BE">
        <w:rPr>
          <w:rFonts w:ascii="Times New Roman" w:hAnsi="Times New Roman" w:cs="Times New Roman"/>
          <w:b/>
          <w:bCs/>
          <w:i w:val="0"/>
          <w:iCs/>
        </w:rPr>
        <w:t xml:space="preserve"> S</w:t>
      </w:r>
      <w:r w:rsidR="004743C9" w:rsidRPr="003666BE">
        <w:rPr>
          <w:rFonts w:ascii="Times New Roman" w:hAnsi="Times New Roman" w:cs="Times New Roman"/>
          <w:b/>
          <w:bCs/>
          <w:i w:val="0"/>
          <w:iCs/>
        </w:rPr>
        <w:fldChar w:fldCharType="begin"/>
      </w:r>
      <w:r w:rsidR="004743C9" w:rsidRPr="003666BE">
        <w:rPr>
          <w:rFonts w:ascii="Times New Roman" w:hAnsi="Times New Roman" w:cs="Times New Roman"/>
          <w:b/>
          <w:bCs/>
          <w:i w:val="0"/>
          <w:iCs/>
        </w:rPr>
        <w:instrText xml:space="preserve"> SEQ Fig._S \* ARABIC </w:instrText>
      </w:r>
      <w:r w:rsidR="004743C9" w:rsidRPr="003666BE">
        <w:rPr>
          <w:rFonts w:ascii="Times New Roman" w:hAnsi="Times New Roman" w:cs="Times New Roman"/>
          <w:b/>
          <w:bCs/>
          <w:i w:val="0"/>
          <w:iCs/>
        </w:rPr>
        <w:fldChar w:fldCharType="separate"/>
      </w:r>
      <w:r w:rsidR="00A8097A">
        <w:rPr>
          <w:rFonts w:ascii="Times New Roman" w:hAnsi="Times New Roman" w:cs="Times New Roman"/>
          <w:b/>
          <w:bCs/>
          <w:i w:val="0"/>
          <w:iCs/>
          <w:noProof/>
        </w:rPr>
        <w:t>1</w:t>
      </w:r>
      <w:r w:rsidR="004743C9" w:rsidRPr="003666BE">
        <w:rPr>
          <w:rFonts w:ascii="Times New Roman" w:hAnsi="Times New Roman" w:cs="Times New Roman"/>
          <w:b/>
          <w:bCs/>
          <w:i w:val="0"/>
          <w:iCs/>
          <w:noProof/>
        </w:rPr>
        <w:fldChar w:fldCharType="end"/>
      </w:r>
      <w:r w:rsidR="004743C9" w:rsidRPr="00F82E4F">
        <w:rPr>
          <w:rFonts w:ascii="Times New Roman" w:hAnsi="Times New Roman" w:cs="Times New Roman"/>
          <w:b/>
          <w:bCs/>
          <w:i w:val="0"/>
          <w:iCs/>
        </w:rPr>
        <w:t xml:space="preserve">. </w:t>
      </w:r>
      <w:r w:rsidR="009771EE" w:rsidRPr="00F82E4F">
        <w:rPr>
          <w:b/>
          <w:bCs/>
          <w:i w:val="0"/>
          <w:iCs/>
        </w:rPr>
        <w:t xml:space="preserve">Deforestation and five-year soy-deforestation as derived from Mapbiomas </w:t>
      </w:r>
      <w:r w:rsidR="009771EE" w:rsidRPr="00F82E4F">
        <w:rPr>
          <w:b/>
          <w:bCs/>
          <w:i w:val="0"/>
          <w:iCs/>
        </w:rPr>
        <w:fldChar w:fldCharType="begin"/>
      </w:r>
      <w:r w:rsidR="000D6366">
        <w:rPr>
          <w:b/>
          <w:bCs/>
          <w:i w:val="0"/>
          <w:iCs/>
        </w:rPr>
        <w:instrText xml:space="preserve"> ADDIN ZOTERO_ITEM CSL_CITATION {"citationID":"29TzHo4u","properties":{"formattedCitation":"\\super 19\\nosupersub{}","plainCitation":"19","noteIndex":0},"citationItems":[{"id":"lhpCwbBI/wNhT0xw6","uris":["http://zotero.org/users/5710930/items/S5CMI6DD"],"uri":["http://zotero.org/users/5710930/items/S5CMI6DD"],"itemData":{"id":1218,"type":"webpage","title":"Project MapBiomas - Collection v5.0 of Brazilian Land Cover &amp; Use Map Series","URL":"http://mapbiomas.org/","author":[{"family":"MapBiomas","given":""}],"accessed":{"date-parts":[["2020",11,11]]},"issued":{"date-parts":[["2020"]]}}}],"schema":"https://github.com/citation-style-language/schema/raw/master/csl-citation.json"} </w:instrText>
      </w:r>
      <w:r w:rsidR="009771EE" w:rsidRPr="00F82E4F">
        <w:rPr>
          <w:b/>
          <w:bCs/>
          <w:i w:val="0"/>
          <w:iCs/>
        </w:rPr>
        <w:fldChar w:fldCharType="separate"/>
      </w:r>
      <w:r w:rsidR="000D6366" w:rsidRPr="000D6366">
        <w:rPr>
          <w:rFonts w:ascii="Cambria" w:hAnsi="Cambria" w:cs="Times New Roman"/>
          <w:vertAlign w:val="superscript"/>
        </w:rPr>
        <w:t>19</w:t>
      </w:r>
      <w:r w:rsidR="009771EE" w:rsidRPr="00F82E4F">
        <w:rPr>
          <w:b/>
          <w:bCs/>
          <w:i w:val="0"/>
          <w:iCs/>
        </w:rPr>
        <w:fldChar w:fldCharType="end"/>
      </w:r>
      <w:r w:rsidR="009771EE" w:rsidRPr="00F82E4F">
        <w:rPr>
          <w:b/>
          <w:bCs/>
          <w:i w:val="0"/>
          <w:iCs/>
        </w:rPr>
        <w:t xml:space="preserve"> for the Brazilian Amazon and Cerrado.</w:t>
      </w:r>
      <w:r w:rsidR="009771EE" w:rsidRPr="00F82E4F">
        <w:rPr>
          <w:i w:val="0"/>
          <w:iCs/>
        </w:rPr>
        <w:t xml:space="preserve"> * Indicates </w:t>
      </w:r>
      <w:r w:rsidR="00A5268A">
        <w:rPr>
          <w:i w:val="0"/>
          <w:iCs/>
        </w:rPr>
        <w:t xml:space="preserve">years with </w:t>
      </w:r>
      <w:r w:rsidR="00334F68" w:rsidRPr="00F82E4F">
        <w:rPr>
          <w:i w:val="0"/>
          <w:iCs/>
        </w:rPr>
        <w:t xml:space="preserve">an </w:t>
      </w:r>
      <w:r w:rsidR="009771EE" w:rsidRPr="00F82E4F">
        <w:rPr>
          <w:i w:val="0"/>
          <w:iCs/>
        </w:rPr>
        <w:t>underestimation of soy-deforestation, due to limited post-deforestation observation years</w:t>
      </w:r>
      <w:r w:rsidR="00F82E4F" w:rsidRPr="00F82E4F">
        <w:rPr>
          <w:i w:val="0"/>
          <w:iCs/>
        </w:rPr>
        <w:t>.</w:t>
      </w:r>
    </w:p>
    <w:p w14:paraId="15C72E5C" w14:textId="13F62798" w:rsidR="004743C9" w:rsidRPr="003666BE" w:rsidRDefault="004743C9">
      <w:pPr>
        <w:spacing w:after="200"/>
        <w:rPr>
          <w:rFonts w:eastAsiaTheme="majorEastAsia"/>
          <w:b/>
          <w:bCs/>
        </w:rPr>
      </w:pPr>
      <w:r w:rsidRPr="003666BE">
        <w:br w:type="page"/>
      </w:r>
    </w:p>
    <w:p w14:paraId="314DE4A6" w14:textId="77777777" w:rsidR="00D76B7E" w:rsidRPr="003666BE" w:rsidRDefault="00D76B7E" w:rsidP="00D76B7E">
      <w:pPr>
        <w:pStyle w:val="Heading1"/>
      </w:pPr>
    </w:p>
    <w:p w14:paraId="14497113" w14:textId="77777777" w:rsidR="00D76B7E" w:rsidRPr="003666BE" w:rsidRDefault="00D76B7E" w:rsidP="00D76B7E">
      <w:pPr>
        <w:pStyle w:val="CaptionedFigure"/>
        <w:rPr>
          <w:rFonts w:ascii="Times New Roman" w:hAnsi="Times New Roman" w:cs="Times New Roman"/>
        </w:rPr>
      </w:pPr>
      <w:r w:rsidRPr="003666BE">
        <w:rPr>
          <w:rFonts w:ascii="Times New Roman" w:hAnsi="Times New Roman" w:cs="Times New Roman"/>
          <w:noProof/>
        </w:rPr>
        <w:drawing>
          <wp:inline distT="0" distB="0" distL="0" distR="0" wp14:anchorId="3568FB59" wp14:editId="177F5BA7">
            <wp:extent cx="4989310" cy="4320386"/>
            <wp:effectExtent l="0" t="0" r="0" b="0"/>
            <wp:docPr id="7" name="Picture" descr="(#fig:gtapmodel) Land Supply Structure in the GTAP AEZ Model with Biome Splits. Notes: At the top Constant Elasticity of Transformation (CET) nesting structure, a representative, a profit-maximizing producer operating under constant returns to scale choose the crop mix that maximizes profits subject to resource and technological constrains. The parameter _3 is an elasticity of transformation that captures the ease of converting cropland into each use. The mix of crops generates a change to the rents accruing to cropland. The optimal allocation between cropland and pastureland is determined by comparing the changes in the rents accruing to the two uses; _2 captures the ease with which pasturelands can be converted to croplands, and vice versa. At the bottom of the supply tree, the land rents for the overall agricultural activity are compared to the rents earned by forested lands. The relative size of these rents in conjunction with the elasticity of transformation \Omega_1 determine the ease with which forests are converted into cropland, and vice versa. We implement Zero Deforestation Commitments by setting _1 equal to zero for the intersections of Agroecological Zones (AEZ) and Biomes (Cerrado and Amazonia) where companies with GZD pledges have a dominant market share."/>
            <wp:cNvGraphicFramePr/>
            <a:graphic xmlns:a="http://schemas.openxmlformats.org/drawingml/2006/main">
              <a:graphicData uri="http://schemas.openxmlformats.org/drawingml/2006/picture">
                <pic:pic xmlns:pic="http://schemas.openxmlformats.org/drawingml/2006/picture">
                  <pic:nvPicPr>
                    <pic:cNvPr id="0" name="Picture" descr="../manuscript/figures/landsupply-structure-AEZ-biomr.png"/>
                    <pic:cNvPicPr>
                      <a:picLocks noChangeAspect="1" noChangeArrowheads="1"/>
                    </pic:cNvPicPr>
                  </pic:nvPicPr>
                  <pic:blipFill>
                    <a:blip r:embed="rId9"/>
                    <a:stretch>
                      <a:fillRect/>
                    </a:stretch>
                  </pic:blipFill>
                  <pic:spPr bwMode="auto">
                    <a:xfrm>
                      <a:off x="0" y="0"/>
                      <a:ext cx="4989310" cy="4320386"/>
                    </a:xfrm>
                    <a:prstGeom prst="rect">
                      <a:avLst/>
                    </a:prstGeom>
                    <a:noFill/>
                    <a:ln w="9525">
                      <a:noFill/>
                      <a:headEnd/>
                      <a:tailEnd/>
                    </a:ln>
                  </pic:spPr>
                </pic:pic>
              </a:graphicData>
            </a:graphic>
          </wp:inline>
        </w:drawing>
      </w:r>
    </w:p>
    <w:p w14:paraId="6083A54A" w14:textId="6C835B91" w:rsidR="00D76B7E" w:rsidRPr="003666BE" w:rsidRDefault="00353483" w:rsidP="00D76B7E">
      <w:r w:rsidRPr="003666BE">
        <w:rPr>
          <w:b/>
          <w:bCs/>
        </w:rPr>
        <w:t>Fig.</w:t>
      </w:r>
      <w:r w:rsidR="00D76B7E" w:rsidRPr="003666BE">
        <w:rPr>
          <w:b/>
          <w:bCs/>
        </w:rPr>
        <w:t xml:space="preserve"> S</w:t>
      </w:r>
      <w:r w:rsidR="00D76B7E" w:rsidRPr="003666BE">
        <w:rPr>
          <w:b/>
          <w:bCs/>
        </w:rPr>
        <w:fldChar w:fldCharType="begin"/>
      </w:r>
      <w:r w:rsidR="00D76B7E" w:rsidRPr="003666BE">
        <w:rPr>
          <w:b/>
          <w:bCs/>
        </w:rPr>
        <w:instrText xml:space="preserve"> SEQ Fig._S \* ARABIC </w:instrText>
      </w:r>
      <w:r w:rsidR="00D76B7E" w:rsidRPr="003666BE">
        <w:rPr>
          <w:b/>
          <w:bCs/>
        </w:rPr>
        <w:fldChar w:fldCharType="separate"/>
      </w:r>
      <w:r w:rsidR="00A8097A">
        <w:rPr>
          <w:b/>
          <w:bCs/>
          <w:noProof/>
        </w:rPr>
        <w:t>2</w:t>
      </w:r>
      <w:r w:rsidR="00D76B7E" w:rsidRPr="003666BE">
        <w:rPr>
          <w:b/>
          <w:bCs/>
          <w:noProof/>
        </w:rPr>
        <w:fldChar w:fldCharType="end"/>
      </w:r>
      <w:r w:rsidR="00D76B7E" w:rsidRPr="003666BE">
        <w:rPr>
          <w:b/>
          <w:bCs/>
        </w:rPr>
        <w:t xml:space="preserve">. Land Supply Structure in the GTAP AEZ Model with Biome Splits. </w:t>
      </w:r>
      <w:r w:rsidR="00D76B7E" w:rsidRPr="003666BE">
        <w:t xml:space="preserve">At the top of the Constant Elasticity of Transformation (CET) nesting structure, a representative profit-maximizing producer operating under constant returns to scale chooses the crop mix that maximizes profits subject to resource and technological constrains. The parameter _3 is an elasticity of transformation that captures the ease of converting cropland into each use. The mix of crops generates a change to the rents accruing to cropland. The optimal allocation between cropland and pastureland is determined by comparing the changes in the rents accruing to the two uses; _2 captures the ease with which pasturelands can be converted to croplands, and vice versa. At the bottom of the supply tree, the land rents for the overall agricultural activity are compared to the rents earned by forested lands. The relative size of these rents in conjunction with the elasticity of transformation </w:t>
      </w:r>
      <m:oMath>
        <m:sSub>
          <m:sSubPr>
            <m:ctrlPr>
              <w:rPr>
                <w:rFonts w:ascii="Cambria Math" w:hAnsi="Cambria Math"/>
              </w:rPr>
            </m:ctrlPr>
          </m:sSubPr>
          <m:e>
            <m:r>
              <w:rPr>
                <w:rFonts w:ascii="Cambria Math" w:hAnsi="Cambria Math"/>
              </w:rPr>
              <m:t>Ω</m:t>
            </m:r>
          </m:e>
          <m:sub>
            <m:r>
              <m:rPr>
                <m:sty m:val="p"/>
              </m:rPr>
              <w:rPr>
                <w:rFonts w:ascii="Cambria Math" w:hAnsi="Cambria Math"/>
              </w:rPr>
              <m:t>1</m:t>
            </m:r>
          </m:sub>
        </m:sSub>
      </m:oMath>
      <w:r w:rsidR="00D76B7E" w:rsidRPr="003666BE">
        <w:t xml:space="preserve"> determine the ease with which forests are converted into cropland, and vice versa. We implement Zero Deforestation Commitments by setting _1 equal to zero for the intersections of Agroecological Zones (AEZ) and Biomes (Cerrado and Amazonia) where companies with </w:t>
      </w:r>
      <w:r w:rsidR="0078081C" w:rsidRPr="003666BE">
        <w:t>ZDCPs</w:t>
      </w:r>
      <w:r w:rsidR="00D76B7E" w:rsidRPr="003666BE">
        <w:t xml:space="preserve"> have a dominant market share.</w:t>
      </w:r>
    </w:p>
    <w:p w14:paraId="5A7B5421" w14:textId="77777777" w:rsidR="003C0DAA" w:rsidRPr="003666BE" w:rsidRDefault="003C0DAA" w:rsidP="006556E6">
      <w:pPr>
        <w:pStyle w:val="Heading1"/>
      </w:pPr>
    </w:p>
    <w:p w14:paraId="2AF1F1DE" w14:textId="1ED88F64" w:rsidR="004B1ABE" w:rsidRPr="003666BE" w:rsidRDefault="004B1ABE" w:rsidP="00E5033E">
      <w:pPr>
        <w:pStyle w:val="Caption"/>
        <w:rPr>
          <w:rFonts w:ascii="Times New Roman" w:hAnsi="Times New Roman" w:cs="Times New Roman"/>
        </w:rPr>
      </w:pPr>
    </w:p>
    <w:p w14:paraId="7501BC94" w14:textId="6E29C0B9" w:rsidR="004B1ABE" w:rsidRPr="003666BE" w:rsidRDefault="004B1ABE" w:rsidP="00E5033E">
      <w:pPr>
        <w:pStyle w:val="Caption"/>
        <w:rPr>
          <w:rFonts w:ascii="Times New Roman" w:eastAsiaTheme="majorEastAsia" w:hAnsi="Times New Roman" w:cs="Times New Roman"/>
          <w:b/>
          <w:bCs/>
        </w:rPr>
      </w:pPr>
    </w:p>
    <w:p w14:paraId="78428903" w14:textId="79D64931" w:rsidR="00206815" w:rsidRPr="003666BE" w:rsidRDefault="00206815" w:rsidP="00206815">
      <w:pPr>
        <w:pStyle w:val="Caption"/>
        <w:rPr>
          <w:rFonts w:ascii="Times New Roman" w:hAnsi="Times New Roman" w:cs="Times New Roman"/>
        </w:rPr>
      </w:pPr>
    </w:p>
    <w:p w14:paraId="65CD9ECE" w14:textId="77777777" w:rsidR="00863DA4" w:rsidRPr="003666BE" w:rsidRDefault="00863DA4" w:rsidP="00206815">
      <w:pPr>
        <w:pStyle w:val="Caption"/>
        <w:rPr>
          <w:rFonts w:ascii="Times New Roman" w:hAnsi="Times New Roman" w:cs="Times New Roman"/>
        </w:rPr>
      </w:pPr>
    </w:p>
    <w:p w14:paraId="18554328" w14:textId="19FE1380" w:rsidR="00863DA4" w:rsidRPr="003666BE" w:rsidRDefault="00863DA4" w:rsidP="00206815">
      <w:pPr>
        <w:pStyle w:val="Caption"/>
        <w:rPr>
          <w:rFonts w:ascii="Times New Roman" w:hAnsi="Times New Roman" w:cs="Times New Roman"/>
        </w:rPr>
      </w:pPr>
    </w:p>
    <w:p w14:paraId="433ED14B" w14:textId="6F8AF371" w:rsidR="00863DA4" w:rsidRPr="003666BE" w:rsidRDefault="0059696F" w:rsidP="00206815">
      <w:pPr>
        <w:pStyle w:val="Caption"/>
        <w:rPr>
          <w:rFonts w:ascii="Times New Roman" w:hAnsi="Times New Roman" w:cs="Times New Roman"/>
        </w:rPr>
      </w:pPr>
      <w:r w:rsidRPr="003666BE">
        <w:rPr>
          <w:rFonts w:ascii="Times New Roman" w:hAnsi="Times New Roman" w:cs="Times New Roman"/>
          <w:noProof/>
        </w:rPr>
        <w:drawing>
          <wp:inline distT="0" distB="0" distL="0" distR="0" wp14:anchorId="40AA3C19" wp14:editId="46FCEC93">
            <wp:extent cx="5943600" cy="5943600"/>
            <wp:effectExtent l="0" t="0" r="0" b="0"/>
            <wp:docPr id="11" name="Graphic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phic 1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5943600" cy="5943600"/>
                    </a:xfrm>
                    <a:prstGeom prst="rect">
                      <a:avLst/>
                    </a:prstGeom>
                  </pic:spPr>
                </pic:pic>
              </a:graphicData>
            </a:graphic>
          </wp:inline>
        </w:drawing>
      </w:r>
    </w:p>
    <w:p w14:paraId="63B4F90E" w14:textId="013E8AD1" w:rsidR="008111BB" w:rsidRPr="003666BE" w:rsidRDefault="00353483" w:rsidP="00206815">
      <w:pPr>
        <w:pStyle w:val="Caption"/>
        <w:rPr>
          <w:rFonts w:ascii="Times New Roman" w:hAnsi="Times New Roman" w:cs="Times New Roman"/>
          <w:i w:val="0"/>
          <w:iCs/>
        </w:rPr>
      </w:pPr>
      <w:r w:rsidRPr="003666BE">
        <w:rPr>
          <w:rFonts w:ascii="Times New Roman" w:hAnsi="Times New Roman" w:cs="Times New Roman"/>
          <w:b/>
          <w:bCs/>
          <w:i w:val="0"/>
          <w:iCs/>
        </w:rPr>
        <w:t>Fig.</w:t>
      </w:r>
      <w:r w:rsidR="00BB6C02" w:rsidRPr="003666BE">
        <w:rPr>
          <w:rFonts w:ascii="Times New Roman" w:hAnsi="Times New Roman" w:cs="Times New Roman"/>
          <w:b/>
          <w:bCs/>
          <w:i w:val="0"/>
          <w:iCs/>
        </w:rPr>
        <w:t xml:space="preserve"> S</w:t>
      </w:r>
      <w:r w:rsidR="0047214A" w:rsidRPr="003666BE">
        <w:rPr>
          <w:rFonts w:ascii="Times New Roman" w:hAnsi="Times New Roman" w:cs="Times New Roman"/>
          <w:b/>
          <w:bCs/>
          <w:i w:val="0"/>
          <w:iCs/>
        </w:rPr>
        <w:fldChar w:fldCharType="begin"/>
      </w:r>
      <w:r w:rsidR="0047214A" w:rsidRPr="003666BE">
        <w:rPr>
          <w:rFonts w:ascii="Times New Roman" w:hAnsi="Times New Roman" w:cs="Times New Roman"/>
          <w:b/>
          <w:bCs/>
          <w:i w:val="0"/>
          <w:iCs/>
        </w:rPr>
        <w:instrText xml:space="preserve"> SEQ Fig._S \* ARABIC </w:instrText>
      </w:r>
      <w:r w:rsidR="0047214A" w:rsidRPr="003666BE">
        <w:rPr>
          <w:rFonts w:ascii="Times New Roman" w:hAnsi="Times New Roman" w:cs="Times New Roman"/>
          <w:b/>
          <w:bCs/>
          <w:i w:val="0"/>
          <w:iCs/>
        </w:rPr>
        <w:fldChar w:fldCharType="separate"/>
      </w:r>
      <w:r w:rsidR="00A8097A">
        <w:rPr>
          <w:rFonts w:ascii="Times New Roman" w:hAnsi="Times New Roman" w:cs="Times New Roman"/>
          <w:b/>
          <w:bCs/>
          <w:i w:val="0"/>
          <w:iCs/>
          <w:noProof/>
        </w:rPr>
        <w:t>3</w:t>
      </w:r>
      <w:r w:rsidR="0047214A" w:rsidRPr="003666BE">
        <w:rPr>
          <w:rFonts w:ascii="Times New Roman" w:hAnsi="Times New Roman" w:cs="Times New Roman"/>
          <w:b/>
          <w:bCs/>
          <w:i w:val="0"/>
          <w:iCs/>
          <w:noProof/>
        </w:rPr>
        <w:fldChar w:fldCharType="end"/>
      </w:r>
      <w:r w:rsidR="00A5268A">
        <w:rPr>
          <w:rFonts w:ascii="Times New Roman" w:hAnsi="Times New Roman" w:cs="Times New Roman"/>
          <w:b/>
          <w:bCs/>
          <w:i w:val="0"/>
          <w:iCs/>
          <w:noProof/>
        </w:rPr>
        <w:t>.</w:t>
      </w:r>
      <w:r w:rsidR="00BB6C02" w:rsidRPr="003666BE">
        <w:rPr>
          <w:rFonts w:ascii="Times New Roman" w:hAnsi="Times New Roman" w:cs="Times New Roman"/>
          <w:b/>
          <w:bCs/>
          <w:i w:val="0"/>
          <w:iCs/>
        </w:rPr>
        <w:t xml:space="preserve"> Simulated </w:t>
      </w:r>
      <w:r w:rsidR="00984FC5" w:rsidRPr="003666BE">
        <w:rPr>
          <w:rFonts w:ascii="Times New Roman" w:hAnsi="Times New Roman" w:cs="Times New Roman"/>
          <w:b/>
          <w:bCs/>
          <w:i w:val="0"/>
          <w:iCs/>
        </w:rPr>
        <w:t xml:space="preserve">baseline </w:t>
      </w:r>
      <w:r w:rsidR="00BB6C02" w:rsidRPr="003666BE">
        <w:rPr>
          <w:rFonts w:ascii="Times New Roman" w:hAnsi="Times New Roman" w:cs="Times New Roman"/>
          <w:b/>
          <w:bCs/>
          <w:i w:val="0"/>
          <w:iCs/>
        </w:rPr>
        <w:t>and observed changes in oilseed, cropland, and forest area</w:t>
      </w:r>
      <w:r w:rsidR="00984FC5" w:rsidRPr="003666BE">
        <w:rPr>
          <w:rFonts w:ascii="Times New Roman" w:hAnsi="Times New Roman" w:cs="Times New Roman"/>
          <w:b/>
          <w:bCs/>
          <w:i w:val="0"/>
          <w:iCs/>
        </w:rPr>
        <w:t xml:space="preserve"> from 2011 to 2016</w:t>
      </w:r>
      <w:r w:rsidR="00BB6C02" w:rsidRPr="003666BE">
        <w:rPr>
          <w:rFonts w:ascii="Times New Roman" w:hAnsi="Times New Roman" w:cs="Times New Roman"/>
          <w:b/>
          <w:bCs/>
          <w:i w:val="0"/>
          <w:iCs/>
        </w:rPr>
        <w:t xml:space="preserve">. </w:t>
      </w:r>
      <w:r w:rsidR="00BB6C02" w:rsidRPr="003666BE">
        <w:rPr>
          <w:rFonts w:ascii="Times New Roman" w:hAnsi="Times New Roman" w:cs="Times New Roman"/>
          <w:i w:val="0"/>
          <w:iCs/>
        </w:rPr>
        <w:t>The model correctly predicts the direction of changes in oilseed land use and cropland and forest covers across the BBAP region.</w:t>
      </w:r>
    </w:p>
    <w:p w14:paraId="095832FA" w14:textId="5C376BD1" w:rsidR="00533F55" w:rsidRPr="003666BE" w:rsidRDefault="00533F55" w:rsidP="00533F55">
      <w:pPr>
        <w:pStyle w:val="ImageCaption"/>
        <w:rPr>
          <w:rFonts w:ascii="Times New Roman" w:hAnsi="Times New Roman" w:cs="Times New Roman"/>
        </w:rPr>
      </w:pPr>
    </w:p>
    <w:p w14:paraId="6DE45D9D" w14:textId="77777777" w:rsidR="00863DA4" w:rsidRPr="003666BE" w:rsidRDefault="00863DA4" w:rsidP="00206815">
      <w:pPr>
        <w:pStyle w:val="Caption"/>
        <w:rPr>
          <w:rFonts w:ascii="Times New Roman" w:hAnsi="Times New Roman" w:cs="Times New Roman"/>
        </w:rPr>
      </w:pPr>
      <w:bookmarkStart w:id="5" w:name="_Ref72229152"/>
    </w:p>
    <w:p w14:paraId="24A924F2" w14:textId="77777777" w:rsidR="00863DA4" w:rsidRPr="003666BE" w:rsidRDefault="00863DA4">
      <w:pPr>
        <w:rPr>
          <w:i/>
        </w:rPr>
      </w:pPr>
      <w:r w:rsidRPr="003666BE">
        <w:br w:type="page"/>
      </w:r>
    </w:p>
    <w:bookmarkEnd w:id="5"/>
    <w:p w14:paraId="22C28699" w14:textId="2E13D156" w:rsidR="000255A8" w:rsidRPr="003666BE" w:rsidRDefault="000255A8">
      <w:pPr>
        <w:rPr>
          <w:i/>
        </w:rPr>
      </w:pPr>
    </w:p>
    <w:p w14:paraId="1BA9A660" w14:textId="7CDFD699" w:rsidR="007A0D2B" w:rsidRPr="003666BE" w:rsidRDefault="007A0D2B">
      <w:pPr>
        <w:rPr>
          <w:i/>
        </w:rPr>
      </w:pPr>
    </w:p>
    <w:p w14:paraId="3DB52C0B" w14:textId="1FC729C0" w:rsidR="007A0D2B" w:rsidRPr="003666BE" w:rsidRDefault="007A0D2B" w:rsidP="007A0D2B">
      <w:pPr>
        <w:pStyle w:val="Caption"/>
        <w:rPr>
          <w:rFonts w:ascii="Times New Roman" w:hAnsi="Times New Roman" w:cs="Times New Roman"/>
        </w:rPr>
      </w:pPr>
      <w:r w:rsidRPr="003666BE">
        <w:rPr>
          <w:rFonts w:ascii="Times New Roman" w:hAnsi="Times New Roman" w:cs="Times New Roman"/>
          <w:noProof/>
        </w:rPr>
        <w:drawing>
          <wp:inline distT="0" distB="0" distL="0" distR="0" wp14:anchorId="36997C93" wp14:editId="525244DA">
            <wp:extent cx="5943600" cy="5943600"/>
            <wp:effectExtent l="0" t="0" r="0" b="0"/>
            <wp:docPr id="10"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10"/>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5943600" cy="5943600"/>
                    </a:xfrm>
                    <a:prstGeom prst="rect">
                      <a:avLst/>
                    </a:prstGeom>
                  </pic:spPr>
                </pic:pic>
              </a:graphicData>
            </a:graphic>
          </wp:inline>
        </w:drawing>
      </w:r>
    </w:p>
    <w:p w14:paraId="2FD18CAD" w14:textId="3CEFBCC1" w:rsidR="00206815" w:rsidRPr="003666BE" w:rsidRDefault="00353483" w:rsidP="00AB71FB">
      <w:pPr>
        <w:pStyle w:val="Caption"/>
        <w:rPr>
          <w:rFonts w:ascii="Times New Roman" w:hAnsi="Times New Roman" w:cs="Times New Roman"/>
          <w:i w:val="0"/>
          <w:iCs/>
        </w:rPr>
      </w:pPr>
      <w:bookmarkStart w:id="6" w:name="_Ref74666091"/>
      <w:r w:rsidRPr="003666BE">
        <w:rPr>
          <w:rFonts w:ascii="Times New Roman" w:hAnsi="Times New Roman" w:cs="Times New Roman"/>
          <w:b/>
          <w:bCs/>
          <w:i w:val="0"/>
          <w:iCs/>
        </w:rPr>
        <w:t>Fig.</w:t>
      </w:r>
      <w:r w:rsidR="007A0D2B" w:rsidRPr="003666BE">
        <w:rPr>
          <w:rFonts w:ascii="Times New Roman" w:hAnsi="Times New Roman" w:cs="Times New Roman"/>
          <w:b/>
          <w:bCs/>
          <w:i w:val="0"/>
          <w:iCs/>
        </w:rPr>
        <w:t xml:space="preserve"> S</w:t>
      </w:r>
      <w:r w:rsidR="0047214A" w:rsidRPr="003666BE">
        <w:rPr>
          <w:rFonts w:ascii="Times New Roman" w:hAnsi="Times New Roman" w:cs="Times New Roman"/>
          <w:b/>
          <w:bCs/>
          <w:i w:val="0"/>
          <w:iCs/>
        </w:rPr>
        <w:fldChar w:fldCharType="begin"/>
      </w:r>
      <w:r w:rsidR="0047214A" w:rsidRPr="003666BE">
        <w:rPr>
          <w:rFonts w:ascii="Times New Roman" w:hAnsi="Times New Roman" w:cs="Times New Roman"/>
          <w:b/>
          <w:bCs/>
          <w:i w:val="0"/>
          <w:iCs/>
        </w:rPr>
        <w:instrText xml:space="preserve"> SEQ Fig._S \* ARABIC </w:instrText>
      </w:r>
      <w:r w:rsidR="0047214A" w:rsidRPr="003666BE">
        <w:rPr>
          <w:rFonts w:ascii="Times New Roman" w:hAnsi="Times New Roman" w:cs="Times New Roman"/>
          <w:b/>
          <w:bCs/>
          <w:i w:val="0"/>
          <w:iCs/>
        </w:rPr>
        <w:fldChar w:fldCharType="separate"/>
      </w:r>
      <w:r w:rsidR="00A8097A">
        <w:rPr>
          <w:rFonts w:ascii="Times New Roman" w:hAnsi="Times New Roman" w:cs="Times New Roman"/>
          <w:b/>
          <w:bCs/>
          <w:i w:val="0"/>
          <w:iCs/>
          <w:noProof/>
        </w:rPr>
        <w:t>4</w:t>
      </w:r>
      <w:r w:rsidR="0047214A" w:rsidRPr="003666BE">
        <w:rPr>
          <w:rFonts w:ascii="Times New Roman" w:hAnsi="Times New Roman" w:cs="Times New Roman"/>
          <w:b/>
          <w:bCs/>
          <w:i w:val="0"/>
          <w:iCs/>
          <w:noProof/>
        </w:rPr>
        <w:fldChar w:fldCharType="end"/>
      </w:r>
      <w:bookmarkEnd w:id="6"/>
      <w:r w:rsidR="007A0D2B" w:rsidRPr="003666BE">
        <w:rPr>
          <w:rFonts w:ascii="Times New Roman" w:hAnsi="Times New Roman" w:cs="Times New Roman"/>
          <w:b/>
          <w:bCs/>
          <w:i w:val="0"/>
          <w:iCs/>
        </w:rPr>
        <w:t>. Net avoided deforestation in Brazil by forest type</w:t>
      </w:r>
      <w:r w:rsidR="001921A9" w:rsidRPr="003666BE">
        <w:rPr>
          <w:rFonts w:ascii="Times New Roman" w:hAnsi="Times New Roman" w:cs="Times New Roman"/>
          <w:b/>
          <w:bCs/>
          <w:i w:val="0"/>
          <w:iCs/>
        </w:rPr>
        <w:t xml:space="preserve"> and market share threshold for compliance</w:t>
      </w:r>
      <w:r w:rsidR="007A0D2B" w:rsidRPr="003666BE">
        <w:rPr>
          <w:rFonts w:ascii="Times New Roman" w:hAnsi="Times New Roman" w:cs="Times New Roman"/>
          <w:b/>
          <w:bCs/>
          <w:i w:val="0"/>
          <w:iCs/>
        </w:rPr>
        <w:t>.</w:t>
      </w:r>
      <w:r w:rsidR="007A0D2B" w:rsidRPr="003666BE">
        <w:rPr>
          <w:rFonts w:ascii="Times New Roman" w:hAnsi="Times New Roman" w:cs="Times New Roman"/>
          <w:i w:val="0"/>
          <w:iCs/>
        </w:rPr>
        <w:t xml:space="preserve"> </w:t>
      </w:r>
      <w:r w:rsidR="0007106E" w:rsidRPr="003666BE">
        <w:rPr>
          <w:rFonts w:ascii="Times New Roman" w:hAnsi="Times New Roman" w:cs="Times New Roman"/>
          <w:i w:val="0"/>
          <w:iCs/>
        </w:rPr>
        <w:t>In forest definition “A” forests are defined as forest only, as mapped by PRODES for the Amazon and by Mapbiomas for other biomes</w:t>
      </w:r>
      <w:r w:rsidR="002D3EBE" w:rsidRPr="003666BE">
        <w:rPr>
          <w:rFonts w:ascii="Times New Roman" w:hAnsi="Times New Roman" w:cs="Times New Roman"/>
          <w:i w:val="0"/>
          <w:iCs/>
        </w:rPr>
        <w:t xml:space="preserve"> </w:t>
      </w:r>
      <w:r w:rsidR="00DC0B6E" w:rsidRPr="003666BE">
        <w:rPr>
          <w:rFonts w:ascii="Times New Roman" w:hAnsi="Times New Roman" w:cs="Times New Roman"/>
          <w:i w:val="0"/>
          <w:iCs/>
        </w:rPr>
        <w:fldChar w:fldCharType="begin"/>
      </w:r>
      <w:r w:rsidR="000D6366">
        <w:rPr>
          <w:rFonts w:ascii="Times New Roman" w:hAnsi="Times New Roman" w:cs="Times New Roman"/>
          <w:i w:val="0"/>
          <w:iCs/>
        </w:rPr>
        <w:instrText xml:space="preserve"> ADDIN ZOTERO_ITEM CSL_CITATION {"citationID":"Zybaf58N","properties":{"formattedCitation":"\\super 20\\nosupersub{}","plainCitation":"20","noteIndex":0},"citationItems":[{"id":10176,"uris":["http://zotero.org/users/2600/items/G76YBAJJ"],"uri":["http://zotero.org/users/2600/items/G76YBAJJ"],"itemData":{"id":10176,"type":"article","note":"Citation Key: inpe2018","title":"Monitoramento da Cobertura Florestal da Amazônia por Satélites: Sistemas Prodes.","URL":"http://www.obt.inpe.br/OBT/assuntos/programas/amazonia/prodes","author":[{"family":"INPE","given":""}],"issued":{"date-parts":[["2018"]]}}}],"schema":"https://github.com/citation-style-language/schema/raw/master/csl-citation.json"} </w:instrText>
      </w:r>
      <w:r w:rsidR="00DC0B6E" w:rsidRPr="003666BE">
        <w:rPr>
          <w:rFonts w:ascii="Times New Roman" w:hAnsi="Times New Roman" w:cs="Times New Roman"/>
          <w:i w:val="0"/>
          <w:iCs/>
        </w:rPr>
        <w:fldChar w:fldCharType="separate"/>
      </w:r>
      <w:r w:rsidR="000D6366" w:rsidRPr="000D6366">
        <w:rPr>
          <w:rFonts w:ascii="Times New Roman" w:hAnsi="Times New Roman" w:cs="Times New Roman"/>
          <w:vertAlign w:val="superscript"/>
        </w:rPr>
        <w:t>20</w:t>
      </w:r>
      <w:r w:rsidR="00DC0B6E" w:rsidRPr="003666BE">
        <w:rPr>
          <w:rFonts w:ascii="Times New Roman" w:hAnsi="Times New Roman" w:cs="Times New Roman"/>
          <w:i w:val="0"/>
          <w:iCs/>
        </w:rPr>
        <w:fldChar w:fldCharType="end"/>
      </w:r>
      <w:r w:rsidR="0007106E" w:rsidRPr="003666BE">
        <w:rPr>
          <w:rFonts w:ascii="Times New Roman" w:hAnsi="Times New Roman" w:cs="Times New Roman"/>
          <w:i w:val="0"/>
          <w:iCs/>
        </w:rPr>
        <w:t>. I</w:t>
      </w:r>
      <w:r w:rsidR="00780291" w:rsidRPr="003666BE">
        <w:rPr>
          <w:rFonts w:ascii="Times New Roman" w:hAnsi="Times New Roman" w:cs="Times New Roman"/>
          <w:i w:val="0"/>
          <w:iCs/>
        </w:rPr>
        <w:t>n</w:t>
      </w:r>
      <w:r w:rsidR="0007106E" w:rsidRPr="003666BE">
        <w:rPr>
          <w:rFonts w:ascii="Times New Roman" w:hAnsi="Times New Roman" w:cs="Times New Roman"/>
          <w:i w:val="0"/>
          <w:iCs/>
        </w:rPr>
        <w:t xml:space="preserve"> forest definition “B” forest are defined as forest only in the Amazon biome, as mapped by PRODES, and forest and grasslands in all other biomes, as mapped by Mapbiomas. Values close to the </w:t>
      </w:r>
      <w:r w:rsidR="007476B1" w:rsidRPr="003666BE">
        <w:rPr>
          <w:rFonts w:ascii="Times New Roman" w:hAnsi="Times New Roman" w:cs="Times New Roman"/>
          <w:i w:val="0"/>
          <w:iCs/>
        </w:rPr>
        <w:t>black</w:t>
      </w:r>
      <w:r w:rsidR="0007106E" w:rsidRPr="003666BE">
        <w:rPr>
          <w:rFonts w:ascii="Times New Roman" w:hAnsi="Times New Roman" w:cs="Times New Roman"/>
          <w:i w:val="0"/>
          <w:iCs/>
        </w:rPr>
        <w:t xml:space="preserve"> line indicate similar results. </w:t>
      </w:r>
      <w:r w:rsidR="001921A9" w:rsidRPr="003666BE">
        <w:rPr>
          <w:rFonts w:ascii="Times New Roman" w:hAnsi="Times New Roman" w:cs="Times New Roman"/>
          <w:i w:val="0"/>
          <w:iCs/>
        </w:rPr>
        <w:t>Market shares indicate the threshold (% market share) at which producers within a municipality comply with zero-deforestation requirements (i.e., no deforestation after 2011). Results are qualitatively similar across forest definitions.</w:t>
      </w:r>
    </w:p>
    <w:p w14:paraId="4A6E759E" w14:textId="22BE2143" w:rsidR="00417309" w:rsidRPr="003666BE" w:rsidRDefault="00417309" w:rsidP="00AB71FB">
      <w:pPr>
        <w:pStyle w:val="Caption"/>
        <w:rPr>
          <w:rFonts w:ascii="Times New Roman" w:hAnsi="Times New Roman" w:cs="Times New Roman"/>
          <w:i w:val="0"/>
          <w:iCs/>
        </w:rPr>
      </w:pPr>
    </w:p>
    <w:p w14:paraId="09C7EA78" w14:textId="51E62F14" w:rsidR="00417309" w:rsidRPr="003666BE" w:rsidRDefault="00D75C83" w:rsidP="00417309">
      <w:pPr>
        <w:pStyle w:val="Caption"/>
        <w:rPr>
          <w:rFonts w:ascii="Times New Roman" w:hAnsi="Times New Roman" w:cs="Times New Roman"/>
        </w:rPr>
      </w:pPr>
      <w:r>
        <w:rPr>
          <w:rFonts w:ascii="Times New Roman" w:hAnsi="Times New Roman" w:cs="Times New Roman"/>
          <w:noProof/>
        </w:rPr>
        <w:lastRenderedPageBreak/>
        <w:drawing>
          <wp:inline distT="0" distB="0" distL="0" distR="0" wp14:anchorId="06A8EFEE" wp14:editId="7663EA77">
            <wp:extent cx="5943600" cy="6254750"/>
            <wp:effectExtent l="0" t="0" r="0"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4"/>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5943600" cy="6254750"/>
                    </a:xfrm>
                    <a:prstGeom prst="rect">
                      <a:avLst/>
                    </a:prstGeom>
                  </pic:spPr>
                </pic:pic>
              </a:graphicData>
            </a:graphic>
          </wp:inline>
        </w:drawing>
      </w:r>
    </w:p>
    <w:p w14:paraId="557AC3CD" w14:textId="308A0E93" w:rsidR="00417309" w:rsidRPr="003666BE" w:rsidRDefault="00417309" w:rsidP="00417309">
      <w:pPr>
        <w:pStyle w:val="Caption"/>
        <w:rPr>
          <w:rFonts w:ascii="Times New Roman" w:hAnsi="Times New Roman" w:cs="Times New Roman"/>
          <w:i w:val="0"/>
          <w:iCs/>
        </w:rPr>
      </w:pPr>
      <w:r w:rsidRPr="003666BE">
        <w:rPr>
          <w:rFonts w:ascii="Times New Roman" w:hAnsi="Times New Roman" w:cs="Times New Roman"/>
          <w:b/>
          <w:bCs/>
          <w:i w:val="0"/>
          <w:iCs/>
        </w:rPr>
        <w:t>Fig. S</w:t>
      </w:r>
      <w:r w:rsidRPr="003666BE">
        <w:rPr>
          <w:rFonts w:ascii="Times New Roman" w:hAnsi="Times New Roman" w:cs="Times New Roman"/>
          <w:b/>
          <w:bCs/>
          <w:i w:val="0"/>
          <w:iCs/>
        </w:rPr>
        <w:fldChar w:fldCharType="begin"/>
      </w:r>
      <w:r w:rsidRPr="003666BE">
        <w:rPr>
          <w:rFonts w:ascii="Times New Roman" w:hAnsi="Times New Roman" w:cs="Times New Roman"/>
          <w:b/>
          <w:bCs/>
          <w:i w:val="0"/>
          <w:iCs/>
        </w:rPr>
        <w:instrText xml:space="preserve"> SEQ Fig._S \* ARABIC </w:instrText>
      </w:r>
      <w:r w:rsidRPr="003666BE">
        <w:rPr>
          <w:rFonts w:ascii="Times New Roman" w:hAnsi="Times New Roman" w:cs="Times New Roman"/>
          <w:b/>
          <w:bCs/>
          <w:i w:val="0"/>
          <w:iCs/>
        </w:rPr>
        <w:fldChar w:fldCharType="separate"/>
      </w:r>
      <w:r w:rsidR="00A8097A">
        <w:rPr>
          <w:rFonts w:ascii="Times New Roman" w:hAnsi="Times New Roman" w:cs="Times New Roman"/>
          <w:b/>
          <w:bCs/>
          <w:i w:val="0"/>
          <w:iCs/>
          <w:noProof/>
        </w:rPr>
        <w:t>5</w:t>
      </w:r>
      <w:r w:rsidRPr="003666BE">
        <w:rPr>
          <w:rFonts w:ascii="Times New Roman" w:hAnsi="Times New Roman" w:cs="Times New Roman"/>
          <w:b/>
          <w:bCs/>
          <w:i w:val="0"/>
          <w:iCs/>
          <w:noProof/>
        </w:rPr>
        <w:fldChar w:fldCharType="end"/>
      </w:r>
      <w:r w:rsidRPr="003666BE">
        <w:rPr>
          <w:rFonts w:ascii="Times New Roman" w:hAnsi="Times New Roman" w:cs="Times New Roman"/>
          <w:b/>
          <w:bCs/>
          <w:i w:val="0"/>
          <w:iCs/>
        </w:rPr>
        <w:t xml:space="preserve">. Forest Change (2011-2016) in ZDCP Scenarios compared to baseline in Brazil, Bolivia, Argentina, and Paraguay. </w:t>
      </w:r>
      <w:r w:rsidRPr="003666BE">
        <w:rPr>
          <w:rFonts w:ascii="Times New Roman" w:hAnsi="Times New Roman" w:cs="Times New Roman"/>
          <w:i w:val="0"/>
          <w:iCs/>
        </w:rPr>
        <w:t>Error bars extend two standard deviations and represent the uncertainty in model results due to uncertainties in crop yield price elasticities, elasticities of transformation between forests and agricultural lands and between cropland and pastures, trade elasticities, and the elasticity of effective cropland with respect to harvested cropland expansion. These are 95% confidence intervals under normality and 75% Chebyshev confidence intervals for unknown distributions. Results are for market share threshold&gt; 75% (companies with ZDCP commitments have at least a 75% export market share.)</w:t>
      </w:r>
    </w:p>
    <w:p w14:paraId="730ED710" w14:textId="77777777" w:rsidR="00417309" w:rsidRPr="003666BE" w:rsidRDefault="00417309" w:rsidP="00AB71FB">
      <w:pPr>
        <w:pStyle w:val="Caption"/>
        <w:rPr>
          <w:rFonts w:ascii="Times New Roman" w:eastAsiaTheme="majorEastAsia" w:hAnsi="Times New Roman" w:cs="Times New Roman"/>
          <w:b/>
          <w:bCs/>
          <w:i w:val="0"/>
          <w:iCs/>
        </w:rPr>
      </w:pPr>
    </w:p>
    <w:p w14:paraId="44AD8B6F" w14:textId="19F9093B" w:rsidR="005D04EB" w:rsidRPr="003666BE" w:rsidRDefault="00D75C83" w:rsidP="005D04EB">
      <w:pPr>
        <w:pStyle w:val="Caption"/>
        <w:rPr>
          <w:rFonts w:ascii="Times New Roman" w:hAnsi="Times New Roman" w:cs="Times New Roman"/>
        </w:rPr>
      </w:pPr>
      <w:r>
        <w:rPr>
          <w:rFonts w:ascii="Times New Roman" w:hAnsi="Times New Roman" w:cs="Times New Roman"/>
          <w:noProof/>
        </w:rPr>
        <w:lastRenderedPageBreak/>
        <w:drawing>
          <wp:inline distT="0" distB="0" distL="0" distR="0" wp14:anchorId="01E3E6C4" wp14:editId="1104F800">
            <wp:extent cx="5943600" cy="6254750"/>
            <wp:effectExtent l="0" t="0" r="0" b="0"/>
            <wp:docPr id="15" name="Graphic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c 15"/>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943600" cy="6254750"/>
                    </a:xfrm>
                    <a:prstGeom prst="rect">
                      <a:avLst/>
                    </a:prstGeom>
                  </pic:spPr>
                </pic:pic>
              </a:graphicData>
            </a:graphic>
          </wp:inline>
        </w:drawing>
      </w:r>
    </w:p>
    <w:p w14:paraId="090AFAFB" w14:textId="67E9A227" w:rsidR="002E7440" w:rsidRPr="003666BE" w:rsidRDefault="00353483">
      <w:pPr>
        <w:pStyle w:val="Caption"/>
        <w:rPr>
          <w:rFonts w:ascii="Times New Roman" w:hAnsi="Times New Roman" w:cs="Times New Roman"/>
          <w:i w:val="0"/>
          <w:iCs/>
        </w:rPr>
      </w:pPr>
      <w:bookmarkStart w:id="7" w:name="_Ref74757905"/>
      <w:r w:rsidRPr="003666BE">
        <w:rPr>
          <w:rFonts w:ascii="Times New Roman" w:hAnsi="Times New Roman" w:cs="Times New Roman"/>
          <w:b/>
          <w:bCs/>
          <w:i w:val="0"/>
          <w:iCs/>
        </w:rPr>
        <w:t>Fig.</w:t>
      </w:r>
      <w:r w:rsidR="005D04EB" w:rsidRPr="003666BE">
        <w:rPr>
          <w:rFonts w:ascii="Times New Roman" w:hAnsi="Times New Roman" w:cs="Times New Roman"/>
          <w:b/>
          <w:bCs/>
          <w:i w:val="0"/>
          <w:iCs/>
        </w:rPr>
        <w:t xml:space="preserve"> S</w:t>
      </w:r>
      <w:r w:rsidR="0047214A" w:rsidRPr="003666BE">
        <w:rPr>
          <w:rFonts w:ascii="Times New Roman" w:hAnsi="Times New Roman" w:cs="Times New Roman"/>
          <w:b/>
          <w:bCs/>
          <w:i w:val="0"/>
          <w:iCs/>
        </w:rPr>
        <w:fldChar w:fldCharType="begin"/>
      </w:r>
      <w:r w:rsidR="0047214A" w:rsidRPr="003666BE">
        <w:rPr>
          <w:rFonts w:ascii="Times New Roman" w:hAnsi="Times New Roman" w:cs="Times New Roman"/>
          <w:b/>
          <w:bCs/>
          <w:i w:val="0"/>
          <w:iCs/>
        </w:rPr>
        <w:instrText xml:space="preserve"> SEQ Fig._S \* ARABIC </w:instrText>
      </w:r>
      <w:r w:rsidR="0047214A" w:rsidRPr="003666BE">
        <w:rPr>
          <w:rFonts w:ascii="Times New Roman" w:hAnsi="Times New Roman" w:cs="Times New Roman"/>
          <w:b/>
          <w:bCs/>
          <w:i w:val="0"/>
          <w:iCs/>
        </w:rPr>
        <w:fldChar w:fldCharType="separate"/>
      </w:r>
      <w:r w:rsidR="00A8097A">
        <w:rPr>
          <w:rFonts w:ascii="Times New Roman" w:hAnsi="Times New Roman" w:cs="Times New Roman"/>
          <w:b/>
          <w:bCs/>
          <w:i w:val="0"/>
          <w:iCs/>
          <w:noProof/>
        </w:rPr>
        <w:t>6</w:t>
      </w:r>
      <w:r w:rsidR="0047214A" w:rsidRPr="003666BE">
        <w:rPr>
          <w:rFonts w:ascii="Times New Roman" w:hAnsi="Times New Roman" w:cs="Times New Roman"/>
          <w:b/>
          <w:bCs/>
          <w:i w:val="0"/>
          <w:iCs/>
          <w:noProof/>
        </w:rPr>
        <w:fldChar w:fldCharType="end"/>
      </w:r>
      <w:bookmarkEnd w:id="7"/>
      <w:r w:rsidR="005D04EB" w:rsidRPr="003666BE">
        <w:rPr>
          <w:rFonts w:ascii="Times New Roman" w:hAnsi="Times New Roman" w:cs="Times New Roman"/>
          <w:b/>
          <w:bCs/>
          <w:i w:val="0"/>
          <w:iCs/>
        </w:rPr>
        <w:t>. Net avoided deforestation under different assumptions about the value of the elasticity of effective crop land with respect to harvested crop land expansion</w:t>
      </w:r>
      <w:r w:rsidR="00FF678F" w:rsidRPr="003666BE">
        <w:rPr>
          <w:rFonts w:ascii="Times New Roman" w:hAnsi="Times New Roman" w:cs="Times New Roman"/>
          <w:b/>
          <w:bCs/>
          <w:i w:val="0"/>
          <w:iCs/>
        </w:rPr>
        <w:t xml:space="preserve"> (ETA)</w:t>
      </w:r>
      <w:r w:rsidR="005D04EB" w:rsidRPr="003666BE">
        <w:rPr>
          <w:rFonts w:ascii="Times New Roman" w:hAnsi="Times New Roman" w:cs="Times New Roman"/>
          <w:b/>
          <w:bCs/>
          <w:i w:val="0"/>
          <w:iCs/>
        </w:rPr>
        <w:t>.</w:t>
      </w:r>
      <w:r w:rsidR="005D04EB" w:rsidRPr="003666BE">
        <w:rPr>
          <w:rFonts w:ascii="Times New Roman" w:hAnsi="Times New Roman" w:cs="Times New Roman"/>
          <w:i w:val="0"/>
          <w:iCs/>
        </w:rPr>
        <w:t xml:space="preserve"> The values reported by Taheripour et al </w:t>
      </w:r>
      <w:r w:rsidR="005D04EB" w:rsidRPr="003666BE">
        <w:rPr>
          <w:rFonts w:ascii="Times New Roman" w:hAnsi="Times New Roman" w:cs="Times New Roman"/>
          <w:i w:val="0"/>
          <w:iCs/>
        </w:rPr>
        <w:fldChar w:fldCharType="begin"/>
      </w:r>
      <w:r w:rsidR="000D6366">
        <w:rPr>
          <w:rFonts w:ascii="Times New Roman" w:hAnsi="Times New Roman" w:cs="Times New Roman"/>
          <w:i w:val="0"/>
          <w:iCs/>
        </w:rPr>
        <w:instrText xml:space="preserve"> ADDIN ZOTERO_ITEM CSL_CITATION {"citationID":"4tFsbHHc","properties":{"formattedCitation":"\\super 13\\nosupersub{}","plainCitation":"13","noteIndex":0},"citationItems":[{"id":1244,"uris":["http://zotero.org/users/2600/items/A9MHIHCU"],"uri":["http://zotero.org/users/2600/items/A9MHIHCU"],"itemData":{"id":1244,"type":"article-journal","abstract":"Recently, several papers have assessed land use consequences of biofuel expansion. In the absence of empirical evidence, these papers assigned subjective values to extensive margin (productivity of new croplands over productivity of existing croplands).","container-title":"Energy, Sustainability and Society","DOI":"10.1186/2192-0567-2-25","ISSN":"2192-0567","issue":"1","language":"en","note":"Citation Key: taheripour2012","page":"25","source":"www.energsustainsoc.com","title":"Biofuels, cropland expansion, and the extensive margin","volume":"2","author":[{"family":"Taheripour","given":"Farzad"},{"family":"Zhuang","given":"Qianlai"},{"family":"Tyner","given":"Wallace E."},{"family":"Lu","given":"Xiaoliang"}],"issued":{"date-parts":[["2012",12,28]]}}}],"schema":"https://github.com/citation-style-language/schema/raw/master/csl-citation.json"} </w:instrText>
      </w:r>
      <w:r w:rsidR="005D04EB" w:rsidRPr="003666BE">
        <w:rPr>
          <w:rFonts w:ascii="Times New Roman" w:hAnsi="Times New Roman" w:cs="Times New Roman"/>
          <w:i w:val="0"/>
          <w:iCs/>
        </w:rPr>
        <w:fldChar w:fldCharType="separate"/>
      </w:r>
      <w:r w:rsidR="006C5ECD" w:rsidRPr="006C5ECD">
        <w:rPr>
          <w:rFonts w:ascii="Times New Roman" w:hAnsi="Times New Roman" w:cs="Times New Roman"/>
          <w:vertAlign w:val="superscript"/>
        </w:rPr>
        <w:t>13</w:t>
      </w:r>
      <w:r w:rsidR="005D04EB" w:rsidRPr="003666BE">
        <w:rPr>
          <w:rFonts w:ascii="Times New Roman" w:hAnsi="Times New Roman" w:cs="Times New Roman"/>
          <w:i w:val="0"/>
          <w:iCs/>
        </w:rPr>
        <w:fldChar w:fldCharType="end"/>
      </w:r>
      <w:r w:rsidR="005D04EB" w:rsidRPr="003666BE">
        <w:rPr>
          <w:rFonts w:ascii="Times New Roman" w:hAnsi="Times New Roman" w:cs="Times New Roman"/>
          <w:i w:val="0"/>
          <w:iCs/>
        </w:rPr>
        <w:t xml:space="preserve"> are close to unity.</w:t>
      </w:r>
    </w:p>
    <w:p w14:paraId="2E9D1DA5" w14:textId="77777777" w:rsidR="002E7440" w:rsidRPr="003666BE" w:rsidRDefault="002E7440">
      <w:pPr>
        <w:rPr>
          <w:i/>
        </w:rPr>
      </w:pPr>
      <w:r w:rsidRPr="003666BE">
        <w:br w:type="page"/>
      </w:r>
    </w:p>
    <w:p w14:paraId="7ADF03D9" w14:textId="109D9AD0" w:rsidR="00FE2260" w:rsidRPr="003666BE" w:rsidRDefault="00FE2260">
      <w:pPr>
        <w:rPr>
          <w:i/>
        </w:rPr>
      </w:pPr>
    </w:p>
    <w:p w14:paraId="710E8888" w14:textId="77777777" w:rsidR="00FE2260" w:rsidRPr="003666BE" w:rsidRDefault="00FE2260" w:rsidP="00AB71FB">
      <w:pPr>
        <w:pStyle w:val="Caption"/>
        <w:rPr>
          <w:rFonts w:ascii="Times New Roman" w:hAnsi="Times New Roman" w:cs="Times New Roman"/>
        </w:rPr>
      </w:pPr>
    </w:p>
    <w:p w14:paraId="7D77A6AE" w14:textId="77777777" w:rsidR="000D7494" w:rsidRPr="003666BE" w:rsidRDefault="00FE2260" w:rsidP="00AB71FB">
      <w:pPr>
        <w:pStyle w:val="Caption"/>
        <w:rPr>
          <w:rFonts w:ascii="Times New Roman" w:hAnsi="Times New Roman" w:cs="Times New Roman"/>
        </w:rPr>
      </w:pPr>
      <w:bookmarkStart w:id="8" w:name="_Ref76719023"/>
      <w:r w:rsidRPr="003666BE">
        <w:rPr>
          <w:rFonts w:ascii="Times New Roman" w:hAnsi="Times New Roman" w:cs="Times New Roman"/>
          <w:noProof/>
        </w:rPr>
        <w:drawing>
          <wp:inline distT="0" distB="0" distL="0" distR="0" wp14:anchorId="5AD2E3F7" wp14:editId="0398672D">
            <wp:extent cx="5943600" cy="5943600"/>
            <wp:effectExtent l="0" t="0" r="0" b="0"/>
            <wp:docPr id="13" name="Graphic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phic 13"/>
                    <pic:cNvPicPr/>
                  </pic:nvPicPr>
                  <pic:blipFill>
                    <a:blip r:embed="rId18">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5943600" cy="5943600"/>
                    </a:xfrm>
                    <a:prstGeom prst="rect">
                      <a:avLst/>
                    </a:prstGeom>
                  </pic:spPr>
                </pic:pic>
              </a:graphicData>
            </a:graphic>
          </wp:inline>
        </w:drawing>
      </w:r>
      <w:r w:rsidR="000D7494" w:rsidRPr="003666BE">
        <w:rPr>
          <w:rFonts w:ascii="Times New Roman" w:hAnsi="Times New Roman" w:cs="Times New Roman"/>
        </w:rPr>
        <w:t xml:space="preserve"> </w:t>
      </w:r>
    </w:p>
    <w:p w14:paraId="324B83D0" w14:textId="338E58CC" w:rsidR="007B1DD2" w:rsidRPr="003666BE" w:rsidRDefault="00353483" w:rsidP="00D25971">
      <w:pPr>
        <w:pStyle w:val="Caption"/>
        <w:rPr>
          <w:rFonts w:ascii="Times New Roman" w:hAnsi="Times New Roman" w:cs="Times New Roman"/>
          <w:b/>
          <w:bCs/>
          <w:i w:val="0"/>
          <w:iCs/>
        </w:rPr>
      </w:pPr>
      <w:bookmarkStart w:id="9" w:name="_Ref76719234"/>
      <w:r w:rsidRPr="003666BE">
        <w:rPr>
          <w:rFonts w:ascii="Times New Roman" w:hAnsi="Times New Roman" w:cs="Times New Roman"/>
          <w:b/>
          <w:bCs/>
          <w:i w:val="0"/>
          <w:iCs/>
        </w:rPr>
        <w:t>Fig.</w:t>
      </w:r>
      <w:r w:rsidR="000D7494" w:rsidRPr="003666BE">
        <w:rPr>
          <w:rFonts w:ascii="Times New Roman" w:hAnsi="Times New Roman" w:cs="Times New Roman"/>
          <w:b/>
          <w:bCs/>
          <w:i w:val="0"/>
          <w:iCs/>
        </w:rPr>
        <w:t xml:space="preserve"> S</w:t>
      </w:r>
      <w:r w:rsidR="0047214A" w:rsidRPr="003666BE">
        <w:rPr>
          <w:rFonts w:ascii="Times New Roman" w:hAnsi="Times New Roman" w:cs="Times New Roman"/>
          <w:b/>
          <w:bCs/>
          <w:i w:val="0"/>
          <w:iCs/>
        </w:rPr>
        <w:fldChar w:fldCharType="begin"/>
      </w:r>
      <w:r w:rsidR="0047214A" w:rsidRPr="003666BE">
        <w:rPr>
          <w:rFonts w:ascii="Times New Roman" w:hAnsi="Times New Roman" w:cs="Times New Roman"/>
          <w:b/>
          <w:bCs/>
          <w:i w:val="0"/>
          <w:iCs/>
        </w:rPr>
        <w:instrText xml:space="preserve"> SEQ Fig._S \* ARABIC </w:instrText>
      </w:r>
      <w:r w:rsidR="0047214A" w:rsidRPr="003666BE">
        <w:rPr>
          <w:rFonts w:ascii="Times New Roman" w:hAnsi="Times New Roman" w:cs="Times New Roman"/>
          <w:b/>
          <w:bCs/>
          <w:i w:val="0"/>
          <w:iCs/>
        </w:rPr>
        <w:fldChar w:fldCharType="separate"/>
      </w:r>
      <w:r w:rsidR="00A8097A">
        <w:rPr>
          <w:rFonts w:ascii="Times New Roman" w:hAnsi="Times New Roman" w:cs="Times New Roman"/>
          <w:b/>
          <w:bCs/>
          <w:i w:val="0"/>
          <w:iCs/>
          <w:noProof/>
        </w:rPr>
        <w:t>7</w:t>
      </w:r>
      <w:r w:rsidR="0047214A" w:rsidRPr="003666BE">
        <w:rPr>
          <w:rFonts w:ascii="Times New Roman" w:hAnsi="Times New Roman" w:cs="Times New Roman"/>
          <w:b/>
          <w:bCs/>
          <w:i w:val="0"/>
          <w:iCs/>
          <w:noProof/>
        </w:rPr>
        <w:fldChar w:fldCharType="end"/>
      </w:r>
      <w:bookmarkEnd w:id="9"/>
      <w:r w:rsidR="000D7494" w:rsidRPr="003666BE">
        <w:rPr>
          <w:rFonts w:ascii="Times New Roman" w:hAnsi="Times New Roman" w:cs="Times New Roman"/>
          <w:b/>
          <w:bCs/>
          <w:i w:val="0"/>
          <w:iCs/>
        </w:rPr>
        <w:t xml:space="preserve"> </w:t>
      </w:r>
      <w:r w:rsidR="00FE2260" w:rsidRPr="003666BE">
        <w:rPr>
          <w:rFonts w:ascii="Times New Roman" w:hAnsi="Times New Roman" w:cs="Times New Roman"/>
          <w:b/>
          <w:bCs/>
          <w:i w:val="0"/>
          <w:iCs/>
        </w:rPr>
        <w:t>Changes in Oilseed Production Under Different Zero Deforestation Commitment</w:t>
      </w:r>
      <w:r w:rsidR="001921A9" w:rsidRPr="003666BE">
        <w:rPr>
          <w:rFonts w:ascii="Times New Roman" w:hAnsi="Times New Roman" w:cs="Times New Roman"/>
          <w:b/>
          <w:bCs/>
          <w:i w:val="0"/>
          <w:iCs/>
        </w:rPr>
        <w:t xml:space="preserve"> scenarios, by r</w:t>
      </w:r>
      <w:r w:rsidR="00FE2260" w:rsidRPr="003666BE">
        <w:rPr>
          <w:rFonts w:ascii="Times New Roman" w:hAnsi="Times New Roman" w:cs="Times New Roman"/>
          <w:b/>
          <w:bCs/>
          <w:i w:val="0"/>
          <w:iCs/>
        </w:rPr>
        <w:t>egion</w:t>
      </w:r>
      <w:bookmarkEnd w:id="8"/>
      <w:r w:rsidR="001921A9" w:rsidRPr="003666BE">
        <w:rPr>
          <w:rFonts w:ascii="Times New Roman" w:hAnsi="Times New Roman" w:cs="Times New Roman"/>
          <w:b/>
          <w:bCs/>
          <w:i w:val="0"/>
          <w:iCs/>
        </w:rPr>
        <w:t xml:space="preserve">. </w:t>
      </w:r>
      <w:r w:rsidR="001921A9" w:rsidRPr="003666BE">
        <w:rPr>
          <w:rFonts w:ascii="Times New Roman" w:hAnsi="Times New Roman" w:cs="Times New Roman"/>
          <w:i w:val="0"/>
          <w:iCs/>
        </w:rPr>
        <w:t>BAP = Brazil, Argentina, Paraguay; ROW = Rest of World; Global = net global effect (Brazil + BAP + ROW).</w:t>
      </w:r>
    </w:p>
    <w:p w14:paraId="04155CBE" w14:textId="77777777" w:rsidR="00FE2260" w:rsidRPr="003666BE" w:rsidRDefault="00FE2260"/>
    <w:p w14:paraId="2CF501C0" w14:textId="42A3738D" w:rsidR="007B1DD2" w:rsidRPr="003666BE" w:rsidRDefault="007B1DD2">
      <w:pPr>
        <w:rPr>
          <w:i/>
        </w:rPr>
      </w:pPr>
      <w:r w:rsidRPr="003666BE">
        <w:br w:type="page"/>
      </w:r>
    </w:p>
    <w:p w14:paraId="014671E7" w14:textId="77777777" w:rsidR="00E41D10" w:rsidRPr="003666BE" w:rsidRDefault="00E41D10" w:rsidP="00AB71FB">
      <w:pPr>
        <w:pStyle w:val="Caption"/>
        <w:rPr>
          <w:rFonts w:ascii="Times New Roman" w:hAnsi="Times New Roman" w:cs="Times New Roman"/>
        </w:rPr>
      </w:pPr>
      <w:r w:rsidRPr="003666BE">
        <w:rPr>
          <w:rFonts w:ascii="Times New Roman" w:hAnsi="Times New Roman" w:cs="Times New Roman"/>
          <w:noProof/>
        </w:rPr>
        <w:lastRenderedPageBreak/>
        <w:drawing>
          <wp:inline distT="0" distB="0" distL="0" distR="0" wp14:anchorId="604155C2" wp14:editId="204B4644">
            <wp:extent cx="5943600" cy="5943600"/>
            <wp:effectExtent l="0" t="0" r="0" b="0"/>
            <wp:docPr id="8"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c 8"/>
                    <pic:cNvPicPr/>
                  </pic:nvPicPr>
                  <pic:blipFill>
                    <a:blip r:embed="rId20">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5943600" cy="5943600"/>
                    </a:xfrm>
                    <a:prstGeom prst="rect">
                      <a:avLst/>
                    </a:prstGeom>
                  </pic:spPr>
                </pic:pic>
              </a:graphicData>
            </a:graphic>
          </wp:inline>
        </w:drawing>
      </w:r>
    </w:p>
    <w:p w14:paraId="26D4C7BE" w14:textId="08CC28C5" w:rsidR="004F1BBA" w:rsidRPr="003666BE" w:rsidRDefault="00353483" w:rsidP="000D18FB">
      <w:pPr>
        <w:rPr>
          <w:b/>
          <w:bCs/>
        </w:rPr>
      </w:pPr>
      <w:bookmarkStart w:id="10" w:name="_Ref76719188"/>
      <w:r w:rsidRPr="003666BE">
        <w:rPr>
          <w:b/>
          <w:bCs/>
        </w:rPr>
        <w:t>Fig.</w:t>
      </w:r>
      <w:r w:rsidR="00E41D10" w:rsidRPr="003666BE">
        <w:rPr>
          <w:b/>
          <w:bCs/>
        </w:rPr>
        <w:t xml:space="preserve"> S</w:t>
      </w:r>
      <w:r w:rsidR="0047214A" w:rsidRPr="003666BE">
        <w:rPr>
          <w:b/>
          <w:bCs/>
        </w:rPr>
        <w:fldChar w:fldCharType="begin"/>
      </w:r>
      <w:r w:rsidR="0047214A" w:rsidRPr="003666BE">
        <w:rPr>
          <w:b/>
          <w:bCs/>
        </w:rPr>
        <w:instrText xml:space="preserve"> SEQ Fig._S \* ARABIC </w:instrText>
      </w:r>
      <w:r w:rsidR="0047214A" w:rsidRPr="003666BE">
        <w:rPr>
          <w:b/>
          <w:bCs/>
        </w:rPr>
        <w:fldChar w:fldCharType="separate"/>
      </w:r>
      <w:r w:rsidR="00A8097A">
        <w:rPr>
          <w:b/>
          <w:bCs/>
          <w:noProof/>
        </w:rPr>
        <w:t>8</w:t>
      </w:r>
      <w:r w:rsidR="0047214A" w:rsidRPr="003666BE">
        <w:rPr>
          <w:b/>
          <w:bCs/>
          <w:noProof/>
        </w:rPr>
        <w:fldChar w:fldCharType="end"/>
      </w:r>
      <w:bookmarkEnd w:id="10"/>
      <w:r w:rsidR="00E41D10" w:rsidRPr="003666BE">
        <w:rPr>
          <w:b/>
          <w:bCs/>
        </w:rPr>
        <w:t>.  Changes in Oilseed Production Under Different Zero Deforestation Commitment</w:t>
      </w:r>
      <w:r w:rsidR="001921A9" w:rsidRPr="003666BE">
        <w:rPr>
          <w:b/>
          <w:bCs/>
        </w:rPr>
        <w:t xml:space="preserve"> scenarios, b</w:t>
      </w:r>
      <w:r w:rsidR="00E41D10" w:rsidRPr="003666BE">
        <w:rPr>
          <w:b/>
          <w:bCs/>
        </w:rPr>
        <w:t xml:space="preserve">y </w:t>
      </w:r>
      <w:r w:rsidR="001921A9" w:rsidRPr="003666BE">
        <w:rPr>
          <w:b/>
          <w:bCs/>
        </w:rPr>
        <w:t>c</w:t>
      </w:r>
      <w:r w:rsidR="00E41D10" w:rsidRPr="003666BE">
        <w:rPr>
          <w:b/>
          <w:bCs/>
        </w:rPr>
        <w:t>ountry</w:t>
      </w:r>
      <w:r w:rsidR="001921A9" w:rsidRPr="003666BE">
        <w:rPr>
          <w:b/>
          <w:bCs/>
        </w:rPr>
        <w:t xml:space="preserve">. </w:t>
      </w:r>
      <w:r w:rsidR="001921A9" w:rsidRPr="00741505">
        <w:t xml:space="preserve">SSA = </w:t>
      </w:r>
      <w:r w:rsidR="000D18FB" w:rsidRPr="00741505">
        <w:t>sub-Saharan</w:t>
      </w:r>
      <w:r w:rsidR="001921A9" w:rsidRPr="00741505">
        <w:t xml:space="preserve"> Africa.</w:t>
      </w:r>
    </w:p>
    <w:p w14:paraId="276963B1" w14:textId="77777777" w:rsidR="004F1BBA" w:rsidRPr="003666BE" w:rsidRDefault="004F1BBA">
      <w:pPr>
        <w:rPr>
          <w:i/>
        </w:rPr>
      </w:pPr>
      <w:r w:rsidRPr="003666BE">
        <w:br w:type="page"/>
      </w:r>
    </w:p>
    <w:p w14:paraId="26D13CC6" w14:textId="77777777" w:rsidR="004F1BBA" w:rsidRPr="003666BE" w:rsidRDefault="004F1BBA" w:rsidP="00AB71FB">
      <w:pPr>
        <w:pStyle w:val="Caption"/>
        <w:rPr>
          <w:rFonts w:ascii="Times New Roman" w:hAnsi="Times New Roman" w:cs="Times New Roman"/>
        </w:rPr>
      </w:pPr>
      <w:r w:rsidRPr="003666BE">
        <w:rPr>
          <w:rFonts w:ascii="Times New Roman" w:hAnsi="Times New Roman" w:cs="Times New Roman"/>
          <w:noProof/>
        </w:rPr>
        <w:lastRenderedPageBreak/>
        <w:drawing>
          <wp:inline distT="0" distB="0" distL="0" distR="0" wp14:anchorId="3A95D9BF" wp14:editId="36AB4121">
            <wp:extent cx="5943600" cy="5943600"/>
            <wp:effectExtent l="0" t="0" r="0" b="0"/>
            <wp:docPr id="18" name="Graphic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8"/>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5943600" cy="5943600"/>
                    </a:xfrm>
                    <a:prstGeom prst="rect">
                      <a:avLst/>
                    </a:prstGeom>
                  </pic:spPr>
                </pic:pic>
              </a:graphicData>
            </a:graphic>
          </wp:inline>
        </w:drawing>
      </w:r>
    </w:p>
    <w:p w14:paraId="44154BB3" w14:textId="4EFDA9DE" w:rsidR="00D42143" w:rsidRPr="003666BE" w:rsidRDefault="00353483" w:rsidP="004F1BBA">
      <w:pPr>
        <w:pStyle w:val="Caption"/>
        <w:rPr>
          <w:rFonts w:ascii="Times New Roman" w:hAnsi="Times New Roman" w:cs="Times New Roman"/>
          <w:b/>
          <w:bCs/>
          <w:i w:val="0"/>
          <w:iCs/>
        </w:rPr>
      </w:pPr>
      <w:bookmarkStart w:id="11" w:name="_Ref76722696"/>
      <w:r w:rsidRPr="003666BE">
        <w:rPr>
          <w:rFonts w:ascii="Times New Roman" w:hAnsi="Times New Roman" w:cs="Times New Roman"/>
          <w:b/>
          <w:bCs/>
          <w:i w:val="0"/>
          <w:iCs/>
        </w:rPr>
        <w:t>Fig.</w:t>
      </w:r>
      <w:r w:rsidR="004F1BBA" w:rsidRPr="003666BE">
        <w:rPr>
          <w:rFonts w:ascii="Times New Roman" w:hAnsi="Times New Roman" w:cs="Times New Roman"/>
          <w:b/>
          <w:bCs/>
          <w:i w:val="0"/>
          <w:iCs/>
        </w:rPr>
        <w:t xml:space="preserve"> S</w:t>
      </w:r>
      <w:r w:rsidR="0047214A" w:rsidRPr="003666BE">
        <w:rPr>
          <w:rFonts w:ascii="Times New Roman" w:hAnsi="Times New Roman" w:cs="Times New Roman"/>
          <w:b/>
          <w:bCs/>
          <w:i w:val="0"/>
          <w:iCs/>
        </w:rPr>
        <w:fldChar w:fldCharType="begin"/>
      </w:r>
      <w:r w:rsidR="0047214A" w:rsidRPr="003666BE">
        <w:rPr>
          <w:rFonts w:ascii="Times New Roman" w:hAnsi="Times New Roman" w:cs="Times New Roman"/>
          <w:b/>
          <w:bCs/>
          <w:i w:val="0"/>
          <w:iCs/>
        </w:rPr>
        <w:instrText xml:space="preserve"> SEQ Fig._S \* ARABIC </w:instrText>
      </w:r>
      <w:r w:rsidR="0047214A" w:rsidRPr="003666BE">
        <w:rPr>
          <w:rFonts w:ascii="Times New Roman" w:hAnsi="Times New Roman" w:cs="Times New Roman"/>
          <w:b/>
          <w:bCs/>
          <w:i w:val="0"/>
          <w:iCs/>
        </w:rPr>
        <w:fldChar w:fldCharType="separate"/>
      </w:r>
      <w:r w:rsidR="00A8097A">
        <w:rPr>
          <w:rFonts w:ascii="Times New Roman" w:hAnsi="Times New Roman" w:cs="Times New Roman"/>
          <w:b/>
          <w:bCs/>
          <w:i w:val="0"/>
          <w:iCs/>
          <w:noProof/>
        </w:rPr>
        <w:t>9</w:t>
      </w:r>
      <w:r w:rsidR="0047214A" w:rsidRPr="003666BE">
        <w:rPr>
          <w:rFonts w:ascii="Times New Roman" w:hAnsi="Times New Roman" w:cs="Times New Roman"/>
          <w:b/>
          <w:bCs/>
          <w:i w:val="0"/>
          <w:iCs/>
          <w:noProof/>
        </w:rPr>
        <w:fldChar w:fldCharType="end"/>
      </w:r>
      <w:bookmarkEnd w:id="11"/>
      <w:r w:rsidR="004F1BBA" w:rsidRPr="003666BE">
        <w:rPr>
          <w:rFonts w:ascii="Times New Roman" w:hAnsi="Times New Roman" w:cs="Times New Roman"/>
          <w:b/>
          <w:bCs/>
          <w:i w:val="0"/>
          <w:iCs/>
        </w:rPr>
        <w:t>.  Land Cover Changes in North America</w:t>
      </w:r>
      <w:r w:rsidR="00292B5D" w:rsidRPr="003666BE">
        <w:rPr>
          <w:rFonts w:ascii="Times New Roman" w:hAnsi="Times New Roman" w:cs="Times New Roman"/>
          <w:b/>
          <w:bCs/>
          <w:i w:val="0"/>
          <w:iCs/>
        </w:rPr>
        <w:t xml:space="preserve"> Under Different Zero Deforestation Corporate Policy scenarios</w:t>
      </w:r>
      <w:r w:rsidR="001921A9" w:rsidRPr="003666BE">
        <w:rPr>
          <w:rFonts w:ascii="Times New Roman" w:hAnsi="Times New Roman" w:cs="Times New Roman"/>
          <w:b/>
          <w:bCs/>
          <w:i w:val="0"/>
          <w:iCs/>
        </w:rPr>
        <w:t>.</w:t>
      </w:r>
      <w:r w:rsidR="001921A9" w:rsidRPr="003666BE">
        <w:rPr>
          <w:rFonts w:ascii="Times New Roman" w:hAnsi="Times New Roman" w:cs="Times New Roman"/>
          <w:i w:val="0"/>
          <w:iCs/>
        </w:rPr>
        <w:t xml:space="preserve"> Market shares indicate the threshold (% market share) at which producers within a municipality comply with zero-deforestation requirements (i.e., no deforestation after 2011).</w:t>
      </w:r>
    </w:p>
    <w:p w14:paraId="76C3B77C" w14:textId="77777777" w:rsidR="00D42143" w:rsidRPr="003666BE" w:rsidRDefault="00D42143">
      <w:pPr>
        <w:rPr>
          <w:i/>
        </w:rPr>
      </w:pPr>
      <w:r w:rsidRPr="003666BE">
        <w:br w:type="page"/>
      </w:r>
    </w:p>
    <w:p w14:paraId="32D6725D" w14:textId="531C1125" w:rsidR="00D42143" w:rsidRPr="003666BE" w:rsidRDefault="00D42143" w:rsidP="00D42143">
      <w:pPr>
        <w:pStyle w:val="Caption"/>
        <w:rPr>
          <w:rFonts w:ascii="Times New Roman" w:hAnsi="Times New Roman" w:cs="Times New Roman"/>
        </w:rPr>
      </w:pPr>
      <w:r w:rsidRPr="003666BE">
        <w:rPr>
          <w:rFonts w:ascii="Times New Roman" w:hAnsi="Times New Roman" w:cs="Times New Roman"/>
          <w:noProof/>
        </w:rPr>
        <w:lastRenderedPageBreak/>
        <w:drawing>
          <wp:inline distT="0" distB="0" distL="0" distR="0" wp14:anchorId="76CA950D" wp14:editId="55CCCE61">
            <wp:extent cx="5943600" cy="5943600"/>
            <wp:effectExtent l="0" t="0" r="0" b="0"/>
            <wp:docPr id="19" name="Graphic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phic 19"/>
                    <pic:cNvPicPr/>
                  </pic:nvPicPr>
                  <pic:blipFill>
                    <a:blip r:embed="rId24">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0"/>
                      <a:ext cx="5943600" cy="5943600"/>
                    </a:xfrm>
                    <a:prstGeom prst="rect">
                      <a:avLst/>
                    </a:prstGeom>
                  </pic:spPr>
                </pic:pic>
              </a:graphicData>
            </a:graphic>
          </wp:inline>
        </w:drawing>
      </w:r>
    </w:p>
    <w:p w14:paraId="69AD38DD" w14:textId="64F392B7" w:rsidR="00D42143" w:rsidRPr="003666BE" w:rsidRDefault="00353483" w:rsidP="00D42143">
      <w:pPr>
        <w:pStyle w:val="Caption"/>
        <w:rPr>
          <w:rFonts w:ascii="Times New Roman" w:hAnsi="Times New Roman" w:cs="Times New Roman"/>
          <w:b/>
          <w:bCs/>
          <w:i w:val="0"/>
          <w:iCs/>
        </w:rPr>
      </w:pPr>
      <w:bookmarkStart w:id="12" w:name="_Ref76723417"/>
      <w:r w:rsidRPr="003666BE">
        <w:rPr>
          <w:rFonts w:ascii="Times New Roman" w:hAnsi="Times New Roman" w:cs="Times New Roman"/>
          <w:b/>
          <w:bCs/>
          <w:i w:val="0"/>
          <w:iCs/>
        </w:rPr>
        <w:t>Fig.</w:t>
      </w:r>
      <w:r w:rsidR="00D42143" w:rsidRPr="003666BE">
        <w:rPr>
          <w:rFonts w:ascii="Times New Roman" w:hAnsi="Times New Roman" w:cs="Times New Roman"/>
          <w:b/>
          <w:bCs/>
          <w:i w:val="0"/>
          <w:iCs/>
        </w:rPr>
        <w:t xml:space="preserve"> S</w:t>
      </w:r>
      <w:r w:rsidR="0047214A" w:rsidRPr="003666BE">
        <w:rPr>
          <w:rFonts w:ascii="Times New Roman" w:hAnsi="Times New Roman" w:cs="Times New Roman"/>
          <w:b/>
          <w:bCs/>
          <w:i w:val="0"/>
          <w:iCs/>
        </w:rPr>
        <w:fldChar w:fldCharType="begin"/>
      </w:r>
      <w:r w:rsidR="0047214A" w:rsidRPr="003666BE">
        <w:rPr>
          <w:rFonts w:ascii="Times New Roman" w:hAnsi="Times New Roman" w:cs="Times New Roman"/>
          <w:b/>
          <w:bCs/>
          <w:i w:val="0"/>
          <w:iCs/>
        </w:rPr>
        <w:instrText xml:space="preserve"> SEQ Fig._S \* ARABIC </w:instrText>
      </w:r>
      <w:r w:rsidR="0047214A" w:rsidRPr="003666BE">
        <w:rPr>
          <w:rFonts w:ascii="Times New Roman" w:hAnsi="Times New Roman" w:cs="Times New Roman"/>
          <w:b/>
          <w:bCs/>
          <w:i w:val="0"/>
          <w:iCs/>
        </w:rPr>
        <w:fldChar w:fldCharType="separate"/>
      </w:r>
      <w:r w:rsidR="00A8097A">
        <w:rPr>
          <w:rFonts w:ascii="Times New Roman" w:hAnsi="Times New Roman" w:cs="Times New Roman"/>
          <w:b/>
          <w:bCs/>
          <w:i w:val="0"/>
          <w:iCs/>
          <w:noProof/>
        </w:rPr>
        <w:t>10</w:t>
      </w:r>
      <w:r w:rsidR="0047214A" w:rsidRPr="003666BE">
        <w:rPr>
          <w:rFonts w:ascii="Times New Roman" w:hAnsi="Times New Roman" w:cs="Times New Roman"/>
          <w:b/>
          <w:bCs/>
          <w:i w:val="0"/>
          <w:iCs/>
          <w:noProof/>
        </w:rPr>
        <w:fldChar w:fldCharType="end"/>
      </w:r>
      <w:bookmarkEnd w:id="12"/>
      <w:r w:rsidR="00D42143" w:rsidRPr="003666BE">
        <w:rPr>
          <w:rFonts w:ascii="Times New Roman" w:hAnsi="Times New Roman" w:cs="Times New Roman"/>
          <w:b/>
          <w:bCs/>
          <w:i w:val="0"/>
          <w:iCs/>
        </w:rPr>
        <w:t xml:space="preserve">.  Land Cover Changes in </w:t>
      </w:r>
      <w:r w:rsidR="00292B5D" w:rsidRPr="003666BE">
        <w:rPr>
          <w:rFonts w:ascii="Times New Roman" w:hAnsi="Times New Roman" w:cs="Times New Roman"/>
          <w:b/>
          <w:bCs/>
          <w:i w:val="0"/>
          <w:iCs/>
        </w:rPr>
        <w:t>the EU</w:t>
      </w:r>
      <w:r w:rsidR="00D42143" w:rsidRPr="003666BE">
        <w:rPr>
          <w:rFonts w:ascii="Times New Roman" w:hAnsi="Times New Roman" w:cs="Times New Roman"/>
          <w:b/>
          <w:bCs/>
          <w:i w:val="0"/>
          <w:iCs/>
        </w:rPr>
        <w:t xml:space="preserve"> Under Different Zero Deforestation </w:t>
      </w:r>
      <w:r w:rsidR="00292B5D" w:rsidRPr="003666BE">
        <w:rPr>
          <w:rFonts w:ascii="Times New Roman" w:hAnsi="Times New Roman" w:cs="Times New Roman"/>
          <w:b/>
          <w:bCs/>
          <w:i w:val="0"/>
          <w:iCs/>
        </w:rPr>
        <w:t xml:space="preserve">Corporate Policy </w:t>
      </w:r>
      <w:r w:rsidR="001921A9" w:rsidRPr="003666BE">
        <w:rPr>
          <w:rFonts w:ascii="Times New Roman" w:hAnsi="Times New Roman" w:cs="Times New Roman"/>
          <w:b/>
          <w:bCs/>
          <w:i w:val="0"/>
          <w:iCs/>
        </w:rPr>
        <w:t xml:space="preserve">scenarios. </w:t>
      </w:r>
      <w:r w:rsidR="001921A9" w:rsidRPr="003666BE">
        <w:rPr>
          <w:rFonts w:ascii="Times New Roman" w:hAnsi="Times New Roman" w:cs="Times New Roman"/>
          <w:i w:val="0"/>
          <w:iCs/>
        </w:rPr>
        <w:t>Market shares indicate the threshold (% market share) at which producers within a municipality comply with zero-deforestation requirements (i.e., no deforestation after 2011).</w:t>
      </w:r>
    </w:p>
    <w:p w14:paraId="277F09B8" w14:textId="77777777" w:rsidR="004F1BBA" w:rsidRPr="003666BE" w:rsidRDefault="004F1BBA" w:rsidP="004F1BBA">
      <w:pPr>
        <w:pStyle w:val="Caption"/>
        <w:rPr>
          <w:rFonts w:ascii="Times New Roman" w:hAnsi="Times New Roman" w:cs="Times New Roman"/>
        </w:rPr>
      </w:pPr>
    </w:p>
    <w:p w14:paraId="66F9429E" w14:textId="16005BDF" w:rsidR="005D04EB" w:rsidRPr="003666BE" w:rsidRDefault="005D04EB" w:rsidP="00AB71FB">
      <w:pPr>
        <w:pStyle w:val="Caption"/>
        <w:rPr>
          <w:rFonts w:ascii="Times New Roman" w:eastAsiaTheme="majorEastAsia" w:hAnsi="Times New Roman" w:cs="Times New Roman"/>
          <w:b/>
          <w:bCs/>
        </w:rPr>
      </w:pPr>
      <w:r w:rsidRPr="003666BE">
        <w:rPr>
          <w:rFonts w:ascii="Times New Roman" w:hAnsi="Times New Roman" w:cs="Times New Roman"/>
        </w:rPr>
        <w:br w:type="page"/>
      </w:r>
    </w:p>
    <w:p w14:paraId="1141A878" w14:textId="496A1504" w:rsidR="00E54D17" w:rsidRPr="003666BE" w:rsidRDefault="008111BB" w:rsidP="005E7370">
      <w:pPr>
        <w:pStyle w:val="Heading1"/>
      </w:pPr>
      <w:r w:rsidRPr="003666BE">
        <w:lastRenderedPageBreak/>
        <w:t>Tables</w:t>
      </w:r>
      <w:r w:rsidR="00292B5D" w:rsidRPr="003666BE">
        <w:t xml:space="preserve"> (extended Data upon publication)</w:t>
      </w:r>
    </w:p>
    <w:p w14:paraId="783E143B" w14:textId="77777777" w:rsidR="0093788F" w:rsidRPr="003666BE" w:rsidRDefault="0093788F"/>
    <w:p w14:paraId="271CBD4B" w14:textId="05B51964" w:rsidR="0093788F" w:rsidRPr="003666BE" w:rsidRDefault="0093788F" w:rsidP="00501C8F">
      <w:pPr>
        <w:pStyle w:val="Caption"/>
        <w:rPr>
          <w:rFonts w:ascii="Times New Roman" w:hAnsi="Times New Roman" w:cs="Times New Roman"/>
          <w:b/>
          <w:bCs/>
          <w:i w:val="0"/>
          <w:iCs/>
        </w:rPr>
      </w:pPr>
      <w:r w:rsidRPr="003666BE">
        <w:rPr>
          <w:rFonts w:ascii="Times New Roman" w:hAnsi="Times New Roman" w:cs="Times New Roman"/>
          <w:b/>
          <w:bCs/>
          <w:i w:val="0"/>
          <w:iCs/>
        </w:rPr>
        <w:t>Table S</w:t>
      </w:r>
      <w:r w:rsidR="0047214A" w:rsidRPr="003666BE">
        <w:rPr>
          <w:rFonts w:ascii="Times New Roman" w:hAnsi="Times New Roman" w:cs="Times New Roman"/>
          <w:b/>
          <w:bCs/>
          <w:i w:val="0"/>
          <w:iCs/>
        </w:rPr>
        <w:fldChar w:fldCharType="begin"/>
      </w:r>
      <w:r w:rsidR="0047214A" w:rsidRPr="003666BE">
        <w:rPr>
          <w:rFonts w:ascii="Times New Roman" w:hAnsi="Times New Roman" w:cs="Times New Roman"/>
          <w:b/>
          <w:bCs/>
          <w:i w:val="0"/>
          <w:iCs/>
        </w:rPr>
        <w:instrText xml:space="preserve"> SEQ Table_S \* ARABIC </w:instrText>
      </w:r>
      <w:r w:rsidR="0047214A" w:rsidRPr="003666BE">
        <w:rPr>
          <w:rFonts w:ascii="Times New Roman" w:hAnsi="Times New Roman" w:cs="Times New Roman"/>
          <w:b/>
          <w:bCs/>
          <w:i w:val="0"/>
          <w:iCs/>
        </w:rPr>
        <w:fldChar w:fldCharType="separate"/>
      </w:r>
      <w:r w:rsidR="00292B5D" w:rsidRPr="003666BE">
        <w:rPr>
          <w:rFonts w:ascii="Times New Roman" w:hAnsi="Times New Roman" w:cs="Times New Roman"/>
          <w:b/>
          <w:bCs/>
          <w:i w:val="0"/>
          <w:iCs/>
          <w:noProof/>
        </w:rPr>
        <w:t>1</w:t>
      </w:r>
      <w:r w:rsidR="0047214A" w:rsidRPr="003666BE">
        <w:rPr>
          <w:rFonts w:ascii="Times New Roman" w:hAnsi="Times New Roman" w:cs="Times New Roman"/>
          <w:b/>
          <w:bCs/>
          <w:i w:val="0"/>
          <w:iCs/>
          <w:noProof/>
        </w:rPr>
        <w:fldChar w:fldCharType="end"/>
      </w:r>
      <w:r w:rsidRPr="003666BE">
        <w:rPr>
          <w:rFonts w:ascii="Times New Roman" w:hAnsi="Times New Roman" w:cs="Times New Roman"/>
          <w:b/>
          <w:bCs/>
          <w:i w:val="0"/>
          <w:iCs/>
        </w:rPr>
        <w:t>: Percentage Change in Macroeconomic Drivers of Land Use Between 2011 and 2016</w:t>
      </w:r>
    </w:p>
    <w:tbl>
      <w:tblPr>
        <w:tblW w:w="0" w:type="pct"/>
        <w:tblLook w:val="07E0" w:firstRow="1" w:lastRow="1" w:firstColumn="1" w:lastColumn="1" w:noHBand="1" w:noVBand="1"/>
      </w:tblPr>
      <w:tblGrid>
        <w:gridCol w:w="936"/>
        <w:gridCol w:w="1703"/>
        <w:gridCol w:w="1536"/>
        <w:gridCol w:w="1456"/>
        <w:gridCol w:w="1337"/>
        <w:gridCol w:w="1250"/>
      </w:tblGrid>
      <w:tr w:rsidR="00A775F4" w:rsidRPr="003666BE" w14:paraId="0A312938" w14:textId="77777777" w:rsidTr="00597356">
        <w:tc>
          <w:tcPr>
            <w:tcW w:w="0" w:type="auto"/>
            <w:vAlign w:val="bottom"/>
          </w:tcPr>
          <w:p w14:paraId="1496C0B0" w14:textId="77777777" w:rsidR="0093788F" w:rsidRPr="00741505" w:rsidRDefault="0093788F" w:rsidP="00597356">
            <w:pPr>
              <w:pStyle w:val="Compact"/>
              <w:rPr>
                <w:b/>
                <w:bCs/>
              </w:rPr>
            </w:pPr>
            <w:r w:rsidRPr="00741505">
              <w:rPr>
                <w:b/>
                <w:bCs/>
              </w:rPr>
              <w:t>Region</w:t>
            </w:r>
          </w:p>
        </w:tc>
        <w:tc>
          <w:tcPr>
            <w:tcW w:w="0" w:type="auto"/>
            <w:vAlign w:val="bottom"/>
          </w:tcPr>
          <w:p w14:paraId="766ADCA0" w14:textId="77777777" w:rsidR="0093788F" w:rsidRPr="00741505" w:rsidRDefault="0093788F" w:rsidP="00597356">
            <w:pPr>
              <w:pStyle w:val="Compact"/>
              <w:rPr>
                <w:b/>
                <w:bCs/>
              </w:rPr>
            </w:pPr>
            <w:r w:rsidRPr="00741505">
              <w:rPr>
                <w:b/>
                <w:bCs/>
              </w:rPr>
              <w:t>Capital Stocks</w:t>
            </w:r>
          </w:p>
        </w:tc>
        <w:tc>
          <w:tcPr>
            <w:tcW w:w="0" w:type="auto"/>
            <w:vAlign w:val="bottom"/>
          </w:tcPr>
          <w:p w14:paraId="7C9EEB45" w14:textId="77777777" w:rsidR="0093788F" w:rsidRPr="00741505" w:rsidRDefault="0093788F" w:rsidP="00597356">
            <w:pPr>
              <w:pStyle w:val="Compact"/>
              <w:rPr>
                <w:b/>
                <w:bCs/>
              </w:rPr>
            </w:pPr>
            <w:r w:rsidRPr="00741505">
              <w:rPr>
                <w:b/>
                <w:bCs/>
              </w:rPr>
              <w:t>Employment</w:t>
            </w:r>
          </w:p>
        </w:tc>
        <w:tc>
          <w:tcPr>
            <w:tcW w:w="0" w:type="auto"/>
            <w:vAlign w:val="bottom"/>
          </w:tcPr>
          <w:p w14:paraId="77B4ADB9" w14:textId="77777777" w:rsidR="0093788F" w:rsidRPr="00741505" w:rsidRDefault="0093788F" w:rsidP="00597356">
            <w:pPr>
              <w:pStyle w:val="Compact"/>
              <w:rPr>
                <w:b/>
                <w:bCs/>
              </w:rPr>
            </w:pPr>
            <w:r w:rsidRPr="00741505">
              <w:rPr>
                <w:b/>
                <w:bCs/>
              </w:rPr>
              <w:t>Investments</w:t>
            </w:r>
          </w:p>
        </w:tc>
        <w:tc>
          <w:tcPr>
            <w:tcW w:w="0" w:type="auto"/>
            <w:vAlign w:val="bottom"/>
          </w:tcPr>
          <w:p w14:paraId="6979958E" w14:textId="77777777" w:rsidR="0093788F" w:rsidRPr="00741505" w:rsidRDefault="0093788F" w:rsidP="00597356">
            <w:pPr>
              <w:pStyle w:val="Compact"/>
              <w:rPr>
                <w:b/>
                <w:bCs/>
              </w:rPr>
            </w:pPr>
            <w:r w:rsidRPr="00741505">
              <w:rPr>
                <w:b/>
                <w:bCs/>
              </w:rPr>
              <w:t>Population</w:t>
            </w:r>
          </w:p>
        </w:tc>
        <w:tc>
          <w:tcPr>
            <w:tcW w:w="0" w:type="auto"/>
            <w:vAlign w:val="bottom"/>
          </w:tcPr>
          <w:p w14:paraId="786B5275" w14:textId="77777777" w:rsidR="0093788F" w:rsidRPr="00741505" w:rsidRDefault="0093788F" w:rsidP="00597356">
            <w:pPr>
              <w:pStyle w:val="Compact"/>
              <w:rPr>
                <w:b/>
                <w:bCs/>
              </w:rPr>
            </w:pPr>
            <w:r w:rsidRPr="00741505">
              <w:rPr>
                <w:b/>
                <w:bCs/>
              </w:rPr>
              <w:t>Real GDP</w:t>
            </w:r>
          </w:p>
        </w:tc>
      </w:tr>
    </w:tbl>
    <w:tbl>
      <w:tblPr>
        <w:tblStyle w:val="Table"/>
        <w:tblW w:w="0" w:type="pct"/>
        <w:tblLook w:val="07E0" w:firstRow="1" w:lastRow="1" w:firstColumn="1" w:lastColumn="1" w:noHBand="1" w:noVBand="1"/>
      </w:tblPr>
      <w:tblGrid>
        <w:gridCol w:w="2096"/>
        <w:gridCol w:w="756"/>
        <w:gridCol w:w="756"/>
        <w:gridCol w:w="836"/>
        <w:gridCol w:w="756"/>
        <w:gridCol w:w="756"/>
      </w:tblGrid>
      <w:tr w:rsidR="0093788F" w:rsidRPr="003666BE" w14:paraId="5F5D2A51" w14:textId="77777777" w:rsidTr="00597356">
        <w:tc>
          <w:tcPr>
            <w:tcW w:w="0" w:type="auto"/>
          </w:tcPr>
          <w:p w14:paraId="7145B20E" w14:textId="77777777" w:rsidR="0093788F" w:rsidRPr="003666BE" w:rsidRDefault="0093788F" w:rsidP="00597356">
            <w:pPr>
              <w:pStyle w:val="Compact"/>
            </w:pPr>
            <w:r w:rsidRPr="003666BE">
              <w:t>Argentina</w:t>
            </w:r>
          </w:p>
        </w:tc>
        <w:tc>
          <w:tcPr>
            <w:tcW w:w="0" w:type="auto"/>
          </w:tcPr>
          <w:p w14:paraId="19CCBB20" w14:textId="77777777" w:rsidR="0093788F" w:rsidRPr="003666BE" w:rsidRDefault="0093788F" w:rsidP="00597356">
            <w:pPr>
              <w:pStyle w:val="Compact"/>
            </w:pPr>
            <w:r w:rsidRPr="003666BE">
              <w:t>22.72</w:t>
            </w:r>
          </w:p>
        </w:tc>
        <w:tc>
          <w:tcPr>
            <w:tcW w:w="0" w:type="auto"/>
          </w:tcPr>
          <w:p w14:paraId="5E336DCD" w14:textId="77777777" w:rsidR="0093788F" w:rsidRPr="003666BE" w:rsidRDefault="0093788F" w:rsidP="00597356">
            <w:pPr>
              <w:pStyle w:val="Compact"/>
            </w:pPr>
            <w:r w:rsidRPr="003666BE">
              <w:t>4.58</w:t>
            </w:r>
          </w:p>
        </w:tc>
        <w:tc>
          <w:tcPr>
            <w:tcW w:w="0" w:type="auto"/>
          </w:tcPr>
          <w:p w14:paraId="76082DA2" w14:textId="77777777" w:rsidR="0093788F" w:rsidRPr="003666BE" w:rsidRDefault="0093788F" w:rsidP="00597356">
            <w:pPr>
              <w:pStyle w:val="Compact"/>
            </w:pPr>
            <w:r w:rsidRPr="003666BE">
              <w:t>-7.39</w:t>
            </w:r>
          </w:p>
        </w:tc>
        <w:tc>
          <w:tcPr>
            <w:tcW w:w="0" w:type="auto"/>
          </w:tcPr>
          <w:p w14:paraId="32CB89BA" w14:textId="77777777" w:rsidR="0093788F" w:rsidRPr="003666BE" w:rsidRDefault="0093788F" w:rsidP="00597356">
            <w:pPr>
              <w:pStyle w:val="Compact"/>
            </w:pPr>
            <w:r w:rsidRPr="003666BE">
              <w:t>5.11</w:t>
            </w:r>
          </w:p>
        </w:tc>
        <w:tc>
          <w:tcPr>
            <w:tcW w:w="0" w:type="auto"/>
          </w:tcPr>
          <w:p w14:paraId="456F715F" w14:textId="77777777" w:rsidR="0093788F" w:rsidRPr="003666BE" w:rsidRDefault="0093788F" w:rsidP="00597356">
            <w:pPr>
              <w:pStyle w:val="Compact"/>
            </w:pPr>
            <w:r w:rsidRPr="003666BE">
              <w:t>3.23</w:t>
            </w:r>
          </w:p>
        </w:tc>
      </w:tr>
      <w:tr w:rsidR="0093788F" w:rsidRPr="003666BE" w14:paraId="462EABA3" w14:textId="77777777" w:rsidTr="00597356">
        <w:tc>
          <w:tcPr>
            <w:tcW w:w="0" w:type="auto"/>
          </w:tcPr>
          <w:p w14:paraId="142D5958" w14:textId="77777777" w:rsidR="0093788F" w:rsidRPr="003666BE" w:rsidRDefault="0093788F" w:rsidP="00597356">
            <w:pPr>
              <w:pStyle w:val="Compact"/>
            </w:pPr>
            <w:r w:rsidRPr="003666BE">
              <w:t>Bolivia</w:t>
            </w:r>
          </w:p>
        </w:tc>
        <w:tc>
          <w:tcPr>
            <w:tcW w:w="0" w:type="auto"/>
          </w:tcPr>
          <w:p w14:paraId="2AC9385F" w14:textId="77777777" w:rsidR="0093788F" w:rsidRPr="003666BE" w:rsidRDefault="0093788F" w:rsidP="00597356">
            <w:pPr>
              <w:pStyle w:val="Compact"/>
            </w:pPr>
            <w:r w:rsidRPr="003666BE">
              <w:t>40.38</w:t>
            </w:r>
          </w:p>
        </w:tc>
        <w:tc>
          <w:tcPr>
            <w:tcW w:w="0" w:type="auto"/>
          </w:tcPr>
          <w:p w14:paraId="04845F38" w14:textId="77777777" w:rsidR="0093788F" w:rsidRPr="003666BE" w:rsidRDefault="0093788F" w:rsidP="00597356">
            <w:pPr>
              <w:pStyle w:val="Compact"/>
            </w:pPr>
            <w:r w:rsidRPr="003666BE">
              <w:t>4.62</w:t>
            </w:r>
          </w:p>
        </w:tc>
        <w:tc>
          <w:tcPr>
            <w:tcW w:w="0" w:type="auto"/>
          </w:tcPr>
          <w:p w14:paraId="65459E7D" w14:textId="77777777" w:rsidR="0093788F" w:rsidRPr="003666BE" w:rsidRDefault="0093788F" w:rsidP="00597356">
            <w:pPr>
              <w:pStyle w:val="Compact"/>
            </w:pPr>
            <w:r w:rsidRPr="003666BE">
              <w:t>33.56</w:t>
            </w:r>
          </w:p>
        </w:tc>
        <w:tc>
          <w:tcPr>
            <w:tcW w:w="0" w:type="auto"/>
          </w:tcPr>
          <w:p w14:paraId="3ADE15A0" w14:textId="77777777" w:rsidR="0093788F" w:rsidRPr="003666BE" w:rsidRDefault="0093788F" w:rsidP="00597356">
            <w:pPr>
              <w:pStyle w:val="Compact"/>
            </w:pPr>
            <w:r w:rsidRPr="003666BE">
              <w:t>7.73</w:t>
            </w:r>
          </w:p>
        </w:tc>
        <w:tc>
          <w:tcPr>
            <w:tcW w:w="0" w:type="auto"/>
          </w:tcPr>
          <w:p w14:paraId="74F06A65" w14:textId="77777777" w:rsidR="0093788F" w:rsidRPr="003666BE" w:rsidRDefault="0093788F" w:rsidP="00597356">
            <w:pPr>
              <w:pStyle w:val="Compact"/>
            </w:pPr>
            <w:r w:rsidRPr="003666BE">
              <w:t>25.78</w:t>
            </w:r>
          </w:p>
        </w:tc>
      </w:tr>
      <w:tr w:rsidR="0093788F" w:rsidRPr="003666BE" w14:paraId="7EBDEA6C" w14:textId="77777777" w:rsidTr="00597356">
        <w:tc>
          <w:tcPr>
            <w:tcW w:w="0" w:type="auto"/>
          </w:tcPr>
          <w:p w14:paraId="077B6B4D" w14:textId="77777777" w:rsidR="0093788F" w:rsidRPr="003666BE" w:rsidRDefault="0093788F" w:rsidP="00597356">
            <w:pPr>
              <w:pStyle w:val="Compact"/>
            </w:pPr>
            <w:r w:rsidRPr="003666BE">
              <w:t>Brazil</w:t>
            </w:r>
          </w:p>
        </w:tc>
        <w:tc>
          <w:tcPr>
            <w:tcW w:w="0" w:type="auto"/>
          </w:tcPr>
          <w:p w14:paraId="24D02FB5" w14:textId="77777777" w:rsidR="0093788F" w:rsidRPr="003666BE" w:rsidRDefault="0093788F" w:rsidP="00597356">
            <w:pPr>
              <w:pStyle w:val="Compact"/>
            </w:pPr>
            <w:r w:rsidRPr="003666BE">
              <w:t>23.14</w:t>
            </w:r>
          </w:p>
        </w:tc>
        <w:tc>
          <w:tcPr>
            <w:tcW w:w="0" w:type="auto"/>
          </w:tcPr>
          <w:p w14:paraId="61C2F836" w14:textId="77777777" w:rsidR="0093788F" w:rsidRPr="003666BE" w:rsidRDefault="0093788F" w:rsidP="00597356">
            <w:pPr>
              <w:pStyle w:val="Compact"/>
            </w:pPr>
            <w:r w:rsidRPr="003666BE">
              <w:t>5.10</w:t>
            </w:r>
          </w:p>
        </w:tc>
        <w:tc>
          <w:tcPr>
            <w:tcW w:w="0" w:type="auto"/>
          </w:tcPr>
          <w:p w14:paraId="0FB91812" w14:textId="77777777" w:rsidR="0093788F" w:rsidRPr="003666BE" w:rsidRDefault="0093788F" w:rsidP="00597356">
            <w:pPr>
              <w:pStyle w:val="Compact"/>
            </w:pPr>
            <w:r w:rsidRPr="003666BE">
              <w:t>-34.88</w:t>
            </w:r>
          </w:p>
        </w:tc>
        <w:tc>
          <w:tcPr>
            <w:tcW w:w="0" w:type="auto"/>
          </w:tcPr>
          <w:p w14:paraId="4ADD25F5" w14:textId="77777777" w:rsidR="0093788F" w:rsidRPr="003666BE" w:rsidRDefault="0093788F" w:rsidP="00597356">
            <w:pPr>
              <w:pStyle w:val="Compact"/>
            </w:pPr>
            <w:r w:rsidRPr="003666BE">
              <w:t>4.41</w:t>
            </w:r>
          </w:p>
        </w:tc>
        <w:tc>
          <w:tcPr>
            <w:tcW w:w="0" w:type="auto"/>
          </w:tcPr>
          <w:p w14:paraId="2106036B" w14:textId="77777777" w:rsidR="0093788F" w:rsidRPr="003666BE" w:rsidRDefault="0093788F" w:rsidP="00597356">
            <w:pPr>
              <w:pStyle w:val="Compact"/>
            </w:pPr>
            <w:r w:rsidRPr="003666BE">
              <w:t>0.62</w:t>
            </w:r>
          </w:p>
        </w:tc>
      </w:tr>
      <w:tr w:rsidR="0093788F" w:rsidRPr="003666BE" w14:paraId="0F29F6BB" w14:textId="77777777" w:rsidTr="00597356">
        <w:tc>
          <w:tcPr>
            <w:tcW w:w="0" w:type="auto"/>
          </w:tcPr>
          <w:p w14:paraId="56D7272C" w14:textId="77777777" w:rsidR="0093788F" w:rsidRPr="003666BE" w:rsidRDefault="0093788F" w:rsidP="00597356">
            <w:pPr>
              <w:pStyle w:val="Compact"/>
            </w:pPr>
            <w:r w:rsidRPr="003666BE">
              <w:t>China</w:t>
            </w:r>
          </w:p>
        </w:tc>
        <w:tc>
          <w:tcPr>
            <w:tcW w:w="0" w:type="auto"/>
          </w:tcPr>
          <w:p w14:paraId="1706993B" w14:textId="77777777" w:rsidR="0093788F" w:rsidRPr="003666BE" w:rsidRDefault="0093788F" w:rsidP="00597356">
            <w:pPr>
              <w:pStyle w:val="Compact"/>
            </w:pPr>
            <w:r w:rsidRPr="003666BE">
              <w:t>59.74</w:t>
            </w:r>
          </w:p>
        </w:tc>
        <w:tc>
          <w:tcPr>
            <w:tcW w:w="0" w:type="auto"/>
          </w:tcPr>
          <w:p w14:paraId="73312287" w14:textId="77777777" w:rsidR="0093788F" w:rsidRPr="003666BE" w:rsidRDefault="0093788F" w:rsidP="00597356">
            <w:pPr>
              <w:pStyle w:val="Compact"/>
            </w:pPr>
            <w:r w:rsidRPr="003666BE">
              <w:t>1.59</w:t>
            </w:r>
          </w:p>
        </w:tc>
        <w:tc>
          <w:tcPr>
            <w:tcW w:w="0" w:type="auto"/>
          </w:tcPr>
          <w:p w14:paraId="3F069ACA" w14:textId="77777777" w:rsidR="0093788F" w:rsidRPr="003666BE" w:rsidRDefault="0093788F" w:rsidP="00597356">
            <w:pPr>
              <w:pStyle w:val="Compact"/>
            </w:pPr>
            <w:r w:rsidRPr="003666BE">
              <w:t>25.10</w:t>
            </w:r>
          </w:p>
        </w:tc>
        <w:tc>
          <w:tcPr>
            <w:tcW w:w="0" w:type="auto"/>
          </w:tcPr>
          <w:p w14:paraId="7B6D1A0F" w14:textId="77777777" w:rsidR="0093788F" w:rsidRPr="003666BE" w:rsidRDefault="0093788F" w:rsidP="00597356">
            <w:pPr>
              <w:pStyle w:val="Compact"/>
            </w:pPr>
            <w:r w:rsidRPr="003666BE">
              <w:t>2.59</w:t>
            </w:r>
          </w:p>
        </w:tc>
        <w:tc>
          <w:tcPr>
            <w:tcW w:w="0" w:type="auto"/>
          </w:tcPr>
          <w:p w14:paraId="238DBA1F" w14:textId="77777777" w:rsidR="0093788F" w:rsidRPr="003666BE" w:rsidRDefault="0093788F" w:rsidP="00597356">
            <w:pPr>
              <w:pStyle w:val="Compact"/>
            </w:pPr>
            <w:r w:rsidRPr="003666BE">
              <w:t>36.10</w:t>
            </w:r>
          </w:p>
        </w:tc>
      </w:tr>
      <w:tr w:rsidR="0093788F" w:rsidRPr="003666BE" w14:paraId="1522956D" w14:textId="77777777" w:rsidTr="00597356">
        <w:tc>
          <w:tcPr>
            <w:tcW w:w="0" w:type="auto"/>
          </w:tcPr>
          <w:p w14:paraId="57EB11A4" w14:textId="77777777" w:rsidR="0093788F" w:rsidRPr="003666BE" w:rsidRDefault="0093788F" w:rsidP="00597356">
            <w:pPr>
              <w:pStyle w:val="Compact"/>
            </w:pPr>
            <w:r w:rsidRPr="003666BE">
              <w:t>EU_28</w:t>
            </w:r>
          </w:p>
        </w:tc>
        <w:tc>
          <w:tcPr>
            <w:tcW w:w="0" w:type="auto"/>
          </w:tcPr>
          <w:p w14:paraId="701092C6" w14:textId="77777777" w:rsidR="0093788F" w:rsidRPr="003666BE" w:rsidRDefault="0093788F" w:rsidP="00597356">
            <w:pPr>
              <w:pStyle w:val="Compact"/>
            </w:pPr>
            <w:r w:rsidRPr="003666BE">
              <w:t>22.44</w:t>
            </w:r>
          </w:p>
        </w:tc>
        <w:tc>
          <w:tcPr>
            <w:tcW w:w="0" w:type="auto"/>
          </w:tcPr>
          <w:p w14:paraId="46DB99BC" w14:textId="77777777" w:rsidR="0093788F" w:rsidRPr="003666BE" w:rsidRDefault="0093788F" w:rsidP="00597356">
            <w:pPr>
              <w:pStyle w:val="Compact"/>
            </w:pPr>
            <w:r w:rsidRPr="003666BE">
              <w:t>2.17</w:t>
            </w:r>
          </w:p>
        </w:tc>
        <w:tc>
          <w:tcPr>
            <w:tcW w:w="0" w:type="auto"/>
          </w:tcPr>
          <w:p w14:paraId="71A59909" w14:textId="77777777" w:rsidR="0093788F" w:rsidRPr="003666BE" w:rsidRDefault="0093788F" w:rsidP="00597356">
            <w:pPr>
              <w:pStyle w:val="Compact"/>
            </w:pPr>
            <w:r w:rsidRPr="003666BE">
              <w:t>6.96</w:t>
            </w:r>
          </w:p>
        </w:tc>
        <w:tc>
          <w:tcPr>
            <w:tcW w:w="0" w:type="auto"/>
          </w:tcPr>
          <w:p w14:paraId="78ECE301" w14:textId="77777777" w:rsidR="0093788F" w:rsidRPr="003666BE" w:rsidRDefault="0093788F" w:rsidP="00597356">
            <w:pPr>
              <w:pStyle w:val="Compact"/>
            </w:pPr>
            <w:r w:rsidRPr="003666BE">
              <w:t>0.68</w:t>
            </w:r>
          </w:p>
        </w:tc>
        <w:tc>
          <w:tcPr>
            <w:tcW w:w="0" w:type="auto"/>
          </w:tcPr>
          <w:p w14:paraId="32CD9D91" w14:textId="77777777" w:rsidR="0093788F" w:rsidRPr="003666BE" w:rsidRDefault="0093788F" w:rsidP="00597356">
            <w:pPr>
              <w:pStyle w:val="Compact"/>
            </w:pPr>
            <w:r w:rsidRPr="003666BE">
              <w:t>6.84</w:t>
            </w:r>
          </w:p>
        </w:tc>
      </w:tr>
      <w:tr w:rsidR="0093788F" w:rsidRPr="003666BE" w14:paraId="0666B8E9" w14:textId="77777777" w:rsidTr="00597356">
        <w:tc>
          <w:tcPr>
            <w:tcW w:w="0" w:type="auto"/>
          </w:tcPr>
          <w:p w14:paraId="6ACB3097" w14:textId="77777777" w:rsidR="0093788F" w:rsidRPr="003666BE" w:rsidRDefault="0093788F" w:rsidP="00597356">
            <w:pPr>
              <w:pStyle w:val="Compact"/>
            </w:pPr>
            <w:r w:rsidRPr="003666BE">
              <w:t>Indonesia</w:t>
            </w:r>
          </w:p>
        </w:tc>
        <w:tc>
          <w:tcPr>
            <w:tcW w:w="0" w:type="auto"/>
          </w:tcPr>
          <w:p w14:paraId="10140153" w14:textId="77777777" w:rsidR="0093788F" w:rsidRPr="003666BE" w:rsidRDefault="0093788F" w:rsidP="00597356">
            <w:pPr>
              <w:pStyle w:val="Compact"/>
            </w:pPr>
            <w:r w:rsidRPr="003666BE">
              <w:t>43.16</w:t>
            </w:r>
          </w:p>
        </w:tc>
        <w:tc>
          <w:tcPr>
            <w:tcW w:w="0" w:type="auto"/>
          </w:tcPr>
          <w:p w14:paraId="6A83995A" w14:textId="77777777" w:rsidR="0093788F" w:rsidRPr="003666BE" w:rsidRDefault="0093788F" w:rsidP="00597356">
            <w:pPr>
              <w:pStyle w:val="Compact"/>
            </w:pPr>
            <w:r w:rsidRPr="003666BE">
              <w:t>8.01</w:t>
            </w:r>
          </w:p>
        </w:tc>
        <w:tc>
          <w:tcPr>
            <w:tcW w:w="0" w:type="auto"/>
          </w:tcPr>
          <w:p w14:paraId="559F077B" w14:textId="77777777" w:rsidR="0093788F" w:rsidRPr="003666BE" w:rsidRDefault="0093788F" w:rsidP="00597356">
            <w:pPr>
              <w:pStyle w:val="Compact"/>
            </w:pPr>
            <w:r w:rsidRPr="003666BE">
              <w:t>22.60</w:t>
            </w:r>
          </w:p>
        </w:tc>
        <w:tc>
          <w:tcPr>
            <w:tcW w:w="0" w:type="auto"/>
          </w:tcPr>
          <w:p w14:paraId="50EEE834" w14:textId="77777777" w:rsidR="0093788F" w:rsidRPr="003666BE" w:rsidRDefault="0093788F" w:rsidP="00597356">
            <w:pPr>
              <w:pStyle w:val="Compact"/>
            </w:pPr>
            <w:r w:rsidRPr="003666BE">
              <w:t>6.07</w:t>
            </w:r>
          </w:p>
        </w:tc>
        <w:tc>
          <w:tcPr>
            <w:tcW w:w="0" w:type="auto"/>
          </w:tcPr>
          <w:p w14:paraId="784EE9A8" w14:textId="77777777" w:rsidR="0093788F" w:rsidRPr="003666BE" w:rsidRDefault="0093788F" w:rsidP="00597356">
            <w:pPr>
              <w:pStyle w:val="Compact"/>
            </w:pPr>
            <w:r w:rsidRPr="003666BE">
              <w:t>25.84</w:t>
            </w:r>
          </w:p>
        </w:tc>
      </w:tr>
      <w:tr w:rsidR="0093788F" w:rsidRPr="003666BE" w14:paraId="122F3FB9" w14:textId="77777777" w:rsidTr="00597356">
        <w:tc>
          <w:tcPr>
            <w:tcW w:w="0" w:type="auto"/>
          </w:tcPr>
          <w:p w14:paraId="2DD08542" w14:textId="77777777" w:rsidR="0093788F" w:rsidRPr="003666BE" w:rsidRDefault="0093788F" w:rsidP="00597356">
            <w:pPr>
              <w:pStyle w:val="Compact"/>
            </w:pPr>
            <w:r w:rsidRPr="003666BE">
              <w:t>Malaysia</w:t>
            </w:r>
          </w:p>
        </w:tc>
        <w:tc>
          <w:tcPr>
            <w:tcW w:w="0" w:type="auto"/>
          </w:tcPr>
          <w:p w14:paraId="3394FAD0" w14:textId="77777777" w:rsidR="0093788F" w:rsidRPr="003666BE" w:rsidRDefault="0093788F" w:rsidP="00597356">
            <w:pPr>
              <w:pStyle w:val="Compact"/>
            </w:pPr>
            <w:r w:rsidRPr="003666BE">
              <w:t>35.86</w:t>
            </w:r>
          </w:p>
        </w:tc>
        <w:tc>
          <w:tcPr>
            <w:tcW w:w="0" w:type="auto"/>
          </w:tcPr>
          <w:p w14:paraId="7566BC20" w14:textId="77777777" w:rsidR="0093788F" w:rsidRPr="003666BE" w:rsidRDefault="0093788F" w:rsidP="00597356">
            <w:pPr>
              <w:pStyle w:val="Compact"/>
            </w:pPr>
            <w:r w:rsidRPr="003666BE">
              <w:t>15.05</w:t>
            </w:r>
          </w:p>
        </w:tc>
        <w:tc>
          <w:tcPr>
            <w:tcW w:w="0" w:type="auto"/>
          </w:tcPr>
          <w:p w14:paraId="014C0B2B" w14:textId="77777777" w:rsidR="0093788F" w:rsidRPr="003666BE" w:rsidRDefault="0093788F" w:rsidP="00597356">
            <w:pPr>
              <w:pStyle w:val="Compact"/>
            </w:pPr>
            <w:r w:rsidRPr="003666BE">
              <w:t>21.07</w:t>
            </w:r>
          </w:p>
        </w:tc>
        <w:tc>
          <w:tcPr>
            <w:tcW w:w="0" w:type="auto"/>
          </w:tcPr>
          <w:p w14:paraId="5D5527B1" w14:textId="77777777" w:rsidR="0093788F" w:rsidRPr="003666BE" w:rsidRDefault="0093788F" w:rsidP="00597356">
            <w:pPr>
              <w:pStyle w:val="Compact"/>
            </w:pPr>
            <w:r w:rsidRPr="003666BE">
              <w:t>8.49</w:t>
            </w:r>
          </w:p>
        </w:tc>
        <w:tc>
          <w:tcPr>
            <w:tcW w:w="0" w:type="auto"/>
          </w:tcPr>
          <w:p w14:paraId="26E09E8D" w14:textId="77777777" w:rsidR="0093788F" w:rsidRPr="003666BE" w:rsidRDefault="0093788F" w:rsidP="00597356">
            <w:pPr>
              <w:pStyle w:val="Compact"/>
            </w:pPr>
            <w:r w:rsidRPr="003666BE">
              <w:t>25.41</w:t>
            </w:r>
          </w:p>
        </w:tc>
      </w:tr>
      <w:tr w:rsidR="0093788F" w:rsidRPr="003666BE" w14:paraId="14877CF1" w14:textId="77777777" w:rsidTr="00597356">
        <w:tc>
          <w:tcPr>
            <w:tcW w:w="0" w:type="auto"/>
          </w:tcPr>
          <w:p w14:paraId="39AC4E09" w14:textId="1B956F4A" w:rsidR="0093788F" w:rsidRPr="003666BE" w:rsidRDefault="0093788F" w:rsidP="00597356">
            <w:pPr>
              <w:pStyle w:val="Compact"/>
            </w:pPr>
            <w:r w:rsidRPr="003666BE">
              <w:t>N</w:t>
            </w:r>
            <w:r w:rsidR="00AD114F" w:rsidRPr="003666BE">
              <w:t xml:space="preserve">orth </w:t>
            </w:r>
            <w:r w:rsidRPr="003666BE">
              <w:t>America</w:t>
            </w:r>
          </w:p>
        </w:tc>
        <w:tc>
          <w:tcPr>
            <w:tcW w:w="0" w:type="auto"/>
          </w:tcPr>
          <w:p w14:paraId="223A8118" w14:textId="77777777" w:rsidR="0093788F" w:rsidRPr="003666BE" w:rsidRDefault="0093788F" w:rsidP="00597356">
            <w:pPr>
              <w:pStyle w:val="Compact"/>
            </w:pPr>
            <w:r w:rsidRPr="003666BE">
              <w:t>14.92</w:t>
            </w:r>
          </w:p>
        </w:tc>
        <w:tc>
          <w:tcPr>
            <w:tcW w:w="0" w:type="auto"/>
          </w:tcPr>
          <w:p w14:paraId="397736AF" w14:textId="77777777" w:rsidR="0093788F" w:rsidRPr="003666BE" w:rsidRDefault="0093788F" w:rsidP="00597356">
            <w:pPr>
              <w:pStyle w:val="Compact"/>
            </w:pPr>
            <w:r w:rsidRPr="003666BE">
              <w:t>6.65</w:t>
            </w:r>
          </w:p>
        </w:tc>
        <w:tc>
          <w:tcPr>
            <w:tcW w:w="0" w:type="auto"/>
          </w:tcPr>
          <w:p w14:paraId="2D799D8F" w14:textId="77777777" w:rsidR="0093788F" w:rsidRPr="003666BE" w:rsidRDefault="0093788F" w:rsidP="00597356">
            <w:pPr>
              <w:pStyle w:val="Compact"/>
            </w:pPr>
            <w:r w:rsidRPr="003666BE">
              <w:t>8.34</w:t>
            </w:r>
          </w:p>
        </w:tc>
        <w:tc>
          <w:tcPr>
            <w:tcW w:w="0" w:type="auto"/>
          </w:tcPr>
          <w:p w14:paraId="2D9E4374" w14:textId="77777777" w:rsidR="0093788F" w:rsidRPr="003666BE" w:rsidRDefault="0093788F" w:rsidP="00597356">
            <w:pPr>
              <w:pStyle w:val="Compact"/>
            </w:pPr>
            <w:r w:rsidRPr="003666BE">
              <w:t>3.67</w:t>
            </w:r>
          </w:p>
        </w:tc>
        <w:tc>
          <w:tcPr>
            <w:tcW w:w="0" w:type="auto"/>
          </w:tcPr>
          <w:p w14:paraId="2B8E7E14" w14:textId="77777777" w:rsidR="0093788F" w:rsidRPr="003666BE" w:rsidRDefault="0093788F" w:rsidP="00597356">
            <w:pPr>
              <w:pStyle w:val="Compact"/>
            </w:pPr>
            <w:r w:rsidRPr="003666BE">
              <w:t>10.74</w:t>
            </w:r>
          </w:p>
        </w:tc>
      </w:tr>
      <w:tr w:rsidR="0093788F" w:rsidRPr="003666BE" w14:paraId="0FBD8AB1" w14:textId="77777777" w:rsidTr="00597356">
        <w:tc>
          <w:tcPr>
            <w:tcW w:w="0" w:type="auto"/>
          </w:tcPr>
          <w:p w14:paraId="2CD0DB74" w14:textId="77777777" w:rsidR="0093788F" w:rsidRPr="003666BE" w:rsidRDefault="0093788F" w:rsidP="00597356">
            <w:pPr>
              <w:pStyle w:val="Compact"/>
            </w:pPr>
            <w:r w:rsidRPr="003666BE">
              <w:t>Paraguay</w:t>
            </w:r>
          </w:p>
        </w:tc>
        <w:tc>
          <w:tcPr>
            <w:tcW w:w="0" w:type="auto"/>
          </w:tcPr>
          <w:p w14:paraId="637FC9EE" w14:textId="77777777" w:rsidR="0093788F" w:rsidRPr="003666BE" w:rsidRDefault="0093788F" w:rsidP="00597356">
            <w:pPr>
              <w:pStyle w:val="Compact"/>
            </w:pPr>
            <w:r w:rsidRPr="003666BE">
              <w:t>15.95</w:t>
            </w:r>
          </w:p>
        </w:tc>
        <w:tc>
          <w:tcPr>
            <w:tcW w:w="0" w:type="auto"/>
          </w:tcPr>
          <w:p w14:paraId="387292AB" w14:textId="77777777" w:rsidR="0093788F" w:rsidRPr="003666BE" w:rsidRDefault="0093788F" w:rsidP="00597356">
            <w:pPr>
              <w:pStyle w:val="Compact"/>
            </w:pPr>
            <w:r w:rsidRPr="003666BE">
              <w:t>9.61</w:t>
            </w:r>
          </w:p>
        </w:tc>
        <w:tc>
          <w:tcPr>
            <w:tcW w:w="0" w:type="auto"/>
          </w:tcPr>
          <w:p w14:paraId="1E71707B" w14:textId="77777777" w:rsidR="0093788F" w:rsidRPr="003666BE" w:rsidRDefault="0093788F" w:rsidP="00597356">
            <w:pPr>
              <w:pStyle w:val="Compact"/>
            </w:pPr>
            <w:r w:rsidRPr="003666BE">
              <w:t>22.85</w:t>
            </w:r>
          </w:p>
        </w:tc>
        <w:tc>
          <w:tcPr>
            <w:tcW w:w="0" w:type="auto"/>
          </w:tcPr>
          <w:p w14:paraId="00F4E7AB" w14:textId="77777777" w:rsidR="0093788F" w:rsidRPr="003666BE" w:rsidRDefault="0093788F" w:rsidP="00597356">
            <w:pPr>
              <w:pStyle w:val="Compact"/>
            </w:pPr>
            <w:r w:rsidRPr="003666BE">
              <w:t>6.62</w:t>
            </w:r>
          </w:p>
        </w:tc>
        <w:tc>
          <w:tcPr>
            <w:tcW w:w="0" w:type="auto"/>
          </w:tcPr>
          <w:p w14:paraId="4E683B73" w14:textId="77777777" w:rsidR="0093788F" w:rsidRPr="003666BE" w:rsidRDefault="0093788F" w:rsidP="00597356">
            <w:pPr>
              <w:pStyle w:val="Compact"/>
            </w:pPr>
            <w:r w:rsidRPr="003666BE">
              <w:t>21.37</w:t>
            </w:r>
          </w:p>
        </w:tc>
      </w:tr>
      <w:tr w:rsidR="0093788F" w:rsidRPr="003666BE" w14:paraId="13691603" w14:textId="77777777" w:rsidTr="00597356">
        <w:tc>
          <w:tcPr>
            <w:tcW w:w="0" w:type="auto"/>
          </w:tcPr>
          <w:p w14:paraId="757E540E" w14:textId="286E91AD" w:rsidR="0093788F" w:rsidRPr="003666BE" w:rsidRDefault="0093788F" w:rsidP="00597356">
            <w:pPr>
              <w:pStyle w:val="Compact"/>
            </w:pPr>
            <w:r w:rsidRPr="003666BE">
              <w:t>Rest</w:t>
            </w:r>
            <w:r w:rsidR="00AD114F" w:rsidRPr="003666BE">
              <w:t xml:space="preserve"> </w:t>
            </w:r>
            <w:r w:rsidRPr="003666BE">
              <w:t>Lat</w:t>
            </w:r>
            <w:r w:rsidR="00AD114F" w:rsidRPr="003666BE">
              <w:t>in America</w:t>
            </w:r>
          </w:p>
        </w:tc>
        <w:tc>
          <w:tcPr>
            <w:tcW w:w="0" w:type="auto"/>
          </w:tcPr>
          <w:p w14:paraId="0A6BA04A" w14:textId="77777777" w:rsidR="0093788F" w:rsidRPr="003666BE" w:rsidRDefault="0093788F" w:rsidP="00597356">
            <w:pPr>
              <w:pStyle w:val="Compact"/>
            </w:pPr>
            <w:r w:rsidRPr="003666BE">
              <w:t>28.75</w:t>
            </w:r>
          </w:p>
        </w:tc>
        <w:tc>
          <w:tcPr>
            <w:tcW w:w="0" w:type="auto"/>
          </w:tcPr>
          <w:p w14:paraId="5DF0EC74" w14:textId="77777777" w:rsidR="0093788F" w:rsidRPr="003666BE" w:rsidRDefault="0093788F" w:rsidP="00597356">
            <w:pPr>
              <w:pStyle w:val="Compact"/>
            </w:pPr>
            <w:r w:rsidRPr="003666BE">
              <w:t>10.13</w:t>
            </w:r>
          </w:p>
        </w:tc>
        <w:tc>
          <w:tcPr>
            <w:tcW w:w="0" w:type="auto"/>
          </w:tcPr>
          <w:p w14:paraId="7EAC1978" w14:textId="77777777" w:rsidR="0093788F" w:rsidRPr="003666BE" w:rsidRDefault="0093788F" w:rsidP="00597356">
            <w:pPr>
              <w:pStyle w:val="Compact"/>
            </w:pPr>
            <w:r w:rsidRPr="003666BE">
              <w:t>0.74</w:t>
            </w:r>
          </w:p>
        </w:tc>
        <w:tc>
          <w:tcPr>
            <w:tcW w:w="0" w:type="auto"/>
          </w:tcPr>
          <w:p w14:paraId="2B5A100C" w14:textId="77777777" w:rsidR="0093788F" w:rsidRPr="003666BE" w:rsidRDefault="0093788F" w:rsidP="00597356">
            <w:pPr>
              <w:pStyle w:val="Compact"/>
            </w:pPr>
            <w:r w:rsidRPr="003666BE">
              <w:t>6.39</w:t>
            </w:r>
          </w:p>
        </w:tc>
        <w:tc>
          <w:tcPr>
            <w:tcW w:w="0" w:type="auto"/>
          </w:tcPr>
          <w:p w14:paraId="39267526" w14:textId="77777777" w:rsidR="0093788F" w:rsidRPr="003666BE" w:rsidRDefault="0093788F" w:rsidP="00597356">
            <w:pPr>
              <w:pStyle w:val="Compact"/>
            </w:pPr>
            <w:r w:rsidRPr="003666BE">
              <w:t>-1.87</w:t>
            </w:r>
          </w:p>
        </w:tc>
      </w:tr>
      <w:tr w:rsidR="0093788F" w:rsidRPr="003666BE" w14:paraId="429C9154" w14:textId="77777777" w:rsidTr="00597356">
        <w:tc>
          <w:tcPr>
            <w:tcW w:w="0" w:type="auto"/>
          </w:tcPr>
          <w:p w14:paraId="417E3773" w14:textId="455D540F" w:rsidR="0093788F" w:rsidRPr="003666BE" w:rsidRDefault="0093788F" w:rsidP="00597356">
            <w:pPr>
              <w:pStyle w:val="Compact"/>
            </w:pPr>
            <w:r w:rsidRPr="003666BE">
              <w:t>Rest</w:t>
            </w:r>
            <w:r w:rsidR="00AD114F" w:rsidRPr="003666BE">
              <w:t xml:space="preserve"> </w:t>
            </w:r>
            <w:r w:rsidRPr="003666BE">
              <w:t>of</w:t>
            </w:r>
            <w:r w:rsidR="00AD114F" w:rsidRPr="003666BE">
              <w:t xml:space="preserve"> the </w:t>
            </w:r>
            <w:r w:rsidRPr="003666BE">
              <w:t>World</w:t>
            </w:r>
          </w:p>
        </w:tc>
        <w:tc>
          <w:tcPr>
            <w:tcW w:w="0" w:type="auto"/>
          </w:tcPr>
          <w:p w14:paraId="2221FFC2" w14:textId="77777777" w:rsidR="0093788F" w:rsidRPr="003666BE" w:rsidRDefault="0093788F" w:rsidP="00597356">
            <w:pPr>
              <w:pStyle w:val="Compact"/>
            </w:pPr>
            <w:r w:rsidRPr="003666BE">
              <w:t>NA</w:t>
            </w:r>
          </w:p>
        </w:tc>
        <w:tc>
          <w:tcPr>
            <w:tcW w:w="0" w:type="auto"/>
          </w:tcPr>
          <w:p w14:paraId="0D5D8C2C" w14:textId="77777777" w:rsidR="0093788F" w:rsidRPr="003666BE" w:rsidRDefault="0093788F" w:rsidP="00597356">
            <w:pPr>
              <w:pStyle w:val="Compact"/>
            </w:pPr>
            <w:r w:rsidRPr="003666BE">
              <w:t>NA</w:t>
            </w:r>
          </w:p>
        </w:tc>
        <w:tc>
          <w:tcPr>
            <w:tcW w:w="0" w:type="auto"/>
          </w:tcPr>
          <w:p w14:paraId="58D72D87" w14:textId="77777777" w:rsidR="0093788F" w:rsidRPr="003666BE" w:rsidRDefault="0093788F" w:rsidP="00597356">
            <w:pPr>
              <w:pStyle w:val="Compact"/>
            </w:pPr>
            <w:r w:rsidRPr="003666BE">
              <w:t>7.49</w:t>
            </w:r>
          </w:p>
        </w:tc>
        <w:tc>
          <w:tcPr>
            <w:tcW w:w="0" w:type="auto"/>
          </w:tcPr>
          <w:p w14:paraId="51FA8110" w14:textId="77777777" w:rsidR="0093788F" w:rsidRPr="003666BE" w:rsidRDefault="0093788F" w:rsidP="00597356">
            <w:pPr>
              <w:pStyle w:val="Compact"/>
            </w:pPr>
            <w:r w:rsidRPr="003666BE">
              <w:t>6.56</w:t>
            </w:r>
          </w:p>
        </w:tc>
        <w:tc>
          <w:tcPr>
            <w:tcW w:w="0" w:type="auto"/>
          </w:tcPr>
          <w:p w14:paraId="123627AB" w14:textId="77777777" w:rsidR="0093788F" w:rsidRPr="003666BE" w:rsidRDefault="0093788F" w:rsidP="00597356">
            <w:pPr>
              <w:pStyle w:val="Compact"/>
            </w:pPr>
            <w:r w:rsidRPr="003666BE">
              <w:t>15.41</w:t>
            </w:r>
          </w:p>
        </w:tc>
      </w:tr>
      <w:tr w:rsidR="0093788F" w:rsidRPr="003666BE" w14:paraId="36A6A5BC" w14:textId="77777777" w:rsidTr="00597356">
        <w:tc>
          <w:tcPr>
            <w:tcW w:w="0" w:type="auto"/>
          </w:tcPr>
          <w:p w14:paraId="0B8024ED" w14:textId="77777777" w:rsidR="0093788F" w:rsidRPr="003666BE" w:rsidRDefault="0093788F" w:rsidP="00597356">
            <w:pPr>
              <w:pStyle w:val="Compact"/>
            </w:pPr>
            <w:r w:rsidRPr="003666BE">
              <w:t>SSA</w:t>
            </w:r>
          </w:p>
        </w:tc>
        <w:tc>
          <w:tcPr>
            <w:tcW w:w="0" w:type="auto"/>
          </w:tcPr>
          <w:p w14:paraId="4E1550AB" w14:textId="77777777" w:rsidR="0093788F" w:rsidRPr="003666BE" w:rsidRDefault="0093788F" w:rsidP="00597356">
            <w:pPr>
              <w:pStyle w:val="Compact"/>
            </w:pPr>
            <w:r w:rsidRPr="003666BE">
              <w:t>35.92</w:t>
            </w:r>
          </w:p>
        </w:tc>
        <w:tc>
          <w:tcPr>
            <w:tcW w:w="0" w:type="auto"/>
          </w:tcPr>
          <w:p w14:paraId="22C48F48" w14:textId="77777777" w:rsidR="0093788F" w:rsidRPr="003666BE" w:rsidRDefault="0093788F" w:rsidP="00597356">
            <w:pPr>
              <w:pStyle w:val="Compact"/>
            </w:pPr>
            <w:r w:rsidRPr="003666BE">
              <w:t>16.63</w:t>
            </w:r>
          </w:p>
        </w:tc>
        <w:tc>
          <w:tcPr>
            <w:tcW w:w="0" w:type="auto"/>
          </w:tcPr>
          <w:p w14:paraId="69B98ADB" w14:textId="77777777" w:rsidR="0093788F" w:rsidRPr="003666BE" w:rsidRDefault="0093788F" w:rsidP="00597356">
            <w:pPr>
              <w:pStyle w:val="Compact"/>
            </w:pPr>
            <w:r w:rsidRPr="003666BE">
              <w:t>16.22</w:t>
            </w:r>
          </w:p>
        </w:tc>
        <w:tc>
          <w:tcPr>
            <w:tcW w:w="0" w:type="auto"/>
          </w:tcPr>
          <w:p w14:paraId="0E10DB43" w14:textId="77777777" w:rsidR="0093788F" w:rsidRPr="003666BE" w:rsidRDefault="0093788F" w:rsidP="00597356">
            <w:pPr>
              <w:pStyle w:val="Compact"/>
            </w:pPr>
            <w:r w:rsidRPr="003666BE">
              <w:t>13.06</w:t>
            </w:r>
          </w:p>
        </w:tc>
        <w:tc>
          <w:tcPr>
            <w:tcW w:w="0" w:type="auto"/>
          </w:tcPr>
          <w:p w14:paraId="37B85BCD" w14:textId="77777777" w:rsidR="0093788F" w:rsidRPr="003666BE" w:rsidRDefault="0093788F" w:rsidP="00597356">
            <w:pPr>
              <w:pStyle w:val="Compact"/>
            </w:pPr>
            <w:r w:rsidRPr="003666BE">
              <w:t>18.87</w:t>
            </w:r>
          </w:p>
        </w:tc>
      </w:tr>
    </w:tbl>
    <w:p w14:paraId="59AEEF3C" w14:textId="7D6C3FF4" w:rsidR="00296E03" w:rsidRPr="003666BE" w:rsidRDefault="0093788F" w:rsidP="00AD114F">
      <w:pPr>
        <w:pStyle w:val="BodyText"/>
      </w:pPr>
      <w:r w:rsidRPr="003666BE">
        <w:t xml:space="preserve">Notes: For all the variables we take the averages during 2010-2012 and 2015-2017 as endpoints of the period. Sources: Real GDP (Output side) comes from the World </w:t>
      </w:r>
      <w:r w:rsidR="00625A05" w:rsidRPr="003666BE">
        <w:t>Development</w:t>
      </w:r>
      <w:r w:rsidRPr="003666BE">
        <w:t xml:space="preserve"> Indicators</w:t>
      </w:r>
      <w:r w:rsidR="00625A05" w:rsidRPr="003666BE">
        <w:t xml:space="preserve"> </w:t>
      </w:r>
      <w:r w:rsidR="00AD114F" w:rsidRPr="003666BE">
        <w:fldChar w:fldCharType="begin"/>
      </w:r>
      <w:r w:rsidR="000D6366">
        <w:instrText xml:space="preserve"> ADDIN ZOTERO_ITEM CSL_CITATION {"citationID":"OeAE4a5Q","properties":{"formattedCitation":"\\super 21\\nosupersub{}","plainCitation":"21","noteIndex":0},"citationItems":[{"id":1455,"uris":["http://zotero.org/users/2600/items/N4X574EZ"],"uri":["http://zotero.org/users/2600/items/N4X574EZ"],"itemData":{"id":1455,"type":"webpage","note":"Citation Key: wdi2018","title":"World Bank's World Development Indicators Online","URL":"http://go.worldbank.org/6HAYAHG8H0. Accessed: 12/14/2017","author":[{"family":"WDI","given":""}],"accessed":{"date-parts":[["2016",8,27]]},"issued":{"date-parts":[["2020"]]}}}],"schema":"https://github.com/citation-style-language/schema/raw/master/csl-citation.json"} </w:instrText>
      </w:r>
      <w:r w:rsidR="00AD114F" w:rsidRPr="003666BE">
        <w:fldChar w:fldCharType="separate"/>
      </w:r>
      <w:r w:rsidR="000D6366" w:rsidRPr="000D6366">
        <w:rPr>
          <w:vertAlign w:val="superscript"/>
        </w:rPr>
        <w:t>21</w:t>
      </w:r>
      <w:r w:rsidR="00AD114F" w:rsidRPr="003666BE">
        <w:fldChar w:fldCharType="end"/>
      </w:r>
      <w:r w:rsidRPr="003666BE">
        <w:t>. The rest of the variables come from the Penn World Tables 9.1</w:t>
      </w:r>
      <w:r w:rsidR="00625A05" w:rsidRPr="003666BE">
        <w:t xml:space="preserve"> </w:t>
      </w:r>
      <w:r w:rsidR="00AD114F" w:rsidRPr="003666BE">
        <w:fldChar w:fldCharType="begin"/>
      </w:r>
      <w:r w:rsidR="000D6366">
        <w:instrText xml:space="preserve"> ADDIN ZOTERO_ITEM CSL_CITATION {"citationID":"3PdGs4ph","properties":{"formattedCitation":"\\super 22\\nosupersub{}","plainCitation":"22","noteIndex":0},"citationItems":[{"id":9713,"uris":["http://zotero.org/users/2600/items/NNNPI68V"],"uri":["http://zotero.org/users/2600/items/NNNPI68V"],"itemData":{"id":9713,"type":"article-journal","abstract":"We describe the theory and practice of real GDP comparisons across countries and over time. Version 8 of the Penn World Table expands on previous versions in three respects. First, in addition to comparisons of living standards using components of real GDP on the expenditure side, we provide a measure of productive capacity, called real GDP on the output side. Second, growth rates are benchmarked to multiple years of cross-country price data so they are less sensitive to new benchmark data. Third, data on capital stocks and productivity are (re)introduced. Applications including the Balassa-Samuelson effect and development accounting are discussed. (JEL C43, C82, E01, E23, I31, O47)","container-title":"American Economic Review","DOI":"10.1257/aer.20130954","ISSN":"0002-8282","issue":"10","language":"en","note":"Citation Key: feenstra2015","page":"3150-3182","source":"www.aeaweb.org","title":"The Next Generation of the Penn World Table","volume":"105","author":[{"family":"Feenstra","given":"Robert C."},{"family":"Inklaar","given":"Robert"},{"family":"Timmer","given":"Marcel P."}],"issued":{"date-parts":[["2015",10]]}}}],"schema":"https://github.com/citation-style-language/schema/raw/master/csl-citation.json"} </w:instrText>
      </w:r>
      <w:r w:rsidR="00AD114F" w:rsidRPr="003666BE">
        <w:fldChar w:fldCharType="separate"/>
      </w:r>
      <w:r w:rsidR="000D6366" w:rsidRPr="000D6366">
        <w:rPr>
          <w:vertAlign w:val="superscript"/>
        </w:rPr>
        <w:t>22</w:t>
      </w:r>
      <w:r w:rsidR="00AD114F" w:rsidRPr="003666BE">
        <w:fldChar w:fldCharType="end"/>
      </w:r>
      <w:r w:rsidRPr="003666BE">
        <w:t>.</w:t>
      </w:r>
    </w:p>
    <w:p w14:paraId="23588C14" w14:textId="4ACC97CA" w:rsidR="00501C8F" w:rsidRPr="003666BE" w:rsidRDefault="00501C8F">
      <w:r w:rsidRPr="003666BE">
        <w:br w:type="page"/>
      </w:r>
    </w:p>
    <w:p w14:paraId="4F71AA47" w14:textId="66A5FB53" w:rsidR="00501C8F" w:rsidRPr="003666BE" w:rsidRDefault="00501C8F" w:rsidP="00501C8F">
      <w:pPr>
        <w:pStyle w:val="TableCaption"/>
        <w:rPr>
          <w:rFonts w:ascii="Times New Roman" w:hAnsi="Times New Roman" w:cs="Times New Roman"/>
          <w:b/>
          <w:bCs/>
          <w:i w:val="0"/>
          <w:iCs/>
        </w:rPr>
      </w:pPr>
      <w:r w:rsidRPr="003666BE">
        <w:rPr>
          <w:rFonts w:ascii="Times New Roman" w:hAnsi="Times New Roman" w:cs="Times New Roman"/>
          <w:b/>
          <w:bCs/>
          <w:i w:val="0"/>
          <w:iCs/>
        </w:rPr>
        <w:lastRenderedPageBreak/>
        <w:t>Table S</w:t>
      </w:r>
      <w:r w:rsidR="0047214A" w:rsidRPr="003666BE">
        <w:rPr>
          <w:rFonts w:ascii="Times New Roman" w:hAnsi="Times New Roman" w:cs="Times New Roman"/>
          <w:b/>
          <w:bCs/>
          <w:i w:val="0"/>
          <w:iCs/>
        </w:rPr>
        <w:fldChar w:fldCharType="begin"/>
      </w:r>
      <w:r w:rsidR="0047214A" w:rsidRPr="003666BE">
        <w:rPr>
          <w:rFonts w:ascii="Times New Roman" w:hAnsi="Times New Roman" w:cs="Times New Roman"/>
          <w:b/>
          <w:bCs/>
          <w:i w:val="0"/>
          <w:iCs/>
        </w:rPr>
        <w:instrText xml:space="preserve"> SEQ Table_S \* ARABIC </w:instrText>
      </w:r>
      <w:r w:rsidR="0047214A" w:rsidRPr="003666BE">
        <w:rPr>
          <w:rFonts w:ascii="Times New Roman" w:hAnsi="Times New Roman" w:cs="Times New Roman"/>
          <w:b/>
          <w:bCs/>
          <w:i w:val="0"/>
          <w:iCs/>
        </w:rPr>
        <w:fldChar w:fldCharType="separate"/>
      </w:r>
      <w:r w:rsidR="00292B5D" w:rsidRPr="003666BE">
        <w:rPr>
          <w:rFonts w:ascii="Times New Roman" w:hAnsi="Times New Roman" w:cs="Times New Roman"/>
          <w:b/>
          <w:bCs/>
          <w:i w:val="0"/>
          <w:iCs/>
          <w:noProof/>
        </w:rPr>
        <w:t>2</w:t>
      </w:r>
      <w:r w:rsidR="0047214A" w:rsidRPr="003666BE">
        <w:rPr>
          <w:rFonts w:ascii="Times New Roman" w:hAnsi="Times New Roman" w:cs="Times New Roman"/>
          <w:b/>
          <w:bCs/>
          <w:i w:val="0"/>
          <w:iCs/>
          <w:noProof/>
        </w:rPr>
        <w:fldChar w:fldCharType="end"/>
      </w:r>
      <w:r w:rsidRPr="003666BE">
        <w:rPr>
          <w:rFonts w:ascii="Times New Roman" w:hAnsi="Times New Roman" w:cs="Times New Roman"/>
          <w:b/>
          <w:bCs/>
          <w:i w:val="0"/>
          <w:iCs/>
        </w:rPr>
        <w:t xml:space="preserve"> Percentage Change in Agricultural Input and Factor Productivity between 2011 and 2016</w:t>
      </w:r>
    </w:p>
    <w:tbl>
      <w:tblPr>
        <w:tblStyle w:val="Table"/>
        <w:tblW w:w="0" w:type="pct"/>
        <w:tblLook w:val="07E0" w:firstRow="1" w:lastRow="1" w:firstColumn="1" w:lastColumn="1" w:noHBand="1" w:noVBand="1"/>
      </w:tblPr>
      <w:tblGrid>
        <w:gridCol w:w="2356"/>
        <w:gridCol w:w="2156"/>
        <w:gridCol w:w="2343"/>
        <w:gridCol w:w="2036"/>
      </w:tblGrid>
      <w:tr w:rsidR="00A775F4" w:rsidRPr="003666BE" w14:paraId="7776C670" w14:textId="77777777" w:rsidTr="00597356">
        <w:tc>
          <w:tcPr>
            <w:tcW w:w="0" w:type="auto"/>
            <w:vAlign w:val="bottom"/>
          </w:tcPr>
          <w:p w14:paraId="569E53DD" w14:textId="77777777" w:rsidR="00501C8F" w:rsidRPr="003666BE" w:rsidRDefault="00501C8F" w:rsidP="00597356">
            <w:pPr>
              <w:pStyle w:val="Compact"/>
            </w:pPr>
            <w:r w:rsidRPr="003666BE">
              <w:t>Region</w:t>
            </w:r>
          </w:p>
        </w:tc>
        <w:tc>
          <w:tcPr>
            <w:tcW w:w="0" w:type="auto"/>
            <w:vAlign w:val="bottom"/>
          </w:tcPr>
          <w:p w14:paraId="1304189C" w14:textId="77777777" w:rsidR="00501C8F" w:rsidRPr="003666BE" w:rsidRDefault="00501C8F" w:rsidP="00597356">
            <w:pPr>
              <w:pStyle w:val="Compact"/>
            </w:pPr>
            <w:r w:rsidRPr="003666BE">
              <w:t>Capital Productivity</w:t>
            </w:r>
          </w:p>
        </w:tc>
        <w:tc>
          <w:tcPr>
            <w:tcW w:w="0" w:type="auto"/>
            <w:vAlign w:val="bottom"/>
          </w:tcPr>
          <w:p w14:paraId="1F30CB8D" w14:textId="77777777" w:rsidR="00501C8F" w:rsidRPr="003666BE" w:rsidRDefault="00501C8F" w:rsidP="00597356">
            <w:pPr>
              <w:pStyle w:val="Compact"/>
            </w:pPr>
            <w:r w:rsidRPr="003666BE">
              <w:t>Fertilizer Productivity</w:t>
            </w:r>
          </w:p>
        </w:tc>
        <w:tc>
          <w:tcPr>
            <w:tcW w:w="0" w:type="auto"/>
            <w:vAlign w:val="bottom"/>
          </w:tcPr>
          <w:p w14:paraId="2DFDA083" w14:textId="77777777" w:rsidR="00501C8F" w:rsidRPr="003666BE" w:rsidRDefault="00501C8F" w:rsidP="00597356">
            <w:pPr>
              <w:pStyle w:val="Compact"/>
            </w:pPr>
            <w:r w:rsidRPr="003666BE">
              <w:t>Labor Productivity</w:t>
            </w:r>
          </w:p>
        </w:tc>
      </w:tr>
      <w:tr w:rsidR="00501C8F" w:rsidRPr="003666BE" w14:paraId="4BE5B76F" w14:textId="77777777" w:rsidTr="00597356">
        <w:tc>
          <w:tcPr>
            <w:tcW w:w="0" w:type="auto"/>
          </w:tcPr>
          <w:p w14:paraId="028E66B9" w14:textId="77777777" w:rsidR="00501C8F" w:rsidRPr="003666BE" w:rsidRDefault="00501C8F" w:rsidP="00597356">
            <w:pPr>
              <w:pStyle w:val="Compact"/>
            </w:pPr>
            <w:r w:rsidRPr="003666BE">
              <w:t>Argentina</w:t>
            </w:r>
          </w:p>
        </w:tc>
        <w:tc>
          <w:tcPr>
            <w:tcW w:w="0" w:type="auto"/>
          </w:tcPr>
          <w:p w14:paraId="2C0788C5" w14:textId="77777777" w:rsidR="00501C8F" w:rsidRPr="003666BE" w:rsidRDefault="00501C8F" w:rsidP="00597356">
            <w:pPr>
              <w:pStyle w:val="Compact"/>
            </w:pPr>
            <w:r w:rsidRPr="003666BE">
              <w:t>10.07</w:t>
            </w:r>
          </w:p>
        </w:tc>
        <w:tc>
          <w:tcPr>
            <w:tcW w:w="0" w:type="auto"/>
          </w:tcPr>
          <w:p w14:paraId="3816C4F0" w14:textId="77777777" w:rsidR="00501C8F" w:rsidRPr="003666BE" w:rsidRDefault="00501C8F" w:rsidP="00597356">
            <w:pPr>
              <w:pStyle w:val="Compact"/>
            </w:pPr>
            <w:r w:rsidRPr="003666BE">
              <w:t>7.51</w:t>
            </w:r>
          </w:p>
        </w:tc>
        <w:tc>
          <w:tcPr>
            <w:tcW w:w="0" w:type="auto"/>
          </w:tcPr>
          <w:p w14:paraId="5C8DEDB9" w14:textId="77777777" w:rsidR="00501C8F" w:rsidRPr="003666BE" w:rsidRDefault="00501C8F" w:rsidP="00597356">
            <w:pPr>
              <w:pStyle w:val="Compact"/>
            </w:pPr>
            <w:r w:rsidRPr="003666BE">
              <w:t>12.86</w:t>
            </w:r>
          </w:p>
        </w:tc>
      </w:tr>
      <w:tr w:rsidR="00501C8F" w:rsidRPr="003666BE" w14:paraId="4434C5E5" w14:textId="77777777" w:rsidTr="00597356">
        <w:tc>
          <w:tcPr>
            <w:tcW w:w="0" w:type="auto"/>
          </w:tcPr>
          <w:p w14:paraId="46BB0660" w14:textId="77777777" w:rsidR="00501C8F" w:rsidRPr="003666BE" w:rsidRDefault="00501C8F" w:rsidP="00597356">
            <w:pPr>
              <w:pStyle w:val="Compact"/>
            </w:pPr>
            <w:r w:rsidRPr="003666BE">
              <w:t>Bolivia</w:t>
            </w:r>
          </w:p>
        </w:tc>
        <w:tc>
          <w:tcPr>
            <w:tcW w:w="0" w:type="auto"/>
          </w:tcPr>
          <w:p w14:paraId="0FF05DAE" w14:textId="77777777" w:rsidR="00501C8F" w:rsidRPr="003666BE" w:rsidRDefault="00501C8F" w:rsidP="00597356">
            <w:pPr>
              <w:pStyle w:val="Compact"/>
            </w:pPr>
            <w:r w:rsidRPr="003666BE">
              <w:t>6.33</w:t>
            </w:r>
          </w:p>
        </w:tc>
        <w:tc>
          <w:tcPr>
            <w:tcW w:w="0" w:type="auto"/>
          </w:tcPr>
          <w:p w14:paraId="134696A8" w14:textId="77777777" w:rsidR="00501C8F" w:rsidRPr="003666BE" w:rsidRDefault="00501C8F" w:rsidP="00597356">
            <w:pPr>
              <w:pStyle w:val="Compact"/>
            </w:pPr>
            <w:r w:rsidRPr="003666BE">
              <w:t>-22.06</w:t>
            </w:r>
          </w:p>
        </w:tc>
        <w:tc>
          <w:tcPr>
            <w:tcW w:w="0" w:type="auto"/>
          </w:tcPr>
          <w:p w14:paraId="160E7896" w14:textId="77777777" w:rsidR="00501C8F" w:rsidRPr="003666BE" w:rsidRDefault="00501C8F" w:rsidP="00597356">
            <w:pPr>
              <w:pStyle w:val="Compact"/>
            </w:pPr>
            <w:r w:rsidRPr="003666BE">
              <w:t>7.96</w:t>
            </w:r>
          </w:p>
        </w:tc>
      </w:tr>
      <w:tr w:rsidR="00501C8F" w:rsidRPr="003666BE" w14:paraId="01C5F891" w14:textId="77777777" w:rsidTr="00597356">
        <w:tc>
          <w:tcPr>
            <w:tcW w:w="0" w:type="auto"/>
          </w:tcPr>
          <w:p w14:paraId="3798ACE5" w14:textId="77777777" w:rsidR="00501C8F" w:rsidRPr="003666BE" w:rsidRDefault="00501C8F" w:rsidP="00597356">
            <w:pPr>
              <w:pStyle w:val="Compact"/>
            </w:pPr>
            <w:r w:rsidRPr="003666BE">
              <w:t>Brazil</w:t>
            </w:r>
          </w:p>
        </w:tc>
        <w:tc>
          <w:tcPr>
            <w:tcW w:w="0" w:type="auto"/>
          </w:tcPr>
          <w:p w14:paraId="772DAAB3" w14:textId="77777777" w:rsidR="00501C8F" w:rsidRPr="003666BE" w:rsidRDefault="00501C8F" w:rsidP="00597356">
            <w:pPr>
              <w:pStyle w:val="Compact"/>
            </w:pPr>
            <w:r w:rsidRPr="003666BE">
              <w:t>0.49</w:t>
            </w:r>
          </w:p>
        </w:tc>
        <w:tc>
          <w:tcPr>
            <w:tcW w:w="0" w:type="auto"/>
          </w:tcPr>
          <w:p w14:paraId="2DFA893E" w14:textId="77777777" w:rsidR="00501C8F" w:rsidRPr="003666BE" w:rsidRDefault="00501C8F" w:rsidP="00597356">
            <w:pPr>
              <w:pStyle w:val="Compact"/>
            </w:pPr>
            <w:r w:rsidRPr="003666BE">
              <w:t>-6.97</w:t>
            </w:r>
          </w:p>
        </w:tc>
        <w:tc>
          <w:tcPr>
            <w:tcW w:w="0" w:type="auto"/>
          </w:tcPr>
          <w:p w14:paraId="7F6FDEDE" w14:textId="77777777" w:rsidR="00501C8F" w:rsidRPr="003666BE" w:rsidRDefault="00501C8F" w:rsidP="00597356">
            <w:pPr>
              <w:pStyle w:val="Compact"/>
            </w:pPr>
            <w:r w:rsidRPr="003666BE">
              <w:t>34.36</w:t>
            </w:r>
          </w:p>
        </w:tc>
      </w:tr>
      <w:tr w:rsidR="00501C8F" w:rsidRPr="003666BE" w14:paraId="6106F7E0" w14:textId="77777777" w:rsidTr="00597356">
        <w:tc>
          <w:tcPr>
            <w:tcW w:w="0" w:type="auto"/>
          </w:tcPr>
          <w:p w14:paraId="22DD875A" w14:textId="77777777" w:rsidR="00501C8F" w:rsidRPr="003666BE" w:rsidRDefault="00501C8F" w:rsidP="00597356">
            <w:pPr>
              <w:pStyle w:val="Compact"/>
            </w:pPr>
            <w:r w:rsidRPr="003666BE">
              <w:t>China</w:t>
            </w:r>
          </w:p>
        </w:tc>
        <w:tc>
          <w:tcPr>
            <w:tcW w:w="0" w:type="auto"/>
          </w:tcPr>
          <w:p w14:paraId="279E55C6" w14:textId="77777777" w:rsidR="00501C8F" w:rsidRPr="003666BE" w:rsidRDefault="00501C8F" w:rsidP="00597356">
            <w:pPr>
              <w:pStyle w:val="Compact"/>
            </w:pPr>
            <w:r w:rsidRPr="003666BE">
              <w:t>-16.29</w:t>
            </w:r>
          </w:p>
        </w:tc>
        <w:tc>
          <w:tcPr>
            <w:tcW w:w="0" w:type="auto"/>
          </w:tcPr>
          <w:p w14:paraId="004D61C1" w14:textId="77777777" w:rsidR="00501C8F" w:rsidRPr="003666BE" w:rsidRDefault="00501C8F" w:rsidP="00597356">
            <w:pPr>
              <w:pStyle w:val="Compact"/>
            </w:pPr>
            <w:r w:rsidRPr="003666BE">
              <w:t>8.47</w:t>
            </w:r>
          </w:p>
        </w:tc>
        <w:tc>
          <w:tcPr>
            <w:tcW w:w="0" w:type="auto"/>
          </w:tcPr>
          <w:p w14:paraId="33ABCDE7" w14:textId="77777777" w:rsidR="00501C8F" w:rsidRPr="003666BE" w:rsidRDefault="00501C8F" w:rsidP="00597356">
            <w:pPr>
              <w:pStyle w:val="Compact"/>
            </w:pPr>
            <w:r w:rsidRPr="003666BE">
              <w:t>44.09</w:t>
            </w:r>
          </w:p>
        </w:tc>
      </w:tr>
      <w:tr w:rsidR="00501C8F" w:rsidRPr="003666BE" w14:paraId="060A8B71" w14:textId="77777777" w:rsidTr="00597356">
        <w:tc>
          <w:tcPr>
            <w:tcW w:w="0" w:type="auto"/>
          </w:tcPr>
          <w:p w14:paraId="6360363F" w14:textId="77777777" w:rsidR="00501C8F" w:rsidRPr="003666BE" w:rsidRDefault="00501C8F" w:rsidP="00597356">
            <w:pPr>
              <w:pStyle w:val="Compact"/>
            </w:pPr>
            <w:r w:rsidRPr="003666BE">
              <w:t>EU_28</w:t>
            </w:r>
          </w:p>
        </w:tc>
        <w:tc>
          <w:tcPr>
            <w:tcW w:w="0" w:type="auto"/>
          </w:tcPr>
          <w:p w14:paraId="7D0E01F9" w14:textId="77777777" w:rsidR="00501C8F" w:rsidRPr="003666BE" w:rsidRDefault="00501C8F" w:rsidP="00597356">
            <w:pPr>
              <w:pStyle w:val="Compact"/>
            </w:pPr>
            <w:r w:rsidRPr="003666BE">
              <w:t>7.07</w:t>
            </w:r>
          </w:p>
        </w:tc>
        <w:tc>
          <w:tcPr>
            <w:tcW w:w="0" w:type="auto"/>
          </w:tcPr>
          <w:p w14:paraId="1D6EADA9" w14:textId="77777777" w:rsidR="00501C8F" w:rsidRPr="003666BE" w:rsidRDefault="00501C8F" w:rsidP="00597356">
            <w:pPr>
              <w:pStyle w:val="Compact"/>
            </w:pPr>
            <w:r w:rsidRPr="003666BE">
              <w:t>4.92</w:t>
            </w:r>
          </w:p>
        </w:tc>
        <w:tc>
          <w:tcPr>
            <w:tcW w:w="0" w:type="auto"/>
          </w:tcPr>
          <w:p w14:paraId="3A08FE24" w14:textId="77777777" w:rsidR="00501C8F" w:rsidRPr="003666BE" w:rsidRDefault="00501C8F" w:rsidP="00597356">
            <w:pPr>
              <w:pStyle w:val="Compact"/>
            </w:pPr>
            <w:r w:rsidRPr="003666BE">
              <w:t>23.56</w:t>
            </w:r>
          </w:p>
        </w:tc>
      </w:tr>
      <w:tr w:rsidR="00501C8F" w:rsidRPr="003666BE" w14:paraId="4C30536C" w14:textId="77777777" w:rsidTr="00597356">
        <w:tc>
          <w:tcPr>
            <w:tcW w:w="0" w:type="auto"/>
          </w:tcPr>
          <w:p w14:paraId="5D9411CA" w14:textId="77777777" w:rsidR="00501C8F" w:rsidRPr="003666BE" w:rsidRDefault="00501C8F" w:rsidP="00597356">
            <w:pPr>
              <w:pStyle w:val="Compact"/>
            </w:pPr>
            <w:r w:rsidRPr="003666BE">
              <w:t>Indonesia</w:t>
            </w:r>
          </w:p>
        </w:tc>
        <w:tc>
          <w:tcPr>
            <w:tcW w:w="0" w:type="auto"/>
          </w:tcPr>
          <w:p w14:paraId="147B64E0" w14:textId="77777777" w:rsidR="00501C8F" w:rsidRPr="003666BE" w:rsidRDefault="00501C8F" w:rsidP="00597356">
            <w:pPr>
              <w:pStyle w:val="Compact"/>
            </w:pPr>
            <w:r w:rsidRPr="003666BE">
              <w:t>-16.17</w:t>
            </w:r>
          </w:p>
        </w:tc>
        <w:tc>
          <w:tcPr>
            <w:tcW w:w="0" w:type="auto"/>
          </w:tcPr>
          <w:p w14:paraId="5CD9ADD4" w14:textId="77777777" w:rsidR="00501C8F" w:rsidRPr="003666BE" w:rsidRDefault="00501C8F" w:rsidP="00597356">
            <w:pPr>
              <w:pStyle w:val="Compact"/>
            </w:pPr>
            <w:r w:rsidRPr="003666BE">
              <w:t>-8.91</w:t>
            </w:r>
          </w:p>
        </w:tc>
        <w:tc>
          <w:tcPr>
            <w:tcW w:w="0" w:type="auto"/>
          </w:tcPr>
          <w:p w14:paraId="25EE90A8" w14:textId="77777777" w:rsidR="00501C8F" w:rsidRPr="003666BE" w:rsidRDefault="00501C8F" w:rsidP="00597356">
            <w:pPr>
              <w:pStyle w:val="Compact"/>
            </w:pPr>
            <w:r w:rsidRPr="003666BE">
              <w:t>18.13</w:t>
            </w:r>
          </w:p>
        </w:tc>
      </w:tr>
      <w:tr w:rsidR="00501C8F" w:rsidRPr="003666BE" w14:paraId="7C6089A5" w14:textId="77777777" w:rsidTr="00597356">
        <w:tc>
          <w:tcPr>
            <w:tcW w:w="0" w:type="auto"/>
          </w:tcPr>
          <w:p w14:paraId="74FD40A1" w14:textId="77777777" w:rsidR="00501C8F" w:rsidRPr="003666BE" w:rsidRDefault="00501C8F" w:rsidP="00597356">
            <w:pPr>
              <w:pStyle w:val="Compact"/>
            </w:pPr>
            <w:r w:rsidRPr="003666BE">
              <w:t>Malaysia</w:t>
            </w:r>
          </w:p>
        </w:tc>
        <w:tc>
          <w:tcPr>
            <w:tcW w:w="0" w:type="auto"/>
          </w:tcPr>
          <w:p w14:paraId="32A55DFF" w14:textId="77777777" w:rsidR="00501C8F" w:rsidRPr="003666BE" w:rsidRDefault="00501C8F" w:rsidP="00597356">
            <w:pPr>
              <w:pStyle w:val="Compact"/>
            </w:pPr>
            <w:r w:rsidRPr="003666BE">
              <w:t>-5.73</w:t>
            </w:r>
          </w:p>
        </w:tc>
        <w:tc>
          <w:tcPr>
            <w:tcW w:w="0" w:type="auto"/>
          </w:tcPr>
          <w:p w14:paraId="0D13BCB5" w14:textId="77777777" w:rsidR="00501C8F" w:rsidRPr="003666BE" w:rsidRDefault="00501C8F" w:rsidP="00597356">
            <w:pPr>
              <w:pStyle w:val="Compact"/>
            </w:pPr>
            <w:r w:rsidRPr="003666BE">
              <w:t>-5.76</w:t>
            </w:r>
          </w:p>
        </w:tc>
        <w:tc>
          <w:tcPr>
            <w:tcW w:w="0" w:type="auto"/>
          </w:tcPr>
          <w:p w14:paraId="493B20A7" w14:textId="77777777" w:rsidR="00501C8F" w:rsidRPr="003666BE" w:rsidRDefault="00501C8F" w:rsidP="00597356">
            <w:pPr>
              <w:pStyle w:val="Compact"/>
            </w:pPr>
            <w:r w:rsidRPr="003666BE">
              <w:t>20.80</w:t>
            </w:r>
          </w:p>
        </w:tc>
      </w:tr>
      <w:tr w:rsidR="00501C8F" w:rsidRPr="003666BE" w14:paraId="3C2A47F1" w14:textId="77777777" w:rsidTr="00597356">
        <w:tc>
          <w:tcPr>
            <w:tcW w:w="0" w:type="auto"/>
          </w:tcPr>
          <w:p w14:paraId="1E8D7D1F" w14:textId="5768301F" w:rsidR="00501C8F" w:rsidRPr="003666BE" w:rsidRDefault="00501C8F" w:rsidP="00597356">
            <w:pPr>
              <w:pStyle w:val="Compact"/>
            </w:pPr>
            <w:r w:rsidRPr="003666BE">
              <w:t>N</w:t>
            </w:r>
            <w:r w:rsidR="000D18FB" w:rsidRPr="003666BE">
              <w:t xml:space="preserve">orth </w:t>
            </w:r>
            <w:r w:rsidRPr="003666BE">
              <w:t>America</w:t>
            </w:r>
          </w:p>
        </w:tc>
        <w:tc>
          <w:tcPr>
            <w:tcW w:w="0" w:type="auto"/>
          </w:tcPr>
          <w:p w14:paraId="3505E39B" w14:textId="77777777" w:rsidR="00501C8F" w:rsidRPr="003666BE" w:rsidRDefault="00501C8F" w:rsidP="00597356">
            <w:pPr>
              <w:pStyle w:val="Compact"/>
            </w:pPr>
            <w:r w:rsidRPr="003666BE">
              <w:t>9.23</w:t>
            </w:r>
          </w:p>
        </w:tc>
        <w:tc>
          <w:tcPr>
            <w:tcW w:w="0" w:type="auto"/>
          </w:tcPr>
          <w:p w14:paraId="3DF986E1" w14:textId="77777777" w:rsidR="00501C8F" w:rsidRPr="003666BE" w:rsidRDefault="00501C8F" w:rsidP="00597356">
            <w:pPr>
              <w:pStyle w:val="Compact"/>
            </w:pPr>
            <w:r w:rsidRPr="003666BE">
              <w:t>-2.36</w:t>
            </w:r>
          </w:p>
        </w:tc>
        <w:tc>
          <w:tcPr>
            <w:tcW w:w="0" w:type="auto"/>
          </w:tcPr>
          <w:p w14:paraId="28B829DA" w14:textId="77777777" w:rsidR="00501C8F" w:rsidRPr="003666BE" w:rsidRDefault="00501C8F" w:rsidP="00597356">
            <w:pPr>
              <w:pStyle w:val="Compact"/>
            </w:pPr>
            <w:r w:rsidRPr="003666BE">
              <w:t>17.22</w:t>
            </w:r>
          </w:p>
        </w:tc>
      </w:tr>
      <w:tr w:rsidR="00501C8F" w:rsidRPr="003666BE" w14:paraId="63DBD0E7" w14:textId="77777777" w:rsidTr="00597356">
        <w:tc>
          <w:tcPr>
            <w:tcW w:w="0" w:type="auto"/>
          </w:tcPr>
          <w:p w14:paraId="3D16C7C9" w14:textId="77777777" w:rsidR="00501C8F" w:rsidRPr="003666BE" w:rsidRDefault="00501C8F" w:rsidP="00597356">
            <w:pPr>
              <w:pStyle w:val="Compact"/>
            </w:pPr>
            <w:r w:rsidRPr="003666BE">
              <w:t>Paraguay</w:t>
            </w:r>
          </w:p>
        </w:tc>
        <w:tc>
          <w:tcPr>
            <w:tcW w:w="0" w:type="auto"/>
          </w:tcPr>
          <w:p w14:paraId="2DFB3EB1" w14:textId="77777777" w:rsidR="00501C8F" w:rsidRPr="003666BE" w:rsidRDefault="00501C8F" w:rsidP="00597356">
            <w:pPr>
              <w:pStyle w:val="Compact"/>
            </w:pPr>
            <w:r w:rsidRPr="003666BE">
              <w:t>15.90</w:t>
            </w:r>
          </w:p>
        </w:tc>
        <w:tc>
          <w:tcPr>
            <w:tcW w:w="0" w:type="auto"/>
          </w:tcPr>
          <w:p w14:paraId="1AA0C985" w14:textId="77777777" w:rsidR="00501C8F" w:rsidRPr="003666BE" w:rsidRDefault="00501C8F" w:rsidP="00597356">
            <w:pPr>
              <w:pStyle w:val="Compact"/>
            </w:pPr>
            <w:r w:rsidRPr="003666BE">
              <w:t>-10.44</w:t>
            </w:r>
          </w:p>
        </w:tc>
        <w:tc>
          <w:tcPr>
            <w:tcW w:w="0" w:type="auto"/>
          </w:tcPr>
          <w:p w14:paraId="255FB628" w14:textId="77777777" w:rsidR="00501C8F" w:rsidRPr="003666BE" w:rsidRDefault="00501C8F" w:rsidP="00597356">
            <w:pPr>
              <w:pStyle w:val="Compact"/>
            </w:pPr>
            <w:r w:rsidRPr="003666BE">
              <w:t>20.42</w:t>
            </w:r>
          </w:p>
        </w:tc>
      </w:tr>
      <w:tr w:rsidR="00501C8F" w:rsidRPr="003666BE" w14:paraId="083979E8" w14:textId="77777777" w:rsidTr="00597356">
        <w:tc>
          <w:tcPr>
            <w:tcW w:w="0" w:type="auto"/>
          </w:tcPr>
          <w:p w14:paraId="02EA2CDA" w14:textId="787FEF4A" w:rsidR="00501C8F" w:rsidRPr="003666BE" w:rsidRDefault="00501C8F" w:rsidP="00597356">
            <w:pPr>
              <w:pStyle w:val="Compact"/>
            </w:pPr>
            <w:r w:rsidRPr="003666BE">
              <w:t>Rest</w:t>
            </w:r>
            <w:r w:rsidR="000D18FB" w:rsidRPr="003666BE">
              <w:t xml:space="preserve"> of </w:t>
            </w:r>
            <w:r w:rsidRPr="003666BE">
              <w:t>Lat</w:t>
            </w:r>
            <w:r w:rsidR="000D18FB" w:rsidRPr="003666BE">
              <w:t>in America</w:t>
            </w:r>
          </w:p>
        </w:tc>
        <w:tc>
          <w:tcPr>
            <w:tcW w:w="0" w:type="auto"/>
          </w:tcPr>
          <w:p w14:paraId="6CC74F21" w14:textId="77777777" w:rsidR="00501C8F" w:rsidRPr="003666BE" w:rsidRDefault="00501C8F" w:rsidP="00597356">
            <w:pPr>
              <w:pStyle w:val="Compact"/>
            </w:pPr>
            <w:r w:rsidRPr="003666BE">
              <w:t>9.16</w:t>
            </w:r>
          </w:p>
        </w:tc>
        <w:tc>
          <w:tcPr>
            <w:tcW w:w="0" w:type="auto"/>
          </w:tcPr>
          <w:p w14:paraId="35339E13" w14:textId="77777777" w:rsidR="00501C8F" w:rsidRPr="003666BE" w:rsidRDefault="00501C8F" w:rsidP="00597356">
            <w:pPr>
              <w:pStyle w:val="Compact"/>
            </w:pPr>
            <w:r w:rsidRPr="003666BE">
              <w:t>-0.61</w:t>
            </w:r>
          </w:p>
        </w:tc>
        <w:tc>
          <w:tcPr>
            <w:tcW w:w="0" w:type="auto"/>
          </w:tcPr>
          <w:p w14:paraId="18441DD7" w14:textId="77777777" w:rsidR="00501C8F" w:rsidRPr="003666BE" w:rsidRDefault="00501C8F" w:rsidP="00597356">
            <w:pPr>
              <w:pStyle w:val="Compact"/>
            </w:pPr>
            <w:r w:rsidRPr="003666BE">
              <w:t>14.69</w:t>
            </w:r>
          </w:p>
        </w:tc>
      </w:tr>
      <w:tr w:rsidR="00501C8F" w:rsidRPr="003666BE" w14:paraId="52CCDD4D" w14:textId="77777777" w:rsidTr="00597356">
        <w:tc>
          <w:tcPr>
            <w:tcW w:w="0" w:type="auto"/>
          </w:tcPr>
          <w:p w14:paraId="2006609F" w14:textId="591AE995" w:rsidR="00501C8F" w:rsidRPr="003666BE" w:rsidRDefault="00501C8F" w:rsidP="00597356">
            <w:pPr>
              <w:pStyle w:val="Compact"/>
            </w:pPr>
            <w:r w:rsidRPr="003666BE">
              <w:t>Rest</w:t>
            </w:r>
            <w:r w:rsidR="000D18FB" w:rsidRPr="003666BE">
              <w:t xml:space="preserve"> </w:t>
            </w:r>
            <w:r w:rsidRPr="003666BE">
              <w:t>of</w:t>
            </w:r>
            <w:r w:rsidR="000D18FB" w:rsidRPr="003666BE">
              <w:t xml:space="preserve"> the </w:t>
            </w:r>
            <w:r w:rsidRPr="003666BE">
              <w:t>World</w:t>
            </w:r>
          </w:p>
        </w:tc>
        <w:tc>
          <w:tcPr>
            <w:tcW w:w="0" w:type="auto"/>
          </w:tcPr>
          <w:p w14:paraId="2FB5751A" w14:textId="77777777" w:rsidR="00501C8F" w:rsidRPr="003666BE" w:rsidRDefault="00501C8F" w:rsidP="00597356">
            <w:pPr>
              <w:pStyle w:val="Compact"/>
            </w:pPr>
            <w:r w:rsidRPr="003666BE">
              <w:t>1.37</w:t>
            </w:r>
          </w:p>
        </w:tc>
        <w:tc>
          <w:tcPr>
            <w:tcW w:w="0" w:type="auto"/>
          </w:tcPr>
          <w:p w14:paraId="5F5A28E8" w14:textId="77777777" w:rsidR="00501C8F" w:rsidRPr="003666BE" w:rsidRDefault="00501C8F" w:rsidP="00597356">
            <w:pPr>
              <w:pStyle w:val="Compact"/>
            </w:pPr>
            <w:r w:rsidRPr="003666BE">
              <w:t>-2.43</w:t>
            </w:r>
          </w:p>
        </w:tc>
        <w:tc>
          <w:tcPr>
            <w:tcW w:w="0" w:type="auto"/>
          </w:tcPr>
          <w:p w14:paraId="20E02A8B" w14:textId="77777777" w:rsidR="00501C8F" w:rsidRPr="003666BE" w:rsidRDefault="00501C8F" w:rsidP="00597356">
            <w:pPr>
              <w:pStyle w:val="Compact"/>
            </w:pPr>
            <w:r w:rsidRPr="003666BE">
              <w:t>16.48</w:t>
            </w:r>
          </w:p>
        </w:tc>
      </w:tr>
      <w:tr w:rsidR="00501C8F" w:rsidRPr="003666BE" w14:paraId="60933A62" w14:textId="77777777" w:rsidTr="00597356">
        <w:tc>
          <w:tcPr>
            <w:tcW w:w="0" w:type="auto"/>
          </w:tcPr>
          <w:p w14:paraId="1852C5C4" w14:textId="77777777" w:rsidR="00501C8F" w:rsidRPr="003666BE" w:rsidRDefault="00501C8F" w:rsidP="00597356">
            <w:pPr>
              <w:pStyle w:val="Compact"/>
            </w:pPr>
            <w:r w:rsidRPr="003666BE">
              <w:t>SSA</w:t>
            </w:r>
          </w:p>
        </w:tc>
        <w:tc>
          <w:tcPr>
            <w:tcW w:w="0" w:type="auto"/>
          </w:tcPr>
          <w:p w14:paraId="3A79AE2B" w14:textId="77777777" w:rsidR="00501C8F" w:rsidRPr="003666BE" w:rsidRDefault="00501C8F" w:rsidP="00597356">
            <w:pPr>
              <w:pStyle w:val="Compact"/>
            </w:pPr>
            <w:r w:rsidRPr="003666BE">
              <w:t>3.92</w:t>
            </w:r>
          </w:p>
        </w:tc>
        <w:tc>
          <w:tcPr>
            <w:tcW w:w="0" w:type="auto"/>
          </w:tcPr>
          <w:p w14:paraId="691B89C6" w14:textId="77777777" w:rsidR="00501C8F" w:rsidRPr="003666BE" w:rsidRDefault="00501C8F" w:rsidP="00597356">
            <w:pPr>
              <w:pStyle w:val="Compact"/>
            </w:pPr>
            <w:r w:rsidRPr="003666BE">
              <w:t>-9.11</w:t>
            </w:r>
          </w:p>
        </w:tc>
        <w:tc>
          <w:tcPr>
            <w:tcW w:w="0" w:type="auto"/>
          </w:tcPr>
          <w:p w14:paraId="60816F2F" w14:textId="77777777" w:rsidR="00501C8F" w:rsidRPr="003666BE" w:rsidRDefault="00501C8F" w:rsidP="00597356">
            <w:pPr>
              <w:pStyle w:val="Compact"/>
            </w:pPr>
            <w:r w:rsidRPr="003666BE">
              <w:t>6.74</w:t>
            </w:r>
          </w:p>
        </w:tc>
      </w:tr>
    </w:tbl>
    <w:p w14:paraId="25E80A42" w14:textId="38F0B199" w:rsidR="0093788F" w:rsidRPr="003666BE" w:rsidRDefault="00501C8F" w:rsidP="000D18FB">
      <w:r w:rsidRPr="003666BE">
        <w:t xml:space="preserve">Notes: Productivity is defined as 2004-2006 international US dollars per 40 CV tractor-equivalent machinery unit (proxy for capital); per metric ton of N, P205, and K2 nutrients of fertilizer consumed (fertilizer); per 1000 persons economically active in agriculture, +15 </w:t>
      </w:r>
      <w:proofErr w:type="spellStart"/>
      <w:r w:rsidRPr="003666BE">
        <w:t>yrs</w:t>
      </w:r>
      <w:proofErr w:type="spellEnd"/>
      <w:r w:rsidRPr="003666BE">
        <w:t xml:space="preserve">, </w:t>
      </w:r>
      <w:proofErr w:type="spellStart"/>
      <w:r w:rsidRPr="003666BE">
        <w:t>male+female</w:t>
      </w:r>
      <w:proofErr w:type="spellEnd"/>
      <w:r w:rsidRPr="003666BE">
        <w:t>. We estimate the growth rate of each ratio during 2009-2015 (last available year) and then calculate the net percentage change between 2016 and 2011. Source: International Productivity Dataset, USDA Economic Research Service which is based on FAOSTAT</w:t>
      </w:r>
      <w:r w:rsidR="00AD114F" w:rsidRPr="003666BE">
        <w:t xml:space="preserve"> </w:t>
      </w:r>
      <w:r w:rsidR="00AD114F" w:rsidRPr="003666BE">
        <w:fldChar w:fldCharType="begin"/>
      </w:r>
      <w:r w:rsidR="000D6366">
        <w:instrText xml:space="preserve"> ADDIN ZOTERO_ITEM CSL_CITATION {"citationID":"Tye1xeKy","properties":{"formattedCitation":"\\super 23\\nosupersub{}","plainCitation":"23","noteIndex":0},"citationItems":[{"id":1452,"uris":["http://zotero.org/users/2600/items/KC5BP98K"],"uri":["http://zotero.org/users/2600/items/KC5BP98K"],"itemData":{"id":1452,"type":"webpage","note":"Citation Key: fuglie2017","title":"USDA ERS - International Agricultural Productivity","URL":"https://www.ers.usda.gov/data-products/international-agricultural-productivity. Accessed: 02-28-2017","author":[{"family":"Fuglie","given":"Keith O."}],"accessed":{"date-parts":[["2017",2,28]]},"issued":{"date-parts":[["2017"]]}}}],"schema":"https://github.com/citation-style-language/schema/raw/master/csl-citation.json"} </w:instrText>
      </w:r>
      <w:r w:rsidR="00AD114F" w:rsidRPr="003666BE">
        <w:fldChar w:fldCharType="separate"/>
      </w:r>
      <w:r w:rsidR="000D6366" w:rsidRPr="000D6366">
        <w:rPr>
          <w:vertAlign w:val="superscript"/>
        </w:rPr>
        <w:t>23</w:t>
      </w:r>
      <w:r w:rsidR="00AD114F" w:rsidRPr="003666BE">
        <w:fldChar w:fldCharType="end"/>
      </w:r>
      <w:r w:rsidRPr="003666BE">
        <w:t>.</w:t>
      </w:r>
    </w:p>
    <w:p w14:paraId="6855AB7D" w14:textId="77777777" w:rsidR="00501C8F" w:rsidRPr="003666BE" w:rsidRDefault="00501C8F">
      <w:r w:rsidRPr="003666BE">
        <w:br w:type="page"/>
      </w:r>
    </w:p>
    <w:p w14:paraId="50EACDCA" w14:textId="08A786DB" w:rsidR="00501C8F" w:rsidRPr="003666BE" w:rsidRDefault="00501C8F" w:rsidP="00501C8F">
      <w:pPr>
        <w:pStyle w:val="TableCaption"/>
        <w:rPr>
          <w:rFonts w:ascii="Times New Roman" w:hAnsi="Times New Roman" w:cs="Times New Roman"/>
          <w:b/>
          <w:bCs/>
          <w:i w:val="0"/>
          <w:iCs/>
        </w:rPr>
      </w:pPr>
      <w:r w:rsidRPr="003666BE">
        <w:rPr>
          <w:rFonts w:ascii="Times New Roman" w:hAnsi="Times New Roman" w:cs="Times New Roman"/>
          <w:b/>
          <w:bCs/>
          <w:i w:val="0"/>
          <w:iCs/>
        </w:rPr>
        <w:lastRenderedPageBreak/>
        <w:t>Table S</w:t>
      </w:r>
      <w:r w:rsidR="0047214A" w:rsidRPr="003666BE">
        <w:rPr>
          <w:rFonts w:ascii="Times New Roman" w:hAnsi="Times New Roman" w:cs="Times New Roman"/>
          <w:b/>
          <w:bCs/>
          <w:i w:val="0"/>
          <w:iCs/>
        </w:rPr>
        <w:fldChar w:fldCharType="begin"/>
      </w:r>
      <w:r w:rsidR="0047214A" w:rsidRPr="003666BE">
        <w:rPr>
          <w:rFonts w:ascii="Times New Roman" w:hAnsi="Times New Roman" w:cs="Times New Roman"/>
          <w:b/>
          <w:bCs/>
          <w:i w:val="0"/>
          <w:iCs/>
        </w:rPr>
        <w:instrText xml:space="preserve"> SEQ Table_S \* ARABIC </w:instrText>
      </w:r>
      <w:r w:rsidR="0047214A" w:rsidRPr="003666BE">
        <w:rPr>
          <w:rFonts w:ascii="Times New Roman" w:hAnsi="Times New Roman" w:cs="Times New Roman"/>
          <w:b/>
          <w:bCs/>
          <w:i w:val="0"/>
          <w:iCs/>
        </w:rPr>
        <w:fldChar w:fldCharType="separate"/>
      </w:r>
      <w:r w:rsidR="00292B5D" w:rsidRPr="003666BE">
        <w:rPr>
          <w:rFonts w:ascii="Times New Roman" w:hAnsi="Times New Roman" w:cs="Times New Roman"/>
          <w:b/>
          <w:bCs/>
          <w:i w:val="0"/>
          <w:iCs/>
          <w:noProof/>
        </w:rPr>
        <w:t>3</w:t>
      </w:r>
      <w:r w:rsidR="0047214A" w:rsidRPr="003666BE">
        <w:rPr>
          <w:rFonts w:ascii="Times New Roman" w:hAnsi="Times New Roman" w:cs="Times New Roman"/>
          <w:b/>
          <w:bCs/>
          <w:i w:val="0"/>
          <w:iCs/>
          <w:noProof/>
        </w:rPr>
        <w:fldChar w:fldCharType="end"/>
      </w:r>
      <w:r w:rsidRPr="003666BE">
        <w:rPr>
          <w:rFonts w:ascii="Times New Roman" w:hAnsi="Times New Roman" w:cs="Times New Roman"/>
          <w:b/>
          <w:bCs/>
          <w:i w:val="0"/>
          <w:iCs/>
        </w:rPr>
        <w:t>. Percentage Change in Harvested Area and Production of Oilseed Between 2011 and 2016</w:t>
      </w:r>
    </w:p>
    <w:tbl>
      <w:tblPr>
        <w:tblStyle w:val="Table"/>
        <w:tblW w:w="0" w:type="pct"/>
        <w:tblLook w:val="07E0" w:firstRow="1" w:lastRow="1" w:firstColumn="1" w:lastColumn="1" w:noHBand="1" w:noVBand="1"/>
      </w:tblPr>
      <w:tblGrid>
        <w:gridCol w:w="1516"/>
        <w:gridCol w:w="2356"/>
        <w:gridCol w:w="836"/>
        <w:gridCol w:w="1270"/>
      </w:tblGrid>
      <w:tr w:rsidR="00A775F4" w:rsidRPr="003666BE" w14:paraId="17AFD41D" w14:textId="77777777" w:rsidTr="00597356">
        <w:tc>
          <w:tcPr>
            <w:tcW w:w="0" w:type="auto"/>
            <w:vAlign w:val="bottom"/>
          </w:tcPr>
          <w:p w14:paraId="5AE59586" w14:textId="794FDA33" w:rsidR="00501C8F" w:rsidRPr="003666BE" w:rsidRDefault="00501C8F" w:rsidP="00597356">
            <w:pPr>
              <w:pStyle w:val="Compact"/>
            </w:pPr>
            <w:r w:rsidRPr="003666BE">
              <w:t>GTAP</w:t>
            </w:r>
            <w:r w:rsidR="000D18FB" w:rsidRPr="003666BE">
              <w:t xml:space="preserve"> </w:t>
            </w:r>
            <w:r w:rsidRPr="003666BE">
              <w:t>Sector</w:t>
            </w:r>
          </w:p>
        </w:tc>
        <w:tc>
          <w:tcPr>
            <w:tcW w:w="0" w:type="auto"/>
            <w:vAlign w:val="bottom"/>
          </w:tcPr>
          <w:p w14:paraId="34A61909" w14:textId="77777777" w:rsidR="00501C8F" w:rsidRPr="003666BE" w:rsidRDefault="00501C8F" w:rsidP="00597356">
            <w:pPr>
              <w:pStyle w:val="Compact"/>
            </w:pPr>
            <w:r w:rsidRPr="003666BE">
              <w:t>Region</w:t>
            </w:r>
          </w:p>
        </w:tc>
        <w:tc>
          <w:tcPr>
            <w:tcW w:w="0" w:type="auto"/>
            <w:vAlign w:val="bottom"/>
          </w:tcPr>
          <w:p w14:paraId="631B4290" w14:textId="77777777" w:rsidR="00501C8F" w:rsidRPr="003666BE" w:rsidRDefault="00501C8F" w:rsidP="00597356">
            <w:pPr>
              <w:pStyle w:val="Compact"/>
            </w:pPr>
            <w:r w:rsidRPr="003666BE">
              <w:t>Area</w:t>
            </w:r>
          </w:p>
        </w:tc>
        <w:tc>
          <w:tcPr>
            <w:tcW w:w="0" w:type="auto"/>
            <w:vAlign w:val="bottom"/>
          </w:tcPr>
          <w:p w14:paraId="27D5756A" w14:textId="77777777" w:rsidR="00501C8F" w:rsidRPr="003666BE" w:rsidRDefault="00501C8F" w:rsidP="00597356">
            <w:pPr>
              <w:pStyle w:val="Compact"/>
            </w:pPr>
            <w:r w:rsidRPr="003666BE">
              <w:t>Production</w:t>
            </w:r>
          </w:p>
        </w:tc>
      </w:tr>
      <w:tr w:rsidR="00501C8F" w:rsidRPr="003666BE" w14:paraId="3DE5BF65" w14:textId="77777777" w:rsidTr="00597356">
        <w:tc>
          <w:tcPr>
            <w:tcW w:w="0" w:type="auto"/>
          </w:tcPr>
          <w:p w14:paraId="61105524" w14:textId="77777777" w:rsidR="00501C8F" w:rsidRPr="003666BE" w:rsidRDefault="00501C8F" w:rsidP="00597356">
            <w:pPr>
              <w:pStyle w:val="Compact"/>
            </w:pPr>
            <w:r w:rsidRPr="003666BE">
              <w:t>Oilseeds</w:t>
            </w:r>
          </w:p>
        </w:tc>
        <w:tc>
          <w:tcPr>
            <w:tcW w:w="0" w:type="auto"/>
          </w:tcPr>
          <w:p w14:paraId="4A9F3040" w14:textId="77777777" w:rsidR="00501C8F" w:rsidRPr="003666BE" w:rsidRDefault="00501C8F" w:rsidP="00597356">
            <w:pPr>
              <w:pStyle w:val="Compact"/>
            </w:pPr>
            <w:r w:rsidRPr="003666BE">
              <w:t>Argentina</w:t>
            </w:r>
          </w:p>
        </w:tc>
        <w:tc>
          <w:tcPr>
            <w:tcW w:w="0" w:type="auto"/>
          </w:tcPr>
          <w:p w14:paraId="580AEFD9" w14:textId="77777777" w:rsidR="00501C8F" w:rsidRPr="003666BE" w:rsidRDefault="00501C8F" w:rsidP="00597356">
            <w:pPr>
              <w:pStyle w:val="Compact"/>
            </w:pPr>
            <w:r w:rsidRPr="003666BE">
              <w:t>3.07</w:t>
            </w:r>
          </w:p>
        </w:tc>
        <w:tc>
          <w:tcPr>
            <w:tcW w:w="0" w:type="auto"/>
          </w:tcPr>
          <w:p w14:paraId="36A0478D" w14:textId="77777777" w:rsidR="00501C8F" w:rsidRPr="003666BE" w:rsidRDefault="00501C8F" w:rsidP="00597356">
            <w:pPr>
              <w:pStyle w:val="Compact"/>
            </w:pPr>
            <w:r w:rsidRPr="003666BE">
              <w:t>21.24</w:t>
            </w:r>
          </w:p>
        </w:tc>
      </w:tr>
      <w:tr w:rsidR="00501C8F" w:rsidRPr="003666BE" w14:paraId="6BDACF24" w14:textId="77777777" w:rsidTr="00597356">
        <w:tc>
          <w:tcPr>
            <w:tcW w:w="0" w:type="auto"/>
          </w:tcPr>
          <w:p w14:paraId="31EC50FF" w14:textId="77777777" w:rsidR="00501C8F" w:rsidRPr="003666BE" w:rsidRDefault="00501C8F" w:rsidP="00597356">
            <w:pPr>
              <w:pStyle w:val="Compact"/>
            </w:pPr>
            <w:r w:rsidRPr="003666BE">
              <w:t>Oilseeds</w:t>
            </w:r>
          </w:p>
        </w:tc>
        <w:tc>
          <w:tcPr>
            <w:tcW w:w="0" w:type="auto"/>
          </w:tcPr>
          <w:p w14:paraId="51EC0F2B" w14:textId="77777777" w:rsidR="00501C8F" w:rsidRPr="003666BE" w:rsidRDefault="00501C8F" w:rsidP="00597356">
            <w:pPr>
              <w:pStyle w:val="Compact"/>
            </w:pPr>
            <w:r w:rsidRPr="003666BE">
              <w:t>Bolivia</w:t>
            </w:r>
          </w:p>
        </w:tc>
        <w:tc>
          <w:tcPr>
            <w:tcW w:w="0" w:type="auto"/>
          </w:tcPr>
          <w:p w14:paraId="680EB7DD" w14:textId="77777777" w:rsidR="00501C8F" w:rsidRPr="003666BE" w:rsidRDefault="00501C8F" w:rsidP="00597356">
            <w:pPr>
              <w:pStyle w:val="Compact"/>
            </w:pPr>
            <w:r w:rsidRPr="003666BE">
              <w:t>9.79</w:t>
            </w:r>
          </w:p>
        </w:tc>
        <w:tc>
          <w:tcPr>
            <w:tcW w:w="0" w:type="auto"/>
          </w:tcPr>
          <w:p w14:paraId="17B091EC" w14:textId="77777777" w:rsidR="00501C8F" w:rsidRPr="003666BE" w:rsidRDefault="00501C8F" w:rsidP="00597356">
            <w:pPr>
              <w:pStyle w:val="Compact"/>
            </w:pPr>
            <w:r w:rsidRPr="003666BE">
              <w:t>40.60</w:t>
            </w:r>
          </w:p>
        </w:tc>
      </w:tr>
      <w:tr w:rsidR="00501C8F" w:rsidRPr="003666BE" w14:paraId="4388C5DA" w14:textId="77777777" w:rsidTr="00597356">
        <w:tc>
          <w:tcPr>
            <w:tcW w:w="0" w:type="auto"/>
          </w:tcPr>
          <w:p w14:paraId="44499210" w14:textId="77777777" w:rsidR="00501C8F" w:rsidRPr="003666BE" w:rsidRDefault="00501C8F" w:rsidP="00597356">
            <w:pPr>
              <w:pStyle w:val="Compact"/>
            </w:pPr>
            <w:r w:rsidRPr="003666BE">
              <w:t>Oilseeds</w:t>
            </w:r>
          </w:p>
        </w:tc>
        <w:tc>
          <w:tcPr>
            <w:tcW w:w="0" w:type="auto"/>
          </w:tcPr>
          <w:p w14:paraId="55753E90" w14:textId="77777777" w:rsidR="00501C8F" w:rsidRPr="003666BE" w:rsidRDefault="00501C8F" w:rsidP="00597356">
            <w:pPr>
              <w:pStyle w:val="Compact"/>
            </w:pPr>
            <w:r w:rsidRPr="003666BE">
              <w:t>Brazil</w:t>
            </w:r>
          </w:p>
        </w:tc>
        <w:tc>
          <w:tcPr>
            <w:tcW w:w="0" w:type="auto"/>
          </w:tcPr>
          <w:p w14:paraId="0DEDF07C" w14:textId="77777777" w:rsidR="00501C8F" w:rsidRPr="003666BE" w:rsidRDefault="00501C8F" w:rsidP="00597356">
            <w:pPr>
              <w:pStyle w:val="Compact"/>
            </w:pPr>
            <w:r w:rsidRPr="003666BE">
              <w:t>31.24</w:t>
            </w:r>
          </w:p>
        </w:tc>
        <w:tc>
          <w:tcPr>
            <w:tcW w:w="0" w:type="auto"/>
          </w:tcPr>
          <w:p w14:paraId="7C2F742C" w14:textId="77777777" w:rsidR="00501C8F" w:rsidRPr="003666BE" w:rsidRDefault="00501C8F" w:rsidP="00597356">
            <w:pPr>
              <w:pStyle w:val="Compact"/>
            </w:pPr>
            <w:r w:rsidRPr="003666BE">
              <w:t>38.37</w:t>
            </w:r>
          </w:p>
        </w:tc>
      </w:tr>
      <w:tr w:rsidR="00501C8F" w:rsidRPr="003666BE" w14:paraId="3DD9F84E" w14:textId="77777777" w:rsidTr="00597356">
        <w:tc>
          <w:tcPr>
            <w:tcW w:w="0" w:type="auto"/>
          </w:tcPr>
          <w:p w14:paraId="711B1E6C" w14:textId="77777777" w:rsidR="00501C8F" w:rsidRPr="003666BE" w:rsidRDefault="00501C8F" w:rsidP="00597356">
            <w:pPr>
              <w:pStyle w:val="Compact"/>
            </w:pPr>
            <w:r w:rsidRPr="003666BE">
              <w:t>Oilseeds</w:t>
            </w:r>
          </w:p>
        </w:tc>
        <w:tc>
          <w:tcPr>
            <w:tcW w:w="0" w:type="auto"/>
          </w:tcPr>
          <w:p w14:paraId="386B1A75" w14:textId="77777777" w:rsidR="00501C8F" w:rsidRPr="003666BE" w:rsidRDefault="00501C8F" w:rsidP="00597356">
            <w:pPr>
              <w:pStyle w:val="Compact"/>
            </w:pPr>
            <w:r w:rsidRPr="003666BE">
              <w:t>China</w:t>
            </w:r>
          </w:p>
        </w:tc>
        <w:tc>
          <w:tcPr>
            <w:tcW w:w="0" w:type="auto"/>
          </w:tcPr>
          <w:p w14:paraId="7FE2D2D7" w14:textId="77777777" w:rsidR="00501C8F" w:rsidRPr="003666BE" w:rsidRDefault="00501C8F" w:rsidP="00597356">
            <w:pPr>
              <w:pStyle w:val="Compact"/>
            </w:pPr>
            <w:r w:rsidRPr="003666BE">
              <w:t>-11.15</w:t>
            </w:r>
          </w:p>
        </w:tc>
        <w:tc>
          <w:tcPr>
            <w:tcW w:w="0" w:type="auto"/>
          </w:tcPr>
          <w:p w14:paraId="3BBF883A" w14:textId="77777777" w:rsidR="00501C8F" w:rsidRPr="003666BE" w:rsidRDefault="00501C8F" w:rsidP="00597356">
            <w:pPr>
              <w:pStyle w:val="Compact"/>
            </w:pPr>
            <w:r w:rsidRPr="003666BE">
              <w:t>-3.30</w:t>
            </w:r>
          </w:p>
        </w:tc>
      </w:tr>
      <w:tr w:rsidR="00501C8F" w:rsidRPr="003666BE" w14:paraId="3CEC2DDE" w14:textId="77777777" w:rsidTr="00597356">
        <w:tc>
          <w:tcPr>
            <w:tcW w:w="0" w:type="auto"/>
          </w:tcPr>
          <w:p w14:paraId="6E179D01" w14:textId="77777777" w:rsidR="00501C8F" w:rsidRPr="003666BE" w:rsidRDefault="00501C8F" w:rsidP="00597356">
            <w:pPr>
              <w:pStyle w:val="Compact"/>
            </w:pPr>
            <w:r w:rsidRPr="003666BE">
              <w:t>Oilseeds</w:t>
            </w:r>
          </w:p>
        </w:tc>
        <w:tc>
          <w:tcPr>
            <w:tcW w:w="0" w:type="auto"/>
          </w:tcPr>
          <w:p w14:paraId="1AEF12F2" w14:textId="77777777" w:rsidR="00501C8F" w:rsidRPr="003666BE" w:rsidRDefault="00501C8F" w:rsidP="00597356">
            <w:pPr>
              <w:pStyle w:val="Compact"/>
            </w:pPr>
            <w:r w:rsidRPr="003666BE">
              <w:t>EU_28</w:t>
            </w:r>
          </w:p>
        </w:tc>
        <w:tc>
          <w:tcPr>
            <w:tcW w:w="0" w:type="auto"/>
          </w:tcPr>
          <w:p w14:paraId="60B690D3" w14:textId="77777777" w:rsidR="00501C8F" w:rsidRPr="003666BE" w:rsidRDefault="00501C8F" w:rsidP="00597356">
            <w:pPr>
              <w:pStyle w:val="Compact"/>
            </w:pPr>
            <w:r w:rsidRPr="003666BE">
              <w:t>4.73</w:t>
            </w:r>
          </w:p>
        </w:tc>
        <w:tc>
          <w:tcPr>
            <w:tcW w:w="0" w:type="auto"/>
          </w:tcPr>
          <w:p w14:paraId="56DED05C" w14:textId="77777777" w:rsidR="00501C8F" w:rsidRPr="003666BE" w:rsidRDefault="00501C8F" w:rsidP="00597356">
            <w:pPr>
              <w:pStyle w:val="Compact"/>
            </w:pPr>
            <w:r w:rsidRPr="003666BE">
              <w:t>13.07</w:t>
            </w:r>
          </w:p>
        </w:tc>
      </w:tr>
      <w:tr w:rsidR="00501C8F" w:rsidRPr="003666BE" w14:paraId="3773CCC5" w14:textId="77777777" w:rsidTr="00597356">
        <w:tc>
          <w:tcPr>
            <w:tcW w:w="0" w:type="auto"/>
          </w:tcPr>
          <w:p w14:paraId="4BA86C53" w14:textId="77777777" w:rsidR="00501C8F" w:rsidRPr="003666BE" w:rsidRDefault="00501C8F" w:rsidP="00597356">
            <w:pPr>
              <w:pStyle w:val="Compact"/>
            </w:pPr>
            <w:r w:rsidRPr="003666BE">
              <w:t>Oilseeds</w:t>
            </w:r>
          </w:p>
        </w:tc>
        <w:tc>
          <w:tcPr>
            <w:tcW w:w="0" w:type="auto"/>
          </w:tcPr>
          <w:p w14:paraId="17507B5B" w14:textId="77777777" w:rsidR="00501C8F" w:rsidRPr="003666BE" w:rsidRDefault="00501C8F" w:rsidP="00597356">
            <w:pPr>
              <w:pStyle w:val="Compact"/>
            </w:pPr>
            <w:r w:rsidRPr="003666BE">
              <w:t>Indonesia</w:t>
            </w:r>
          </w:p>
        </w:tc>
        <w:tc>
          <w:tcPr>
            <w:tcW w:w="0" w:type="auto"/>
          </w:tcPr>
          <w:p w14:paraId="05990550" w14:textId="77777777" w:rsidR="00501C8F" w:rsidRPr="003666BE" w:rsidRDefault="00501C8F" w:rsidP="00597356">
            <w:pPr>
              <w:pStyle w:val="Compact"/>
            </w:pPr>
            <w:r w:rsidRPr="003666BE">
              <w:t>33.58</w:t>
            </w:r>
          </w:p>
        </w:tc>
        <w:tc>
          <w:tcPr>
            <w:tcW w:w="0" w:type="auto"/>
          </w:tcPr>
          <w:p w14:paraId="5A6D8AD4" w14:textId="77777777" w:rsidR="00501C8F" w:rsidRPr="003666BE" w:rsidRDefault="00501C8F" w:rsidP="00597356">
            <w:pPr>
              <w:pStyle w:val="Compact"/>
            </w:pPr>
            <w:r w:rsidRPr="003666BE">
              <w:t>38.16</w:t>
            </w:r>
          </w:p>
        </w:tc>
      </w:tr>
      <w:tr w:rsidR="00501C8F" w:rsidRPr="003666BE" w14:paraId="5C86C1BE" w14:textId="77777777" w:rsidTr="00597356">
        <w:tc>
          <w:tcPr>
            <w:tcW w:w="0" w:type="auto"/>
          </w:tcPr>
          <w:p w14:paraId="70836EAA" w14:textId="77777777" w:rsidR="00501C8F" w:rsidRPr="003666BE" w:rsidRDefault="00501C8F" w:rsidP="00597356">
            <w:pPr>
              <w:pStyle w:val="Compact"/>
            </w:pPr>
            <w:r w:rsidRPr="003666BE">
              <w:t>Oilseeds</w:t>
            </w:r>
          </w:p>
        </w:tc>
        <w:tc>
          <w:tcPr>
            <w:tcW w:w="0" w:type="auto"/>
          </w:tcPr>
          <w:p w14:paraId="7D396C6F" w14:textId="77777777" w:rsidR="00501C8F" w:rsidRPr="003666BE" w:rsidRDefault="00501C8F" w:rsidP="00597356">
            <w:pPr>
              <w:pStyle w:val="Compact"/>
            </w:pPr>
            <w:r w:rsidRPr="003666BE">
              <w:t>Malaysia</w:t>
            </w:r>
          </w:p>
        </w:tc>
        <w:tc>
          <w:tcPr>
            <w:tcW w:w="0" w:type="auto"/>
          </w:tcPr>
          <w:p w14:paraId="1F01E81F" w14:textId="77777777" w:rsidR="00501C8F" w:rsidRPr="003666BE" w:rsidRDefault="00501C8F" w:rsidP="00597356">
            <w:pPr>
              <w:pStyle w:val="Compact"/>
            </w:pPr>
            <w:r w:rsidRPr="003666BE">
              <w:t>0.62</w:t>
            </w:r>
          </w:p>
        </w:tc>
        <w:tc>
          <w:tcPr>
            <w:tcW w:w="0" w:type="auto"/>
          </w:tcPr>
          <w:p w14:paraId="2732A23D" w14:textId="77777777" w:rsidR="00501C8F" w:rsidRPr="003666BE" w:rsidRDefault="00501C8F" w:rsidP="00597356">
            <w:pPr>
              <w:pStyle w:val="Compact"/>
            </w:pPr>
            <w:r w:rsidRPr="003666BE">
              <w:t>5.57</w:t>
            </w:r>
          </w:p>
        </w:tc>
      </w:tr>
      <w:tr w:rsidR="00501C8F" w:rsidRPr="003666BE" w14:paraId="5E2E4DCA" w14:textId="77777777" w:rsidTr="00597356">
        <w:tc>
          <w:tcPr>
            <w:tcW w:w="0" w:type="auto"/>
          </w:tcPr>
          <w:p w14:paraId="38C39015" w14:textId="77777777" w:rsidR="00501C8F" w:rsidRPr="003666BE" w:rsidRDefault="00501C8F" w:rsidP="00597356">
            <w:pPr>
              <w:pStyle w:val="Compact"/>
            </w:pPr>
            <w:r w:rsidRPr="003666BE">
              <w:t>Oilseeds</w:t>
            </w:r>
          </w:p>
        </w:tc>
        <w:tc>
          <w:tcPr>
            <w:tcW w:w="0" w:type="auto"/>
          </w:tcPr>
          <w:p w14:paraId="417B4B59" w14:textId="4AA76A65" w:rsidR="00501C8F" w:rsidRPr="003666BE" w:rsidRDefault="00501C8F" w:rsidP="00597356">
            <w:pPr>
              <w:pStyle w:val="Compact"/>
            </w:pPr>
            <w:r w:rsidRPr="003666BE">
              <w:t>N</w:t>
            </w:r>
            <w:r w:rsidR="000D18FB" w:rsidRPr="003666BE">
              <w:t xml:space="preserve">orth </w:t>
            </w:r>
            <w:r w:rsidRPr="003666BE">
              <w:t>America</w:t>
            </w:r>
          </w:p>
        </w:tc>
        <w:tc>
          <w:tcPr>
            <w:tcW w:w="0" w:type="auto"/>
          </w:tcPr>
          <w:p w14:paraId="32066761" w14:textId="77777777" w:rsidR="00501C8F" w:rsidRPr="003666BE" w:rsidRDefault="00501C8F" w:rsidP="00597356">
            <w:pPr>
              <w:pStyle w:val="Compact"/>
            </w:pPr>
            <w:r w:rsidRPr="003666BE">
              <w:t>11.97</w:t>
            </w:r>
          </w:p>
        </w:tc>
        <w:tc>
          <w:tcPr>
            <w:tcW w:w="0" w:type="auto"/>
          </w:tcPr>
          <w:p w14:paraId="3AB8CA1B" w14:textId="77777777" w:rsidR="00501C8F" w:rsidRPr="003666BE" w:rsidRDefault="00501C8F" w:rsidP="00597356">
            <w:pPr>
              <w:pStyle w:val="Compact"/>
            </w:pPr>
            <w:r w:rsidRPr="003666BE">
              <w:t>30.28</w:t>
            </w:r>
          </w:p>
        </w:tc>
      </w:tr>
      <w:tr w:rsidR="00501C8F" w:rsidRPr="003666BE" w14:paraId="146D5FC2" w14:textId="77777777" w:rsidTr="00597356">
        <w:tc>
          <w:tcPr>
            <w:tcW w:w="0" w:type="auto"/>
          </w:tcPr>
          <w:p w14:paraId="316B325F" w14:textId="77777777" w:rsidR="00501C8F" w:rsidRPr="003666BE" w:rsidRDefault="00501C8F" w:rsidP="00597356">
            <w:pPr>
              <w:pStyle w:val="Compact"/>
            </w:pPr>
            <w:r w:rsidRPr="003666BE">
              <w:t>Oilseeds</w:t>
            </w:r>
          </w:p>
        </w:tc>
        <w:tc>
          <w:tcPr>
            <w:tcW w:w="0" w:type="auto"/>
          </w:tcPr>
          <w:p w14:paraId="7878473E" w14:textId="77777777" w:rsidR="00501C8F" w:rsidRPr="003666BE" w:rsidRDefault="00501C8F" w:rsidP="00597356">
            <w:pPr>
              <w:pStyle w:val="Compact"/>
            </w:pPr>
            <w:r w:rsidRPr="003666BE">
              <w:t>Paraguay</w:t>
            </w:r>
          </w:p>
        </w:tc>
        <w:tc>
          <w:tcPr>
            <w:tcW w:w="0" w:type="auto"/>
          </w:tcPr>
          <w:p w14:paraId="39520278" w14:textId="77777777" w:rsidR="00501C8F" w:rsidRPr="003666BE" w:rsidRDefault="00501C8F" w:rsidP="00597356">
            <w:pPr>
              <w:pStyle w:val="Compact"/>
            </w:pPr>
            <w:r w:rsidRPr="003666BE">
              <w:t>20.37</w:t>
            </w:r>
          </w:p>
        </w:tc>
        <w:tc>
          <w:tcPr>
            <w:tcW w:w="0" w:type="auto"/>
          </w:tcPr>
          <w:p w14:paraId="1A3593A2" w14:textId="77777777" w:rsidR="00501C8F" w:rsidRPr="003666BE" w:rsidRDefault="00501C8F" w:rsidP="00597356">
            <w:pPr>
              <w:pStyle w:val="Compact"/>
            </w:pPr>
            <w:r w:rsidRPr="003666BE">
              <w:t>33.64</w:t>
            </w:r>
          </w:p>
        </w:tc>
      </w:tr>
      <w:tr w:rsidR="00501C8F" w:rsidRPr="003666BE" w14:paraId="24CD42BD" w14:textId="77777777" w:rsidTr="00597356">
        <w:tc>
          <w:tcPr>
            <w:tcW w:w="0" w:type="auto"/>
          </w:tcPr>
          <w:p w14:paraId="42FF47E7" w14:textId="77777777" w:rsidR="00501C8F" w:rsidRPr="003666BE" w:rsidRDefault="00501C8F" w:rsidP="00597356">
            <w:pPr>
              <w:pStyle w:val="Compact"/>
            </w:pPr>
            <w:r w:rsidRPr="003666BE">
              <w:t>Oilseeds</w:t>
            </w:r>
          </w:p>
        </w:tc>
        <w:tc>
          <w:tcPr>
            <w:tcW w:w="0" w:type="auto"/>
          </w:tcPr>
          <w:p w14:paraId="56764C1F" w14:textId="2F9A4AE4" w:rsidR="00501C8F" w:rsidRPr="003666BE" w:rsidRDefault="00501C8F" w:rsidP="00597356">
            <w:pPr>
              <w:pStyle w:val="Compact"/>
            </w:pPr>
            <w:r w:rsidRPr="003666BE">
              <w:t>Rest</w:t>
            </w:r>
            <w:r w:rsidR="000D18FB" w:rsidRPr="003666BE">
              <w:t xml:space="preserve"> of </w:t>
            </w:r>
            <w:r w:rsidRPr="003666BE">
              <w:t>Lat</w:t>
            </w:r>
            <w:r w:rsidR="000D18FB" w:rsidRPr="003666BE">
              <w:t>in America</w:t>
            </w:r>
          </w:p>
        </w:tc>
        <w:tc>
          <w:tcPr>
            <w:tcW w:w="0" w:type="auto"/>
          </w:tcPr>
          <w:p w14:paraId="13532DFC" w14:textId="77777777" w:rsidR="00501C8F" w:rsidRPr="003666BE" w:rsidRDefault="00501C8F" w:rsidP="00597356">
            <w:pPr>
              <w:pStyle w:val="Compact"/>
            </w:pPr>
            <w:r w:rsidRPr="003666BE">
              <w:t>33.78</w:t>
            </w:r>
          </w:p>
        </w:tc>
        <w:tc>
          <w:tcPr>
            <w:tcW w:w="0" w:type="auto"/>
          </w:tcPr>
          <w:p w14:paraId="7917E586" w14:textId="77777777" w:rsidR="00501C8F" w:rsidRPr="003666BE" w:rsidRDefault="00501C8F" w:rsidP="00597356">
            <w:pPr>
              <w:pStyle w:val="Compact"/>
            </w:pPr>
            <w:r w:rsidRPr="003666BE">
              <w:t>28.04</w:t>
            </w:r>
          </w:p>
        </w:tc>
      </w:tr>
      <w:tr w:rsidR="00501C8F" w:rsidRPr="003666BE" w14:paraId="362D7C88" w14:textId="77777777" w:rsidTr="00597356">
        <w:tc>
          <w:tcPr>
            <w:tcW w:w="0" w:type="auto"/>
          </w:tcPr>
          <w:p w14:paraId="71860647" w14:textId="77777777" w:rsidR="00501C8F" w:rsidRPr="003666BE" w:rsidRDefault="00501C8F" w:rsidP="00597356">
            <w:pPr>
              <w:pStyle w:val="Compact"/>
            </w:pPr>
            <w:r w:rsidRPr="003666BE">
              <w:t>Oilseeds</w:t>
            </w:r>
          </w:p>
        </w:tc>
        <w:tc>
          <w:tcPr>
            <w:tcW w:w="0" w:type="auto"/>
          </w:tcPr>
          <w:p w14:paraId="3DABC5C8" w14:textId="538CA1AD" w:rsidR="00501C8F" w:rsidRPr="003666BE" w:rsidRDefault="00501C8F" w:rsidP="00597356">
            <w:pPr>
              <w:pStyle w:val="Compact"/>
            </w:pPr>
            <w:r w:rsidRPr="003666BE">
              <w:t>Rest</w:t>
            </w:r>
            <w:r w:rsidR="000D18FB" w:rsidRPr="003666BE">
              <w:t xml:space="preserve"> </w:t>
            </w:r>
            <w:r w:rsidRPr="003666BE">
              <w:t>of</w:t>
            </w:r>
            <w:r w:rsidR="000D18FB" w:rsidRPr="003666BE">
              <w:t xml:space="preserve"> the </w:t>
            </w:r>
            <w:r w:rsidRPr="003666BE">
              <w:t>World</w:t>
            </w:r>
          </w:p>
        </w:tc>
        <w:tc>
          <w:tcPr>
            <w:tcW w:w="0" w:type="auto"/>
          </w:tcPr>
          <w:p w14:paraId="01CF6A65" w14:textId="77777777" w:rsidR="00501C8F" w:rsidRPr="003666BE" w:rsidRDefault="00501C8F" w:rsidP="00597356">
            <w:pPr>
              <w:pStyle w:val="Compact"/>
            </w:pPr>
            <w:r w:rsidRPr="003666BE">
              <w:t>10.88</w:t>
            </w:r>
          </w:p>
        </w:tc>
        <w:tc>
          <w:tcPr>
            <w:tcW w:w="0" w:type="auto"/>
          </w:tcPr>
          <w:p w14:paraId="0D3144EA" w14:textId="77777777" w:rsidR="00501C8F" w:rsidRPr="003666BE" w:rsidRDefault="00501C8F" w:rsidP="00597356">
            <w:pPr>
              <w:pStyle w:val="Compact"/>
            </w:pPr>
            <w:r w:rsidRPr="003666BE">
              <w:t>10.76</w:t>
            </w:r>
          </w:p>
        </w:tc>
      </w:tr>
      <w:tr w:rsidR="00501C8F" w:rsidRPr="003666BE" w14:paraId="309B3A09" w14:textId="77777777" w:rsidTr="00597356">
        <w:tc>
          <w:tcPr>
            <w:tcW w:w="0" w:type="auto"/>
          </w:tcPr>
          <w:p w14:paraId="0A0F4EBB" w14:textId="77777777" w:rsidR="00501C8F" w:rsidRPr="003666BE" w:rsidRDefault="00501C8F" w:rsidP="00597356">
            <w:pPr>
              <w:pStyle w:val="Compact"/>
            </w:pPr>
            <w:r w:rsidRPr="003666BE">
              <w:t>Oilseeds</w:t>
            </w:r>
          </w:p>
        </w:tc>
        <w:tc>
          <w:tcPr>
            <w:tcW w:w="0" w:type="auto"/>
          </w:tcPr>
          <w:p w14:paraId="084C249E" w14:textId="77777777" w:rsidR="00501C8F" w:rsidRPr="003666BE" w:rsidRDefault="00501C8F" w:rsidP="00597356">
            <w:pPr>
              <w:pStyle w:val="Compact"/>
            </w:pPr>
            <w:r w:rsidRPr="003666BE">
              <w:t>SSA</w:t>
            </w:r>
          </w:p>
        </w:tc>
        <w:tc>
          <w:tcPr>
            <w:tcW w:w="0" w:type="auto"/>
          </w:tcPr>
          <w:p w14:paraId="6C257C37" w14:textId="77777777" w:rsidR="00501C8F" w:rsidRPr="003666BE" w:rsidRDefault="00501C8F" w:rsidP="00597356">
            <w:pPr>
              <w:pStyle w:val="Compact"/>
            </w:pPr>
            <w:r w:rsidRPr="003666BE">
              <w:t>8.57</w:t>
            </w:r>
          </w:p>
        </w:tc>
        <w:tc>
          <w:tcPr>
            <w:tcW w:w="0" w:type="auto"/>
          </w:tcPr>
          <w:p w14:paraId="751B3A5F" w14:textId="77777777" w:rsidR="00501C8F" w:rsidRPr="003666BE" w:rsidRDefault="00501C8F" w:rsidP="00597356">
            <w:pPr>
              <w:pStyle w:val="Compact"/>
            </w:pPr>
            <w:r w:rsidRPr="003666BE">
              <w:t>11.99</w:t>
            </w:r>
          </w:p>
        </w:tc>
      </w:tr>
    </w:tbl>
    <w:p w14:paraId="4E0E37EC" w14:textId="6D424FF6" w:rsidR="00501C8F" w:rsidRPr="003666BE" w:rsidRDefault="00501C8F" w:rsidP="00501C8F">
      <w:pPr>
        <w:pStyle w:val="BodyText"/>
      </w:pPr>
      <w:r w:rsidRPr="003666BE">
        <w:t>Notes: For all the variables we take the averages during 2010-2012 and 2015-2017 as endpoints of the period. Sources: FAOSTAT</w:t>
      </w:r>
      <w:r w:rsidR="00AD114F" w:rsidRPr="003666BE">
        <w:t xml:space="preserve"> </w:t>
      </w:r>
      <w:r w:rsidR="00AD114F" w:rsidRPr="003666BE">
        <w:fldChar w:fldCharType="begin"/>
      </w:r>
      <w:r w:rsidR="000D6366">
        <w:instrText xml:space="preserve"> ADDIN ZOTERO_ITEM CSL_CITATION {"citationID":"5tnaJ00T","properties":{"formattedCitation":"\\super 18\\nosupersub{}","plainCitation":"18","noteIndex":0},"citationItems":[{"id":1471,"uris":["http://zotero.org/users/2600/items/7PFXDTX7"],"uri":["http://zotero.org/users/2600/items/7PFXDTX7"],"itemData":{"id":1471,"type":"webpage","container-title":"Food and Agriculture Organization of the United Nations Statitstical Database","note":"Citation Key: fao2016","title":"FAOSTAT","URL":"http://faostat.fao.org/. Accessed: 07-15-2017","author":[{"family":"FAO","given":""}],"accessed":{"date-parts":[["2021",11,6]]},"issued":{"date-parts":[["2021"]]}}}],"schema":"https://github.com/citation-style-language/schema/raw/master/csl-citation.json"} </w:instrText>
      </w:r>
      <w:r w:rsidR="00AD114F" w:rsidRPr="003666BE">
        <w:fldChar w:fldCharType="separate"/>
      </w:r>
      <w:r w:rsidR="000D6366" w:rsidRPr="000D6366">
        <w:rPr>
          <w:vertAlign w:val="superscript"/>
        </w:rPr>
        <w:t>18</w:t>
      </w:r>
      <w:r w:rsidR="00AD114F" w:rsidRPr="003666BE">
        <w:fldChar w:fldCharType="end"/>
      </w:r>
      <w:r w:rsidRPr="003666BE">
        <w:t>.</w:t>
      </w:r>
    </w:p>
    <w:p w14:paraId="6A79B002" w14:textId="3A31DE9E" w:rsidR="00501C8F" w:rsidRPr="003666BE" w:rsidRDefault="00501C8F">
      <w:pPr>
        <w:rPr>
          <w:i/>
        </w:rPr>
      </w:pPr>
      <w:r w:rsidRPr="003666BE">
        <w:br w:type="page"/>
      </w:r>
    </w:p>
    <w:p w14:paraId="02203A2C" w14:textId="1DED4206" w:rsidR="00501C8F" w:rsidRPr="003666BE" w:rsidRDefault="00501C8F" w:rsidP="00501C8F">
      <w:pPr>
        <w:pStyle w:val="TableCaption"/>
        <w:rPr>
          <w:rFonts w:ascii="Times New Roman" w:hAnsi="Times New Roman" w:cs="Times New Roman"/>
          <w:b/>
          <w:bCs/>
          <w:i w:val="0"/>
          <w:iCs/>
        </w:rPr>
      </w:pPr>
      <w:r w:rsidRPr="003666BE">
        <w:rPr>
          <w:rFonts w:ascii="Times New Roman" w:hAnsi="Times New Roman" w:cs="Times New Roman"/>
          <w:b/>
          <w:bCs/>
          <w:i w:val="0"/>
          <w:iCs/>
        </w:rPr>
        <w:lastRenderedPageBreak/>
        <w:t>Table S</w:t>
      </w:r>
      <w:r w:rsidR="0047214A" w:rsidRPr="003666BE">
        <w:rPr>
          <w:rFonts w:ascii="Times New Roman" w:hAnsi="Times New Roman" w:cs="Times New Roman"/>
          <w:b/>
          <w:bCs/>
          <w:i w:val="0"/>
          <w:iCs/>
        </w:rPr>
        <w:fldChar w:fldCharType="begin"/>
      </w:r>
      <w:r w:rsidR="0047214A" w:rsidRPr="003666BE">
        <w:rPr>
          <w:rFonts w:ascii="Times New Roman" w:hAnsi="Times New Roman" w:cs="Times New Roman"/>
          <w:b/>
          <w:bCs/>
          <w:i w:val="0"/>
          <w:iCs/>
        </w:rPr>
        <w:instrText xml:space="preserve"> SEQ Table_S \* ARABIC </w:instrText>
      </w:r>
      <w:r w:rsidR="0047214A" w:rsidRPr="003666BE">
        <w:rPr>
          <w:rFonts w:ascii="Times New Roman" w:hAnsi="Times New Roman" w:cs="Times New Roman"/>
          <w:b/>
          <w:bCs/>
          <w:i w:val="0"/>
          <w:iCs/>
        </w:rPr>
        <w:fldChar w:fldCharType="separate"/>
      </w:r>
      <w:r w:rsidR="00292B5D" w:rsidRPr="003666BE">
        <w:rPr>
          <w:rFonts w:ascii="Times New Roman" w:hAnsi="Times New Roman" w:cs="Times New Roman"/>
          <w:b/>
          <w:bCs/>
          <w:i w:val="0"/>
          <w:iCs/>
          <w:noProof/>
        </w:rPr>
        <w:t>4</w:t>
      </w:r>
      <w:r w:rsidR="0047214A" w:rsidRPr="003666BE">
        <w:rPr>
          <w:rFonts w:ascii="Times New Roman" w:hAnsi="Times New Roman" w:cs="Times New Roman"/>
          <w:b/>
          <w:bCs/>
          <w:i w:val="0"/>
          <w:iCs/>
          <w:noProof/>
        </w:rPr>
        <w:fldChar w:fldCharType="end"/>
      </w:r>
      <w:r w:rsidRPr="003666BE">
        <w:rPr>
          <w:rFonts w:ascii="Times New Roman" w:hAnsi="Times New Roman" w:cs="Times New Roman"/>
          <w:b/>
          <w:bCs/>
          <w:i w:val="0"/>
          <w:iCs/>
        </w:rPr>
        <w:t xml:space="preserve">. Observed and simulated </w:t>
      </w:r>
      <w:r w:rsidR="00420B72" w:rsidRPr="003666BE">
        <w:rPr>
          <w:rFonts w:ascii="Times New Roman" w:hAnsi="Times New Roman" w:cs="Times New Roman"/>
          <w:b/>
          <w:bCs/>
          <w:i w:val="0"/>
          <w:iCs/>
        </w:rPr>
        <w:t xml:space="preserve">percent </w:t>
      </w:r>
      <w:r w:rsidRPr="003666BE">
        <w:rPr>
          <w:rFonts w:ascii="Times New Roman" w:hAnsi="Times New Roman" w:cs="Times New Roman"/>
          <w:b/>
          <w:bCs/>
          <w:i w:val="0"/>
          <w:iCs/>
        </w:rPr>
        <w:t>changes in oilseed exports from BBAP</w:t>
      </w:r>
      <w:r w:rsidR="00420B72" w:rsidRPr="003666BE">
        <w:rPr>
          <w:rFonts w:ascii="Times New Roman" w:hAnsi="Times New Roman" w:cs="Times New Roman"/>
          <w:b/>
          <w:bCs/>
          <w:i w:val="0"/>
          <w:iCs/>
        </w:rPr>
        <w:t xml:space="preserve"> (Brazil, Bolivia, Argentina, Paraguay)</w:t>
      </w:r>
      <w:r w:rsidRPr="003666BE">
        <w:rPr>
          <w:rFonts w:ascii="Times New Roman" w:hAnsi="Times New Roman" w:cs="Times New Roman"/>
          <w:b/>
          <w:bCs/>
          <w:i w:val="0"/>
          <w:iCs/>
        </w:rPr>
        <w:t xml:space="preserve"> to China, from 2011 to 2016, using baseline shocks.</w:t>
      </w:r>
    </w:p>
    <w:tbl>
      <w:tblPr>
        <w:tblStyle w:val="Table"/>
        <w:tblW w:w="0" w:type="pct"/>
        <w:tblLook w:val="07E0" w:firstRow="1" w:lastRow="1" w:firstColumn="1" w:lastColumn="1" w:noHBand="1" w:noVBand="1"/>
      </w:tblPr>
      <w:tblGrid>
        <w:gridCol w:w="1176"/>
        <w:gridCol w:w="2076"/>
        <w:gridCol w:w="1136"/>
      </w:tblGrid>
      <w:tr w:rsidR="00A775F4" w:rsidRPr="003666BE" w14:paraId="0B700216" w14:textId="77777777" w:rsidTr="00597356">
        <w:tc>
          <w:tcPr>
            <w:tcW w:w="0" w:type="auto"/>
            <w:vAlign w:val="bottom"/>
          </w:tcPr>
          <w:p w14:paraId="29645A9D" w14:textId="7B923E81" w:rsidR="00501C8F" w:rsidRPr="003666BE" w:rsidRDefault="00501C8F" w:rsidP="00597356">
            <w:pPr>
              <w:pStyle w:val="Compact"/>
            </w:pPr>
            <w:r w:rsidRPr="003666BE">
              <w:t>Region</w:t>
            </w:r>
          </w:p>
        </w:tc>
        <w:tc>
          <w:tcPr>
            <w:tcW w:w="0" w:type="auto"/>
            <w:vAlign w:val="bottom"/>
          </w:tcPr>
          <w:p w14:paraId="09F50E76" w14:textId="3474E508" w:rsidR="00501C8F" w:rsidRPr="003666BE" w:rsidRDefault="00AD114F" w:rsidP="00597356">
            <w:pPr>
              <w:pStyle w:val="Compact"/>
            </w:pPr>
            <w:r w:rsidRPr="003666BE">
              <w:t>Simulated Baseline</w:t>
            </w:r>
          </w:p>
        </w:tc>
        <w:tc>
          <w:tcPr>
            <w:tcW w:w="0" w:type="auto"/>
            <w:vAlign w:val="bottom"/>
          </w:tcPr>
          <w:p w14:paraId="19386BAF" w14:textId="1FF9AE2A" w:rsidR="00501C8F" w:rsidRPr="003666BE" w:rsidRDefault="00345D10" w:rsidP="00597356">
            <w:pPr>
              <w:pStyle w:val="Compact"/>
            </w:pPr>
            <w:r w:rsidRPr="003666BE">
              <w:t>O</w:t>
            </w:r>
            <w:r w:rsidR="00501C8F" w:rsidRPr="003666BE">
              <w:t>bserved</w:t>
            </w:r>
          </w:p>
        </w:tc>
      </w:tr>
      <w:tr w:rsidR="00501C8F" w:rsidRPr="003666BE" w14:paraId="0751D34A" w14:textId="77777777" w:rsidTr="00597356">
        <w:tc>
          <w:tcPr>
            <w:tcW w:w="0" w:type="auto"/>
          </w:tcPr>
          <w:p w14:paraId="09301A73" w14:textId="77777777" w:rsidR="00501C8F" w:rsidRPr="003666BE" w:rsidRDefault="00501C8F" w:rsidP="00597356">
            <w:pPr>
              <w:pStyle w:val="Compact"/>
            </w:pPr>
            <w:r w:rsidRPr="003666BE">
              <w:t>Argentina</w:t>
            </w:r>
          </w:p>
        </w:tc>
        <w:tc>
          <w:tcPr>
            <w:tcW w:w="0" w:type="auto"/>
          </w:tcPr>
          <w:p w14:paraId="1573630E" w14:textId="77777777" w:rsidR="00501C8F" w:rsidRPr="003666BE" w:rsidRDefault="00501C8F" w:rsidP="00597356">
            <w:pPr>
              <w:pStyle w:val="Compact"/>
            </w:pPr>
            <w:r w:rsidRPr="003666BE">
              <w:t>29.69</w:t>
            </w:r>
          </w:p>
        </w:tc>
        <w:tc>
          <w:tcPr>
            <w:tcW w:w="0" w:type="auto"/>
          </w:tcPr>
          <w:p w14:paraId="06ABC92F" w14:textId="77777777" w:rsidR="00501C8F" w:rsidRPr="003666BE" w:rsidRDefault="00501C8F" w:rsidP="00597356">
            <w:pPr>
              <w:pStyle w:val="Compact"/>
            </w:pPr>
            <w:r w:rsidRPr="003666BE">
              <w:t>-27.15</w:t>
            </w:r>
          </w:p>
        </w:tc>
      </w:tr>
      <w:tr w:rsidR="00501C8F" w:rsidRPr="003666BE" w14:paraId="5FD35B4C" w14:textId="77777777" w:rsidTr="00597356">
        <w:tc>
          <w:tcPr>
            <w:tcW w:w="0" w:type="auto"/>
          </w:tcPr>
          <w:p w14:paraId="69236EBC" w14:textId="77777777" w:rsidR="00501C8F" w:rsidRPr="003666BE" w:rsidRDefault="00501C8F" w:rsidP="00597356">
            <w:pPr>
              <w:pStyle w:val="Compact"/>
            </w:pPr>
            <w:r w:rsidRPr="003666BE">
              <w:t>Bolivia</w:t>
            </w:r>
          </w:p>
        </w:tc>
        <w:tc>
          <w:tcPr>
            <w:tcW w:w="0" w:type="auto"/>
          </w:tcPr>
          <w:p w14:paraId="0F5C0CA0" w14:textId="77777777" w:rsidR="00501C8F" w:rsidRPr="003666BE" w:rsidRDefault="00501C8F" w:rsidP="00597356">
            <w:pPr>
              <w:pStyle w:val="Compact"/>
            </w:pPr>
            <w:r w:rsidRPr="003666BE">
              <w:t>131.95</w:t>
            </w:r>
          </w:p>
        </w:tc>
        <w:tc>
          <w:tcPr>
            <w:tcW w:w="0" w:type="auto"/>
          </w:tcPr>
          <w:p w14:paraId="595CFFEF" w14:textId="77777777" w:rsidR="00501C8F" w:rsidRPr="003666BE" w:rsidRDefault="00501C8F" w:rsidP="00597356">
            <w:pPr>
              <w:pStyle w:val="Compact"/>
            </w:pPr>
            <w:r w:rsidRPr="003666BE">
              <w:t>138.54</w:t>
            </w:r>
          </w:p>
        </w:tc>
      </w:tr>
      <w:tr w:rsidR="00501C8F" w:rsidRPr="003666BE" w14:paraId="10AF39A6" w14:textId="77777777" w:rsidTr="00597356">
        <w:tc>
          <w:tcPr>
            <w:tcW w:w="0" w:type="auto"/>
          </w:tcPr>
          <w:p w14:paraId="4A626CE4" w14:textId="77777777" w:rsidR="00501C8F" w:rsidRPr="003666BE" w:rsidRDefault="00501C8F" w:rsidP="00597356">
            <w:pPr>
              <w:pStyle w:val="Compact"/>
            </w:pPr>
            <w:r w:rsidRPr="003666BE">
              <w:t>Brazil</w:t>
            </w:r>
          </w:p>
        </w:tc>
        <w:tc>
          <w:tcPr>
            <w:tcW w:w="0" w:type="auto"/>
          </w:tcPr>
          <w:p w14:paraId="3CF85174" w14:textId="77777777" w:rsidR="00501C8F" w:rsidRPr="003666BE" w:rsidRDefault="00501C8F" w:rsidP="00597356">
            <w:pPr>
              <w:pStyle w:val="Compact"/>
            </w:pPr>
            <w:r w:rsidRPr="003666BE">
              <w:t>52.83</w:t>
            </w:r>
          </w:p>
        </w:tc>
        <w:tc>
          <w:tcPr>
            <w:tcW w:w="0" w:type="auto"/>
          </w:tcPr>
          <w:p w14:paraId="1D5994D4" w14:textId="77777777" w:rsidR="00501C8F" w:rsidRPr="003666BE" w:rsidRDefault="00501C8F" w:rsidP="00597356">
            <w:pPr>
              <w:pStyle w:val="Compact"/>
            </w:pPr>
            <w:r w:rsidRPr="003666BE">
              <w:t>69.56</w:t>
            </w:r>
          </w:p>
        </w:tc>
      </w:tr>
      <w:tr w:rsidR="00501C8F" w:rsidRPr="003666BE" w14:paraId="639B6B8B" w14:textId="77777777" w:rsidTr="00597356">
        <w:tc>
          <w:tcPr>
            <w:tcW w:w="0" w:type="auto"/>
          </w:tcPr>
          <w:p w14:paraId="2D43445C" w14:textId="77777777" w:rsidR="00501C8F" w:rsidRPr="003666BE" w:rsidRDefault="00501C8F" w:rsidP="00597356">
            <w:pPr>
              <w:pStyle w:val="Compact"/>
            </w:pPr>
            <w:r w:rsidRPr="003666BE">
              <w:t>Paraguay</w:t>
            </w:r>
          </w:p>
        </w:tc>
        <w:tc>
          <w:tcPr>
            <w:tcW w:w="0" w:type="auto"/>
          </w:tcPr>
          <w:p w14:paraId="08A259F6" w14:textId="77777777" w:rsidR="00501C8F" w:rsidRPr="003666BE" w:rsidRDefault="00501C8F" w:rsidP="00597356">
            <w:pPr>
              <w:pStyle w:val="Compact"/>
            </w:pPr>
            <w:r w:rsidRPr="003666BE">
              <w:t>56.79</w:t>
            </w:r>
          </w:p>
        </w:tc>
        <w:tc>
          <w:tcPr>
            <w:tcW w:w="0" w:type="auto"/>
          </w:tcPr>
          <w:p w14:paraId="5761F25B" w14:textId="77777777" w:rsidR="00501C8F" w:rsidRPr="003666BE" w:rsidRDefault="00501C8F" w:rsidP="00597356">
            <w:pPr>
              <w:pStyle w:val="Compact"/>
            </w:pPr>
            <w:r w:rsidRPr="003666BE">
              <w:t>1097.28</w:t>
            </w:r>
          </w:p>
        </w:tc>
      </w:tr>
    </w:tbl>
    <w:p w14:paraId="26361FAD" w14:textId="5C798F35" w:rsidR="00501C8F" w:rsidRPr="003666BE" w:rsidRDefault="00501C8F" w:rsidP="00501C8F">
      <w:pPr>
        <w:pStyle w:val="Caption"/>
        <w:rPr>
          <w:rFonts w:ascii="Times New Roman" w:hAnsi="Times New Roman" w:cs="Times New Roman"/>
        </w:rPr>
      </w:pPr>
    </w:p>
    <w:p w14:paraId="63120729" w14:textId="39A0D78B" w:rsidR="00851C5A" w:rsidRPr="003666BE" w:rsidRDefault="00851C5A">
      <w:r w:rsidRPr="003666BE">
        <w:br w:type="page"/>
      </w:r>
    </w:p>
    <w:p w14:paraId="69E40F54" w14:textId="5CE9373F" w:rsidR="00292B5D" w:rsidRPr="003666BE" w:rsidRDefault="00292B5D" w:rsidP="00292B5D">
      <w:pPr>
        <w:pStyle w:val="Heading1"/>
      </w:pPr>
      <w:r w:rsidRPr="003666BE">
        <w:lastRenderedPageBreak/>
        <w:t>References</w:t>
      </w:r>
    </w:p>
    <w:p w14:paraId="79F940A1" w14:textId="77777777" w:rsidR="00292B5D" w:rsidRPr="003666BE" w:rsidRDefault="00292B5D" w:rsidP="00661DA1">
      <w:pPr>
        <w:pStyle w:val="BodyText"/>
      </w:pPr>
    </w:p>
    <w:p w14:paraId="5B3E4E36" w14:textId="77777777" w:rsidR="000D6366" w:rsidRPr="000D6366" w:rsidRDefault="00851C5A" w:rsidP="000D6366">
      <w:pPr>
        <w:pStyle w:val="Bibliography"/>
        <w:rPr>
          <w:rFonts w:ascii="Times New Roman" w:hAnsi="Times New Roman" w:cs="Times New Roman"/>
        </w:rPr>
      </w:pPr>
      <w:r w:rsidRPr="003666BE">
        <w:fldChar w:fldCharType="begin"/>
      </w:r>
      <w:r w:rsidR="000D6366">
        <w:instrText xml:space="preserve"> ADDIN ZOTERO_BIBL {"uncited":[],"omitted":[],"custom":[]} CSL_BIBLIOGRAPHY </w:instrText>
      </w:r>
      <w:r w:rsidRPr="003666BE">
        <w:fldChar w:fldCharType="separate"/>
      </w:r>
      <w:r w:rsidR="000D6366" w:rsidRPr="000D6366">
        <w:rPr>
          <w:rFonts w:ascii="Times New Roman" w:hAnsi="Times New Roman" w:cs="Times New Roman"/>
        </w:rPr>
        <w:t>1.</w:t>
      </w:r>
      <w:r w:rsidR="000D6366" w:rsidRPr="000D6366">
        <w:rPr>
          <w:rFonts w:ascii="Times New Roman" w:hAnsi="Times New Roman" w:cs="Times New Roman"/>
        </w:rPr>
        <w:tab/>
        <w:t xml:space="preserve">Yao, G., Hertel, T. W. &amp; Taheripour, F. Economic drivers of </w:t>
      </w:r>
      <w:proofErr w:type="spellStart"/>
      <w:r w:rsidR="000D6366" w:rsidRPr="000D6366">
        <w:rPr>
          <w:rFonts w:ascii="Times New Roman" w:hAnsi="Times New Roman" w:cs="Times New Roman"/>
        </w:rPr>
        <w:t>telecoupling</w:t>
      </w:r>
      <w:proofErr w:type="spellEnd"/>
      <w:r w:rsidR="000D6366" w:rsidRPr="000D6366">
        <w:rPr>
          <w:rFonts w:ascii="Times New Roman" w:hAnsi="Times New Roman" w:cs="Times New Roman"/>
        </w:rPr>
        <w:t xml:space="preserve"> and terrestrial carbon fluxes in the global soybean complex. </w:t>
      </w:r>
      <w:r w:rsidR="000D6366" w:rsidRPr="000D6366">
        <w:rPr>
          <w:rFonts w:ascii="Times New Roman" w:hAnsi="Times New Roman" w:cs="Times New Roman"/>
          <w:i/>
          <w:iCs/>
        </w:rPr>
        <w:t>Global Environmental Change</w:t>
      </w:r>
      <w:r w:rsidR="000D6366" w:rsidRPr="000D6366">
        <w:rPr>
          <w:rFonts w:ascii="Times New Roman" w:hAnsi="Times New Roman" w:cs="Times New Roman"/>
        </w:rPr>
        <w:t xml:space="preserve"> </w:t>
      </w:r>
      <w:r w:rsidR="000D6366" w:rsidRPr="000D6366">
        <w:rPr>
          <w:rFonts w:ascii="Times New Roman" w:hAnsi="Times New Roman" w:cs="Times New Roman"/>
          <w:b/>
          <w:bCs/>
        </w:rPr>
        <w:t>50</w:t>
      </w:r>
      <w:r w:rsidR="000D6366" w:rsidRPr="000D6366">
        <w:rPr>
          <w:rFonts w:ascii="Times New Roman" w:hAnsi="Times New Roman" w:cs="Times New Roman"/>
        </w:rPr>
        <w:t>, 190–200 (2018).</w:t>
      </w:r>
    </w:p>
    <w:p w14:paraId="004B6223"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2.</w:t>
      </w:r>
      <w:r w:rsidRPr="000D6366">
        <w:rPr>
          <w:rFonts w:ascii="Times New Roman" w:hAnsi="Times New Roman" w:cs="Times New Roman"/>
        </w:rPr>
        <w:tab/>
        <w:t xml:space="preserve">Taheripour, F., Hertel, T. W. &amp; </w:t>
      </w:r>
      <w:proofErr w:type="spellStart"/>
      <w:r w:rsidRPr="000D6366">
        <w:rPr>
          <w:rFonts w:ascii="Times New Roman" w:hAnsi="Times New Roman" w:cs="Times New Roman"/>
        </w:rPr>
        <w:t>Ramankutty</w:t>
      </w:r>
      <w:proofErr w:type="spellEnd"/>
      <w:r w:rsidRPr="000D6366">
        <w:rPr>
          <w:rFonts w:ascii="Times New Roman" w:hAnsi="Times New Roman" w:cs="Times New Roman"/>
        </w:rPr>
        <w:t xml:space="preserve">, N. Market-mediated responses confound policies to limit deforestation from oil palm expansion in Malaysia and Indonesia. </w:t>
      </w:r>
      <w:r w:rsidRPr="000D6366">
        <w:rPr>
          <w:rFonts w:ascii="Times New Roman" w:hAnsi="Times New Roman" w:cs="Times New Roman"/>
          <w:i/>
          <w:iCs/>
        </w:rPr>
        <w:t>PNAS</w:t>
      </w:r>
      <w:r w:rsidRPr="000D6366">
        <w:rPr>
          <w:rFonts w:ascii="Times New Roman" w:hAnsi="Times New Roman" w:cs="Times New Roman"/>
        </w:rPr>
        <w:t xml:space="preserve"> 201903476 (2019) doi:10.1073/pnas.1903476116.</w:t>
      </w:r>
    </w:p>
    <w:p w14:paraId="67007722"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3.</w:t>
      </w:r>
      <w:r w:rsidRPr="000D6366">
        <w:rPr>
          <w:rFonts w:ascii="Times New Roman" w:hAnsi="Times New Roman" w:cs="Times New Roman"/>
        </w:rPr>
        <w:tab/>
      </w:r>
      <w:proofErr w:type="spellStart"/>
      <w:r w:rsidRPr="000D6366">
        <w:rPr>
          <w:rFonts w:ascii="Times New Roman" w:hAnsi="Times New Roman" w:cs="Times New Roman"/>
        </w:rPr>
        <w:t>Mergen</w:t>
      </w:r>
      <w:proofErr w:type="spellEnd"/>
      <w:r w:rsidRPr="000D6366">
        <w:rPr>
          <w:rFonts w:ascii="Times New Roman" w:hAnsi="Times New Roman" w:cs="Times New Roman"/>
        </w:rPr>
        <w:t>, D. &amp; Sandoval, L. 2017/18 Forecast: Limited area growth for Soybeans, Sunflower, and Peanuts. 14 (2017).</w:t>
      </w:r>
    </w:p>
    <w:p w14:paraId="17E749D1"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4.</w:t>
      </w:r>
      <w:r w:rsidRPr="000D6366">
        <w:rPr>
          <w:rFonts w:ascii="Times New Roman" w:hAnsi="Times New Roman" w:cs="Times New Roman"/>
        </w:rPr>
        <w:tab/>
      </w:r>
      <w:proofErr w:type="spellStart"/>
      <w:r w:rsidRPr="000D6366">
        <w:rPr>
          <w:rFonts w:ascii="Times New Roman" w:hAnsi="Times New Roman" w:cs="Times New Roman"/>
        </w:rPr>
        <w:t>Sohngen</w:t>
      </w:r>
      <w:proofErr w:type="spellEnd"/>
      <w:r w:rsidRPr="000D6366">
        <w:rPr>
          <w:rFonts w:ascii="Times New Roman" w:hAnsi="Times New Roman" w:cs="Times New Roman"/>
        </w:rPr>
        <w:t xml:space="preserve">, B., </w:t>
      </w:r>
      <w:proofErr w:type="spellStart"/>
      <w:r w:rsidRPr="000D6366">
        <w:rPr>
          <w:rFonts w:ascii="Times New Roman" w:hAnsi="Times New Roman" w:cs="Times New Roman"/>
        </w:rPr>
        <w:t>Tennity</w:t>
      </w:r>
      <w:proofErr w:type="spellEnd"/>
      <w:r w:rsidRPr="000D6366">
        <w:rPr>
          <w:rFonts w:ascii="Times New Roman" w:hAnsi="Times New Roman" w:cs="Times New Roman"/>
        </w:rPr>
        <w:t xml:space="preserve">, C., </w:t>
      </w:r>
      <w:proofErr w:type="spellStart"/>
      <w:r w:rsidRPr="000D6366">
        <w:rPr>
          <w:rFonts w:ascii="Times New Roman" w:hAnsi="Times New Roman" w:cs="Times New Roman"/>
        </w:rPr>
        <w:t>Hnytka</w:t>
      </w:r>
      <w:proofErr w:type="spellEnd"/>
      <w:r w:rsidRPr="000D6366">
        <w:rPr>
          <w:rFonts w:ascii="Times New Roman" w:hAnsi="Times New Roman" w:cs="Times New Roman"/>
        </w:rPr>
        <w:t xml:space="preserve">, M. &amp; Meeusen, K. Global Forestry Data for the Economic Modeling of Land Use. in </w:t>
      </w:r>
      <w:r w:rsidRPr="000D6366">
        <w:rPr>
          <w:rFonts w:ascii="Times New Roman" w:hAnsi="Times New Roman" w:cs="Times New Roman"/>
          <w:i/>
          <w:iCs/>
        </w:rPr>
        <w:t>Economic Analysis of Land Use in Global Climate Change Policy</w:t>
      </w:r>
      <w:r w:rsidRPr="000D6366">
        <w:rPr>
          <w:rFonts w:ascii="Times New Roman" w:hAnsi="Times New Roman" w:cs="Times New Roman"/>
        </w:rPr>
        <w:t xml:space="preserve"> (eds. Hertel, T. W., Rose, S. K. &amp; Tol, R. S. J.) 49–72 (Center for Global Trade Analysis, Department of Agricultural Economics, Purdue University, 2009).</w:t>
      </w:r>
    </w:p>
    <w:p w14:paraId="1F079F75"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5.</w:t>
      </w:r>
      <w:r w:rsidRPr="000D6366">
        <w:rPr>
          <w:rFonts w:ascii="Times New Roman" w:hAnsi="Times New Roman" w:cs="Times New Roman"/>
        </w:rPr>
        <w:tab/>
        <w:t xml:space="preserve">INPE. </w:t>
      </w:r>
      <w:r w:rsidRPr="000D6366">
        <w:rPr>
          <w:rFonts w:ascii="Times New Roman" w:hAnsi="Times New Roman" w:cs="Times New Roman"/>
          <w:i/>
          <w:iCs/>
        </w:rPr>
        <w:t>Deforestation – Legal Amazon</w:t>
      </w:r>
      <w:r w:rsidRPr="000D6366">
        <w:rPr>
          <w:rFonts w:ascii="Times New Roman" w:hAnsi="Times New Roman" w:cs="Times New Roman"/>
        </w:rPr>
        <w:t>. http://terrabrasilis.dpi.inpe.br/downloads/.</w:t>
      </w:r>
    </w:p>
    <w:p w14:paraId="027D1EC1"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6.</w:t>
      </w:r>
      <w:r w:rsidRPr="000D6366">
        <w:rPr>
          <w:rFonts w:ascii="Times New Roman" w:hAnsi="Times New Roman" w:cs="Times New Roman"/>
        </w:rPr>
        <w:tab/>
        <w:t xml:space="preserve">CARGIL. </w:t>
      </w:r>
      <w:r w:rsidRPr="000D6366">
        <w:rPr>
          <w:rFonts w:ascii="Times New Roman" w:hAnsi="Times New Roman" w:cs="Times New Roman"/>
          <w:i/>
          <w:iCs/>
        </w:rPr>
        <w:t>Cargill Policy on Sustainable Soy – South American Origins</w:t>
      </w:r>
      <w:r w:rsidRPr="000D6366">
        <w:rPr>
          <w:rFonts w:ascii="Times New Roman" w:hAnsi="Times New Roman" w:cs="Times New Roman"/>
        </w:rPr>
        <w:t>. https://www.cargill.com/doc/1432136544508/cargill-policy-on-south-american-soy.pdf (2019).</w:t>
      </w:r>
    </w:p>
    <w:p w14:paraId="15117E06"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lang w:val="es-VE"/>
        </w:rPr>
        <w:t>7.</w:t>
      </w:r>
      <w:r w:rsidRPr="000D6366">
        <w:rPr>
          <w:rFonts w:ascii="Times New Roman" w:hAnsi="Times New Roman" w:cs="Times New Roman"/>
          <w:lang w:val="es-VE"/>
        </w:rPr>
        <w:tab/>
        <w:t xml:space="preserve">Hertel, T. W. </w:t>
      </w:r>
      <w:r w:rsidRPr="000D6366">
        <w:rPr>
          <w:rFonts w:ascii="Times New Roman" w:hAnsi="Times New Roman" w:cs="Times New Roman"/>
          <w:i/>
          <w:iCs/>
          <w:lang w:val="es-VE"/>
        </w:rPr>
        <w:t>et al.</w:t>
      </w:r>
      <w:r w:rsidRPr="000D6366">
        <w:rPr>
          <w:rFonts w:ascii="Times New Roman" w:hAnsi="Times New Roman" w:cs="Times New Roman"/>
          <w:lang w:val="es-VE"/>
        </w:rPr>
        <w:t xml:space="preserve"> </w:t>
      </w:r>
      <w:r w:rsidRPr="000D6366">
        <w:rPr>
          <w:rFonts w:ascii="Times New Roman" w:hAnsi="Times New Roman" w:cs="Times New Roman"/>
        </w:rPr>
        <w:t xml:space="preserve">Effects of US Maize Ethanol on Global Land Use and Greenhouse Gas Emissions: Estimating Market-Mediated Responses. </w:t>
      </w:r>
      <w:proofErr w:type="spellStart"/>
      <w:r w:rsidRPr="000D6366">
        <w:rPr>
          <w:rFonts w:ascii="Times New Roman" w:hAnsi="Times New Roman" w:cs="Times New Roman"/>
          <w:i/>
          <w:iCs/>
        </w:rPr>
        <w:t>BioScience</w:t>
      </w:r>
      <w:proofErr w:type="spellEnd"/>
      <w:r w:rsidRPr="000D6366">
        <w:rPr>
          <w:rFonts w:ascii="Times New Roman" w:hAnsi="Times New Roman" w:cs="Times New Roman"/>
        </w:rPr>
        <w:t xml:space="preserve"> </w:t>
      </w:r>
      <w:r w:rsidRPr="000D6366">
        <w:rPr>
          <w:rFonts w:ascii="Times New Roman" w:hAnsi="Times New Roman" w:cs="Times New Roman"/>
          <w:b/>
          <w:bCs/>
        </w:rPr>
        <w:t>60</w:t>
      </w:r>
      <w:r w:rsidRPr="000D6366">
        <w:rPr>
          <w:rFonts w:ascii="Times New Roman" w:hAnsi="Times New Roman" w:cs="Times New Roman"/>
        </w:rPr>
        <w:t>, 223–231 (2010).</w:t>
      </w:r>
    </w:p>
    <w:p w14:paraId="5B1C7097"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8.</w:t>
      </w:r>
      <w:r w:rsidRPr="000D6366">
        <w:rPr>
          <w:rFonts w:ascii="Times New Roman" w:hAnsi="Times New Roman" w:cs="Times New Roman"/>
        </w:rPr>
        <w:tab/>
        <w:t xml:space="preserve">Lobell, D. B., Baldos, U. L. C. &amp; Hertel, T. W. Climate Adaptation as Mitigation: The Case of Agricultural Investments. </w:t>
      </w:r>
      <w:r w:rsidRPr="000D6366">
        <w:rPr>
          <w:rFonts w:ascii="Times New Roman" w:hAnsi="Times New Roman" w:cs="Times New Roman"/>
          <w:i/>
          <w:iCs/>
        </w:rPr>
        <w:t>Environ. Res. Lett.</w:t>
      </w:r>
      <w:r w:rsidRPr="000D6366">
        <w:rPr>
          <w:rFonts w:ascii="Times New Roman" w:hAnsi="Times New Roman" w:cs="Times New Roman"/>
        </w:rPr>
        <w:t xml:space="preserve"> </w:t>
      </w:r>
      <w:r w:rsidRPr="000D6366">
        <w:rPr>
          <w:rFonts w:ascii="Times New Roman" w:hAnsi="Times New Roman" w:cs="Times New Roman"/>
          <w:b/>
          <w:bCs/>
        </w:rPr>
        <w:t>8</w:t>
      </w:r>
      <w:r w:rsidRPr="000D6366">
        <w:rPr>
          <w:rFonts w:ascii="Times New Roman" w:hAnsi="Times New Roman" w:cs="Times New Roman"/>
        </w:rPr>
        <w:t>, 015012 (2013).</w:t>
      </w:r>
    </w:p>
    <w:p w14:paraId="6D183B7A"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9.</w:t>
      </w:r>
      <w:r w:rsidRPr="000D6366">
        <w:rPr>
          <w:rFonts w:ascii="Times New Roman" w:hAnsi="Times New Roman" w:cs="Times New Roman"/>
        </w:rPr>
        <w:tab/>
      </w:r>
      <w:proofErr w:type="spellStart"/>
      <w:r w:rsidRPr="000D6366">
        <w:rPr>
          <w:rFonts w:ascii="Times New Roman" w:hAnsi="Times New Roman" w:cs="Times New Roman"/>
        </w:rPr>
        <w:t>DeVuyst</w:t>
      </w:r>
      <w:proofErr w:type="spellEnd"/>
      <w:r w:rsidRPr="000D6366">
        <w:rPr>
          <w:rFonts w:ascii="Times New Roman" w:hAnsi="Times New Roman" w:cs="Times New Roman"/>
        </w:rPr>
        <w:t xml:space="preserve">, E. A. &amp; Preckel, P. V. Sensitivity analysis revisited: A quadrature-based approach. </w:t>
      </w:r>
      <w:r w:rsidRPr="000D6366">
        <w:rPr>
          <w:rFonts w:ascii="Times New Roman" w:hAnsi="Times New Roman" w:cs="Times New Roman"/>
          <w:i/>
          <w:iCs/>
        </w:rPr>
        <w:t>Journal of Policy Modeling</w:t>
      </w:r>
      <w:r w:rsidRPr="000D6366">
        <w:rPr>
          <w:rFonts w:ascii="Times New Roman" w:hAnsi="Times New Roman" w:cs="Times New Roman"/>
        </w:rPr>
        <w:t xml:space="preserve"> </w:t>
      </w:r>
      <w:r w:rsidRPr="000D6366">
        <w:rPr>
          <w:rFonts w:ascii="Times New Roman" w:hAnsi="Times New Roman" w:cs="Times New Roman"/>
          <w:b/>
          <w:bCs/>
        </w:rPr>
        <w:t>19</w:t>
      </w:r>
      <w:r w:rsidRPr="000D6366">
        <w:rPr>
          <w:rFonts w:ascii="Times New Roman" w:hAnsi="Times New Roman" w:cs="Times New Roman"/>
        </w:rPr>
        <w:t>, 175–185 (1997).</w:t>
      </w:r>
    </w:p>
    <w:p w14:paraId="55AEA35E"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lastRenderedPageBreak/>
        <w:t>10.</w:t>
      </w:r>
      <w:r w:rsidRPr="000D6366">
        <w:rPr>
          <w:rFonts w:ascii="Times New Roman" w:hAnsi="Times New Roman" w:cs="Times New Roman"/>
        </w:rPr>
        <w:tab/>
        <w:t xml:space="preserve">Pearson, K. &amp; Arndt, C. </w:t>
      </w:r>
      <w:r w:rsidRPr="000D6366">
        <w:rPr>
          <w:rFonts w:ascii="Times New Roman" w:hAnsi="Times New Roman" w:cs="Times New Roman"/>
          <w:i/>
          <w:iCs/>
        </w:rPr>
        <w:t>Implementing Systematic Sensitivity Analysis Using GEMPACK</w:t>
      </w:r>
      <w:r w:rsidRPr="000D6366">
        <w:rPr>
          <w:rFonts w:ascii="Times New Roman" w:hAnsi="Times New Roman" w:cs="Times New Roman"/>
        </w:rPr>
        <w:t>. (2000).</w:t>
      </w:r>
    </w:p>
    <w:p w14:paraId="27BE244B"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11.</w:t>
      </w:r>
      <w:r w:rsidRPr="000D6366">
        <w:rPr>
          <w:rFonts w:ascii="Times New Roman" w:hAnsi="Times New Roman" w:cs="Times New Roman"/>
        </w:rPr>
        <w:tab/>
        <w:t xml:space="preserve">Hertel, T. W., Hummels, D., Ivanic, M. &amp; Keeney, R. How confident can we be of CGE-based assessments of Free Trade Agreements? </w:t>
      </w:r>
      <w:r w:rsidRPr="000D6366">
        <w:rPr>
          <w:rFonts w:ascii="Times New Roman" w:hAnsi="Times New Roman" w:cs="Times New Roman"/>
          <w:i/>
          <w:iCs/>
        </w:rPr>
        <w:t>Economic Modelling</w:t>
      </w:r>
      <w:r w:rsidRPr="000D6366">
        <w:rPr>
          <w:rFonts w:ascii="Times New Roman" w:hAnsi="Times New Roman" w:cs="Times New Roman"/>
        </w:rPr>
        <w:t xml:space="preserve"> </w:t>
      </w:r>
      <w:r w:rsidRPr="000D6366">
        <w:rPr>
          <w:rFonts w:ascii="Times New Roman" w:hAnsi="Times New Roman" w:cs="Times New Roman"/>
          <w:b/>
          <w:bCs/>
        </w:rPr>
        <w:t>24</w:t>
      </w:r>
      <w:r w:rsidRPr="000D6366">
        <w:rPr>
          <w:rFonts w:ascii="Times New Roman" w:hAnsi="Times New Roman" w:cs="Times New Roman"/>
        </w:rPr>
        <w:t>, 611–635 (2007).</w:t>
      </w:r>
    </w:p>
    <w:p w14:paraId="44830E3D"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12.</w:t>
      </w:r>
      <w:r w:rsidRPr="000D6366">
        <w:rPr>
          <w:rFonts w:ascii="Times New Roman" w:hAnsi="Times New Roman" w:cs="Times New Roman"/>
        </w:rPr>
        <w:tab/>
        <w:t xml:space="preserve">Hertel, T. W., Lee, H.-L., Rose, S. &amp; </w:t>
      </w:r>
      <w:proofErr w:type="spellStart"/>
      <w:r w:rsidRPr="000D6366">
        <w:rPr>
          <w:rFonts w:ascii="Times New Roman" w:hAnsi="Times New Roman" w:cs="Times New Roman"/>
        </w:rPr>
        <w:t>Sohngen</w:t>
      </w:r>
      <w:proofErr w:type="spellEnd"/>
      <w:r w:rsidRPr="000D6366">
        <w:rPr>
          <w:rFonts w:ascii="Times New Roman" w:hAnsi="Times New Roman" w:cs="Times New Roman"/>
        </w:rPr>
        <w:t xml:space="preserve">, B. Modeling Land-Use Related Greenhouse Gas Sources and Sinks and Their Mitigation Potential. in </w:t>
      </w:r>
      <w:r w:rsidRPr="000D6366">
        <w:rPr>
          <w:rFonts w:ascii="Times New Roman" w:hAnsi="Times New Roman" w:cs="Times New Roman"/>
          <w:i/>
          <w:iCs/>
        </w:rPr>
        <w:t>Economic Analysis of Land Use in Global Climate Change Policy</w:t>
      </w:r>
      <w:r w:rsidRPr="000D6366">
        <w:rPr>
          <w:rFonts w:ascii="Times New Roman" w:hAnsi="Times New Roman" w:cs="Times New Roman"/>
        </w:rPr>
        <w:t xml:space="preserve"> (eds. Hertel, T. W., Rose, S. &amp; Tol, R.) 123–154 (Routledge, 2009).</w:t>
      </w:r>
    </w:p>
    <w:p w14:paraId="72C60E74"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13.</w:t>
      </w:r>
      <w:r w:rsidRPr="000D6366">
        <w:rPr>
          <w:rFonts w:ascii="Times New Roman" w:hAnsi="Times New Roman" w:cs="Times New Roman"/>
        </w:rPr>
        <w:tab/>
        <w:t xml:space="preserve">Taheripour, F., Zhuang, Q., Tyner, W. E. &amp; Lu, X. Biofuels, cropland expansion, and the extensive margin. </w:t>
      </w:r>
      <w:r w:rsidRPr="000D6366">
        <w:rPr>
          <w:rFonts w:ascii="Times New Roman" w:hAnsi="Times New Roman" w:cs="Times New Roman"/>
          <w:i/>
          <w:iCs/>
        </w:rPr>
        <w:t>Energy, Sustainability and Society</w:t>
      </w:r>
      <w:r w:rsidRPr="000D6366">
        <w:rPr>
          <w:rFonts w:ascii="Times New Roman" w:hAnsi="Times New Roman" w:cs="Times New Roman"/>
        </w:rPr>
        <w:t xml:space="preserve"> </w:t>
      </w:r>
      <w:r w:rsidRPr="000D6366">
        <w:rPr>
          <w:rFonts w:ascii="Times New Roman" w:hAnsi="Times New Roman" w:cs="Times New Roman"/>
          <w:b/>
          <w:bCs/>
        </w:rPr>
        <w:t>2</w:t>
      </w:r>
      <w:r w:rsidRPr="000D6366">
        <w:rPr>
          <w:rFonts w:ascii="Times New Roman" w:hAnsi="Times New Roman" w:cs="Times New Roman"/>
        </w:rPr>
        <w:t>, 25 (2012).</w:t>
      </w:r>
    </w:p>
    <w:p w14:paraId="33255F3E"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14.</w:t>
      </w:r>
      <w:r w:rsidRPr="000D6366">
        <w:rPr>
          <w:rFonts w:ascii="Times New Roman" w:hAnsi="Times New Roman" w:cs="Times New Roman"/>
        </w:rPr>
        <w:tab/>
        <w:t xml:space="preserve">Rada, N. Assessing Brazil’s Cerrado agricultural miracle. </w:t>
      </w:r>
      <w:r w:rsidRPr="000D6366">
        <w:rPr>
          <w:rFonts w:ascii="Times New Roman" w:hAnsi="Times New Roman" w:cs="Times New Roman"/>
          <w:i/>
          <w:iCs/>
        </w:rPr>
        <w:t>Food Policy</w:t>
      </w:r>
      <w:r w:rsidRPr="000D6366">
        <w:rPr>
          <w:rFonts w:ascii="Times New Roman" w:hAnsi="Times New Roman" w:cs="Times New Roman"/>
        </w:rPr>
        <w:t xml:space="preserve"> </w:t>
      </w:r>
      <w:r w:rsidRPr="000D6366">
        <w:rPr>
          <w:rFonts w:ascii="Times New Roman" w:hAnsi="Times New Roman" w:cs="Times New Roman"/>
          <w:b/>
          <w:bCs/>
        </w:rPr>
        <w:t>38</w:t>
      </w:r>
      <w:r w:rsidRPr="000D6366">
        <w:rPr>
          <w:rFonts w:ascii="Times New Roman" w:hAnsi="Times New Roman" w:cs="Times New Roman"/>
        </w:rPr>
        <w:t>, 146–155 (2013).</w:t>
      </w:r>
    </w:p>
    <w:p w14:paraId="3BC3A4F7"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15.</w:t>
      </w:r>
      <w:r w:rsidRPr="000D6366">
        <w:rPr>
          <w:rFonts w:ascii="Times New Roman" w:hAnsi="Times New Roman" w:cs="Times New Roman"/>
        </w:rPr>
        <w:tab/>
        <w:t xml:space="preserve">Heilmayr, R., Rausch, L. L., Munger, J. &amp; Gibbs, H. K. Brazil’s Amazon Soy Moratorium reduced deforestation. </w:t>
      </w:r>
      <w:r w:rsidRPr="000D6366">
        <w:rPr>
          <w:rFonts w:ascii="Times New Roman" w:hAnsi="Times New Roman" w:cs="Times New Roman"/>
          <w:i/>
          <w:iCs/>
        </w:rPr>
        <w:t>Nature Food</w:t>
      </w:r>
      <w:r w:rsidRPr="000D6366">
        <w:rPr>
          <w:rFonts w:ascii="Times New Roman" w:hAnsi="Times New Roman" w:cs="Times New Roman"/>
        </w:rPr>
        <w:t xml:space="preserve"> </w:t>
      </w:r>
      <w:r w:rsidRPr="000D6366">
        <w:rPr>
          <w:rFonts w:ascii="Times New Roman" w:hAnsi="Times New Roman" w:cs="Times New Roman"/>
          <w:b/>
          <w:bCs/>
        </w:rPr>
        <w:t>1</w:t>
      </w:r>
      <w:r w:rsidRPr="000D6366">
        <w:rPr>
          <w:rFonts w:ascii="Times New Roman" w:hAnsi="Times New Roman" w:cs="Times New Roman"/>
        </w:rPr>
        <w:t>, 801–810 (2020).</w:t>
      </w:r>
    </w:p>
    <w:p w14:paraId="5B9C7098"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16.</w:t>
      </w:r>
      <w:r w:rsidRPr="000D6366">
        <w:rPr>
          <w:rFonts w:ascii="Times New Roman" w:hAnsi="Times New Roman" w:cs="Times New Roman"/>
        </w:rPr>
        <w:tab/>
        <w:t xml:space="preserve">Hertel, T. W. Economic perspectives on land use change and leakage. </w:t>
      </w:r>
      <w:r w:rsidRPr="000D6366">
        <w:rPr>
          <w:rFonts w:ascii="Times New Roman" w:hAnsi="Times New Roman" w:cs="Times New Roman"/>
          <w:i/>
          <w:iCs/>
        </w:rPr>
        <w:t>Environ. Res. Lett.</w:t>
      </w:r>
      <w:r w:rsidRPr="000D6366">
        <w:rPr>
          <w:rFonts w:ascii="Times New Roman" w:hAnsi="Times New Roman" w:cs="Times New Roman"/>
        </w:rPr>
        <w:t xml:space="preserve"> </w:t>
      </w:r>
      <w:r w:rsidRPr="000D6366">
        <w:rPr>
          <w:rFonts w:ascii="Times New Roman" w:hAnsi="Times New Roman" w:cs="Times New Roman"/>
          <w:b/>
          <w:bCs/>
        </w:rPr>
        <w:t>13</w:t>
      </w:r>
      <w:r w:rsidRPr="000D6366">
        <w:rPr>
          <w:rFonts w:ascii="Times New Roman" w:hAnsi="Times New Roman" w:cs="Times New Roman"/>
        </w:rPr>
        <w:t>, 075012 (2018).</w:t>
      </w:r>
    </w:p>
    <w:p w14:paraId="1B986165"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17.</w:t>
      </w:r>
      <w:r w:rsidRPr="000D6366">
        <w:rPr>
          <w:rFonts w:ascii="Times New Roman" w:hAnsi="Times New Roman" w:cs="Times New Roman"/>
        </w:rPr>
        <w:tab/>
        <w:t xml:space="preserve">Soterroni, A. C. </w:t>
      </w:r>
      <w:r w:rsidRPr="000D6366">
        <w:rPr>
          <w:rFonts w:ascii="Times New Roman" w:hAnsi="Times New Roman" w:cs="Times New Roman"/>
          <w:i/>
          <w:iCs/>
        </w:rPr>
        <w:t>et al.</w:t>
      </w:r>
      <w:r w:rsidRPr="000D6366">
        <w:rPr>
          <w:rFonts w:ascii="Times New Roman" w:hAnsi="Times New Roman" w:cs="Times New Roman"/>
        </w:rPr>
        <w:t xml:space="preserve"> Expanding the Soy Moratorium to Brazil’s Cerrado. </w:t>
      </w:r>
      <w:r w:rsidRPr="000D6366">
        <w:rPr>
          <w:rFonts w:ascii="Times New Roman" w:hAnsi="Times New Roman" w:cs="Times New Roman"/>
          <w:i/>
          <w:iCs/>
        </w:rPr>
        <w:t>Science Advances</w:t>
      </w:r>
      <w:r w:rsidRPr="000D6366">
        <w:rPr>
          <w:rFonts w:ascii="Times New Roman" w:hAnsi="Times New Roman" w:cs="Times New Roman"/>
        </w:rPr>
        <w:t xml:space="preserve"> </w:t>
      </w:r>
      <w:r w:rsidRPr="000D6366">
        <w:rPr>
          <w:rFonts w:ascii="Times New Roman" w:hAnsi="Times New Roman" w:cs="Times New Roman"/>
          <w:b/>
          <w:bCs/>
        </w:rPr>
        <w:t>5</w:t>
      </w:r>
      <w:r w:rsidRPr="000D6366">
        <w:rPr>
          <w:rFonts w:ascii="Times New Roman" w:hAnsi="Times New Roman" w:cs="Times New Roman"/>
        </w:rPr>
        <w:t>, eaav7336 (2019).</w:t>
      </w:r>
    </w:p>
    <w:p w14:paraId="3FDD21EE"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18.</w:t>
      </w:r>
      <w:r w:rsidRPr="000D6366">
        <w:rPr>
          <w:rFonts w:ascii="Times New Roman" w:hAnsi="Times New Roman" w:cs="Times New Roman"/>
        </w:rPr>
        <w:tab/>
        <w:t xml:space="preserve">FAO. FAOSTAT. </w:t>
      </w:r>
      <w:r w:rsidRPr="000D6366">
        <w:rPr>
          <w:rFonts w:ascii="Times New Roman" w:hAnsi="Times New Roman" w:cs="Times New Roman"/>
          <w:i/>
          <w:iCs/>
        </w:rPr>
        <w:t xml:space="preserve">Food and Agriculture Organization of the United Nations </w:t>
      </w:r>
      <w:proofErr w:type="spellStart"/>
      <w:r w:rsidRPr="000D6366">
        <w:rPr>
          <w:rFonts w:ascii="Times New Roman" w:hAnsi="Times New Roman" w:cs="Times New Roman"/>
          <w:i/>
          <w:iCs/>
        </w:rPr>
        <w:t>Statitstical</w:t>
      </w:r>
      <w:proofErr w:type="spellEnd"/>
      <w:r w:rsidRPr="000D6366">
        <w:rPr>
          <w:rFonts w:ascii="Times New Roman" w:hAnsi="Times New Roman" w:cs="Times New Roman"/>
          <w:i/>
          <w:iCs/>
        </w:rPr>
        <w:t xml:space="preserve"> Database</w:t>
      </w:r>
      <w:r w:rsidRPr="000D6366">
        <w:rPr>
          <w:rFonts w:ascii="Times New Roman" w:hAnsi="Times New Roman" w:cs="Times New Roman"/>
        </w:rPr>
        <w:t xml:space="preserve"> http://faostat.fao.org/. Accessed: 07-15-2017 (2021).</w:t>
      </w:r>
    </w:p>
    <w:p w14:paraId="216B70D1"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19.</w:t>
      </w:r>
      <w:r w:rsidRPr="000D6366">
        <w:rPr>
          <w:rFonts w:ascii="Times New Roman" w:hAnsi="Times New Roman" w:cs="Times New Roman"/>
        </w:rPr>
        <w:tab/>
      </w:r>
      <w:proofErr w:type="spellStart"/>
      <w:r w:rsidRPr="000D6366">
        <w:rPr>
          <w:rFonts w:ascii="Times New Roman" w:hAnsi="Times New Roman" w:cs="Times New Roman"/>
        </w:rPr>
        <w:t>MapBiomas</w:t>
      </w:r>
      <w:proofErr w:type="spellEnd"/>
      <w:r w:rsidRPr="000D6366">
        <w:rPr>
          <w:rFonts w:ascii="Times New Roman" w:hAnsi="Times New Roman" w:cs="Times New Roman"/>
        </w:rPr>
        <w:t xml:space="preserve">. Project </w:t>
      </w:r>
      <w:proofErr w:type="spellStart"/>
      <w:r w:rsidRPr="000D6366">
        <w:rPr>
          <w:rFonts w:ascii="Times New Roman" w:hAnsi="Times New Roman" w:cs="Times New Roman"/>
        </w:rPr>
        <w:t>MapBiomas</w:t>
      </w:r>
      <w:proofErr w:type="spellEnd"/>
      <w:r w:rsidRPr="000D6366">
        <w:rPr>
          <w:rFonts w:ascii="Times New Roman" w:hAnsi="Times New Roman" w:cs="Times New Roman"/>
        </w:rPr>
        <w:t xml:space="preserve"> - Collection v5.0 of Brazilian Land Cover &amp; Use Map Series. http://mapbiomas.org/ (2020).</w:t>
      </w:r>
    </w:p>
    <w:p w14:paraId="31D3D519"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lang w:val="es-VE"/>
        </w:rPr>
        <w:t>20.</w:t>
      </w:r>
      <w:r w:rsidRPr="000D6366">
        <w:rPr>
          <w:rFonts w:ascii="Times New Roman" w:hAnsi="Times New Roman" w:cs="Times New Roman"/>
          <w:lang w:val="es-VE"/>
        </w:rPr>
        <w:tab/>
        <w:t xml:space="preserve">INPE. </w:t>
      </w:r>
      <w:proofErr w:type="spellStart"/>
      <w:r w:rsidRPr="000D6366">
        <w:rPr>
          <w:rFonts w:ascii="Times New Roman" w:hAnsi="Times New Roman" w:cs="Times New Roman"/>
          <w:lang w:val="es-VE"/>
        </w:rPr>
        <w:t>Monitoramento</w:t>
      </w:r>
      <w:proofErr w:type="spellEnd"/>
      <w:r w:rsidRPr="000D6366">
        <w:rPr>
          <w:rFonts w:ascii="Times New Roman" w:hAnsi="Times New Roman" w:cs="Times New Roman"/>
          <w:lang w:val="es-VE"/>
        </w:rPr>
        <w:t xml:space="preserve"> da Cobertura </w:t>
      </w:r>
      <w:proofErr w:type="spellStart"/>
      <w:r w:rsidRPr="000D6366">
        <w:rPr>
          <w:rFonts w:ascii="Times New Roman" w:hAnsi="Times New Roman" w:cs="Times New Roman"/>
          <w:lang w:val="es-VE"/>
        </w:rPr>
        <w:t>Florestal</w:t>
      </w:r>
      <w:proofErr w:type="spellEnd"/>
      <w:r w:rsidRPr="000D6366">
        <w:rPr>
          <w:rFonts w:ascii="Times New Roman" w:hAnsi="Times New Roman" w:cs="Times New Roman"/>
          <w:lang w:val="es-VE"/>
        </w:rPr>
        <w:t xml:space="preserve"> da </w:t>
      </w:r>
      <w:proofErr w:type="spellStart"/>
      <w:r w:rsidRPr="000D6366">
        <w:rPr>
          <w:rFonts w:ascii="Times New Roman" w:hAnsi="Times New Roman" w:cs="Times New Roman"/>
          <w:lang w:val="es-VE"/>
        </w:rPr>
        <w:t>Amazônia</w:t>
      </w:r>
      <w:proofErr w:type="spellEnd"/>
      <w:r w:rsidRPr="000D6366">
        <w:rPr>
          <w:rFonts w:ascii="Times New Roman" w:hAnsi="Times New Roman" w:cs="Times New Roman"/>
          <w:lang w:val="es-VE"/>
        </w:rPr>
        <w:t xml:space="preserve"> por Satélites: Sistemas Prodes. </w:t>
      </w:r>
      <w:r w:rsidRPr="000D6366">
        <w:rPr>
          <w:rFonts w:ascii="Times New Roman" w:hAnsi="Times New Roman" w:cs="Times New Roman"/>
        </w:rPr>
        <w:t>(2018).</w:t>
      </w:r>
    </w:p>
    <w:p w14:paraId="26A2EB63"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lastRenderedPageBreak/>
        <w:t>21.</w:t>
      </w:r>
      <w:r w:rsidRPr="000D6366">
        <w:rPr>
          <w:rFonts w:ascii="Times New Roman" w:hAnsi="Times New Roman" w:cs="Times New Roman"/>
        </w:rPr>
        <w:tab/>
        <w:t>WDI. World Bank’s World Development Indicators Online. http://go.worldbank.org/6HAYAHG8H0. Accessed: 12/14/2017 (2020).</w:t>
      </w:r>
    </w:p>
    <w:p w14:paraId="532CFD7F"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22.</w:t>
      </w:r>
      <w:r w:rsidRPr="000D6366">
        <w:rPr>
          <w:rFonts w:ascii="Times New Roman" w:hAnsi="Times New Roman" w:cs="Times New Roman"/>
        </w:rPr>
        <w:tab/>
      </w:r>
      <w:proofErr w:type="spellStart"/>
      <w:r w:rsidRPr="000D6366">
        <w:rPr>
          <w:rFonts w:ascii="Times New Roman" w:hAnsi="Times New Roman" w:cs="Times New Roman"/>
        </w:rPr>
        <w:t>Feenstra</w:t>
      </w:r>
      <w:proofErr w:type="spellEnd"/>
      <w:r w:rsidRPr="000D6366">
        <w:rPr>
          <w:rFonts w:ascii="Times New Roman" w:hAnsi="Times New Roman" w:cs="Times New Roman"/>
        </w:rPr>
        <w:t xml:space="preserve">, R. C., </w:t>
      </w:r>
      <w:proofErr w:type="spellStart"/>
      <w:r w:rsidRPr="000D6366">
        <w:rPr>
          <w:rFonts w:ascii="Times New Roman" w:hAnsi="Times New Roman" w:cs="Times New Roman"/>
        </w:rPr>
        <w:t>Inklaar</w:t>
      </w:r>
      <w:proofErr w:type="spellEnd"/>
      <w:r w:rsidRPr="000D6366">
        <w:rPr>
          <w:rFonts w:ascii="Times New Roman" w:hAnsi="Times New Roman" w:cs="Times New Roman"/>
        </w:rPr>
        <w:t xml:space="preserve">, R. &amp; Timmer, M. P. The Next Generation of the Penn World Table. </w:t>
      </w:r>
      <w:r w:rsidRPr="000D6366">
        <w:rPr>
          <w:rFonts w:ascii="Times New Roman" w:hAnsi="Times New Roman" w:cs="Times New Roman"/>
          <w:i/>
          <w:iCs/>
        </w:rPr>
        <w:t>American Economic Review</w:t>
      </w:r>
      <w:r w:rsidRPr="000D6366">
        <w:rPr>
          <w:rFonts w:ascii="Times New Roman" w:hAnsi="Times New Roman" w:cs="Times New Roman"/>
        </w:rPr>
        <w:t xml:space="preserve"> </w:t>
      </w:r>
      <w:r w:rsidRPr="000D6366">
        <w:rPr>
          <w:rFonts w:ascii="Times New Roman" w:hAnsi="Times New Roman" w:cs="Times New Roman"/>
          <w:b/>
          <w:bCs/>
        </w:rPr>
        <w:t>105</w:t>
      </w:r>
      <w:r w:rsidRPr="000D6366">
        <w:rPr>
          <w:rFonts w:ascii="Times New Roman" w:hAnsi="Times New Roman" w:cs="Times New Roman"/>
        </w:rPr>
        <w:t>, 3150–3182 (2015).</w:t>
      </w:r>
    </w:p>
    <w:p w14:paraId="0005C463" w14:textId="77777777" w:rsidR="000D6366" w:rsidRPr="000D6366" w:rsidRDefault="000D6366" w:rsidP="000D6366">
      <w:pPr>
        <w:pStyle w:val="Bibliography"/>
        <w:rPr>
          <w:rFonts w:ascii="Times New Roman" w:hAnsi="Times New Roman" w:cs="Times New Roman"/>
        </w:rPr>
      </w:pPr>
      <w:r w:rsidRPr="000D6366">
        <w:rPr>
          <w:rFonts w:ascii="Times New Roman" w:hAnsi="Times New Roman" w:cs="Times New Roman"/>
        </w:rPr>
        <w:t>23.</w:t>
      </w:r>
      <w:r w:rsidRPr="000D6366">
        <w:rPr>
          <w:rFonts w:ascii="Times New Roman" w:hAnsi="Times New Roman" w:cs="Times New Roman"/>
        </w:rPr>
        <w:tab/>
        <w:t>Fuglie, K. O. USDA ERS - International Agricultural Productivity. https://www.ers.usda.gov/data-products/international-agricultural-productivity. Accessed: 02-28-2017 (2017).</w:t>
      </w:r>
    </w:p>
    <w:p w14:paraId="5741E7B3" w14:textId="0B8D16CA" w:rsidR="008111BB" w:rsidRPr="003666BE" w:rsidRDefault="00851C5A" w:rsidP="00F12FA6">
      <w:pPr>
        <w:pStyle w:val="BodyText"/>
      </w:pPr>
      <w:r w:rsidRPr="003666BE">
        <w:fldChar w:fldCharType="end"/>
      </w:r>
    </w:p>
    <w:sectPr w:rsidR="008111BB" w:rsidRPr="003666BE">
      <w:footerReference w:type="default" r:id="rId2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0A7195" w14:textId="77777777" w:rsidR="00AA65CB" w:rsidRDefault="00AA65CB">
      <w:r>
        <w:separator/>
      </w:r>
    </w:p>
  </w:endnote>
  <w:endnote w:type="continuationSeparator" w:id="0">
    <w:p w14:paraId="1C584CFE" w14:textId="77777777" w:rsidR="00AA65CB" w:rsidRDefault="00AA6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3528916"/>
      <w:docPartObj>
        <w:docPartGallery w:val="Page Numbers (Bottom of Page)"/>
        <w:docPartUnique/>
      </w:docPartObj>
    </w:sdtPr>
    <w:sdtEndPr>
      <w:rPr>
        <w:noProof/>
      </w:rPr>
    </w:sdtEndPr>
    <w:sdtContent>
      <w:p w14:paraId="470C45A5" w14:textId="5CF46CD0" w:rsidR="00E54D17" w:rsidRDefault="00E54D1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FDEF57" w14:textId="77777777" w:rsidR="00E54D17" w:rsidRDefault="00E54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095E95" w14:textId="77777777" w:rsidR="00AA65CB" w:rsidRDefault="00AA65CB">
      <w:r>
        <w:separator/>
      </w:r>
    </w:p>
  </w:footnote>
  <w:footnote w:type="continuationSeparator" w:id="0">
    <w:p w14:paraId="464DECE9" w14:textId="77777777" w:rsidR="00AA65CB" w:rsidRDefault="00AA65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3CBBDEE"/>
    <w:multiLevelType w:val="multilevel"/>
    <w:tmpl w:val="75907ED8"/>
    <w:lvl w:ilvl="0">
      <w:start w:val="5"/>
      <w:numFmt w:val="decimal"/>
      <w:lvlText w:val="%1."/>
      <w:lvlJc w:val="left"/>
      <w:pPr>
        <w:tabs>
          <w:tab w:val="num" w:pos="0"/>
        </w:tabs>
        <w:ind w:left="480" w:hanging="480"/>
      </w:pPr>
    </w:lvl>
    <w:lvl w:ilvl="1">
      <w:start w:val="5"/>
      <w:numFmt w:val="decimal"/>
      <w:lvlText w:val="%2."/>
      <w:lvlJc w:val="left"/>
      <w:pPr>
        <w:tabs>
          <w:tab w:val="num" w:pos="720"/>
        </w:tabs>
        <w:ind w:left="1200" w:hanging="480"/>
      </w:pPr>
    </w:lvl>
    <w:lvl w:ilvl="2">
      <w:start w:val="5"/>
      <w:numFmt w:val="decimal"/>
      <w:lvlText w:val="%3."/>
      <w:lvlJc w:val="left"/>
      <w:pPr>
        <w:tabs>
          <w:tab w:val="num" w:pos="1440"/>
        </w:tabs>
        <w:ind w:left="1920" w:hanging="480"/>
      </w:pPr>
    </w:lvl>
    <w:lvl w:ilvl="3">
      <w:start w:val="5"/>
      <w:numFmt w:val="decimal"/>
      <w:lvlText w:val="%4."/>
      <w:lvlJc w:val="left"/>
      <w:pPr>
        <w:tabs>
          <w:tab w:val="num" w:pos="2160"/>
        </w:tabs>
        <w:ind w:left="2640" w:hanging="480"/>
      </w:pPr>
    </w:lvl>
    <w:lvl w:ilvl="4">
      <w:start w:val="5"/>
      <w:numFmt w:val="decimal"/>
      <w:lvlText w:val="%5."/>
      <w:lvlJc w:val="left"/>
      <w:pPr>
        <w:tabs>
          <w:tab w:val="num" w:pos="2880"/>
        </w:tabs>
        <w:ind w:left="3360" w:hanging="480"/>
      </w:pPr>
    </w:lvl>
    <w:lvl w:ilvl="5">
      <w:start w:val="5"/>
      <w:numFmt w:val="decimal"/>
      <w:lvlText w:val="%6."/>
      <w:lvlJc w:val="left"/>
      <w:pPr>
        <w:tabs>
          <w:tab w:val="num" w:pos="3600"/>
        </w:tabs>
        <w:ind w:left="4080" w:hanging="480"/>
      </w:pPr>
    </w:lvl>
    <w:lvl w:ilvl="6">
      <w:start w:val="5"/>
      <w:numFmt w:val="decimal"/>
      <w:lvlText w:val="%7."/>
      <w:lvlJc w:val="left"/>
      <w:pPr>
        <w:tabs>
          <w:tab w:val="num" w:pos="4320"/>
        </w:tabs>
        <w:ind w:left="4800" w:hanging="480"/>
      </w:pPr>
    </w:lvl>
    <w:lvl w:ilvl="7">
      <w:start w:val="5"/>
      <w:numFmt w:val="decimal"/>
      <w:lvlText w:val="%8."/>
      <w:lvlJc w:val="left"/>
      <w:pPr>
        <w:tabs>
          <w:tab w:val="num" w:pos="5040"/>
        </w:tabs>
        <w:ind w:left="5520" w:hanging="480"/>
      </w:pPr>
    </w:lvl>
    <w:lvl w:ilvl="8">
      <w:start w:val="5"/>
      <w:numFmt w:val="decimal"/>
      <w:lvlText w:val="%9."/>
      <w:lvlJc w:val="left"/>
      <w:pPr>
        <w:tabs>
          <w:tab w:val="num" w:pos="5760"/>
        </w:tabs>
        <w:ind w:left="6240" w:hanging="480"/>
      </w:pPr>
    </w:lvl>
  </w:abstractNum>
  <w:abstractNum w:abstractNumId="1" w15:restartNumberingAfterBreak="0">
    <w:nsid w:val="EA454B4C"/>
    <w:multiLevelType w:val="multilevel"/>
    <w:tmpl w:val="C0BC776A"/>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2" w15:restartNumberingAfterBreak="0">
    <w:nsid w:val="FFFFFF7C"/>
    <w:multiLevelType w:val="singleLevel"/>
    <w:tmpl w:val="C4C0A17E"/>
    <w:lvl w:ilvl="0">
      <w:start w:val="1"/>
      <w:numFmt w:val="decimal"/>
      <w:lvlText w:val="%1."/>
      <w:lvlJc w:val="left"/>
      <w:pPr>
        <w:tabs>
          <w:tab w:val="num" w:pos="1800"/>
        </w:tabs>
        <w:ind w:left="1800" w:hanging="360"/>
      </w:pPr>
    </w:lvl>
  </w:abstractNum>
  <w:abstractNum w:abstractNumId="3" w15:restartNumberingAfterBreak="0">
    <w:nsid w:val="FFFFFF7D"/>
    <w:multiLevelType w:val="singleLevel"/>
    <w:tmpl w:val="52AE662A"/>
    <w:lvl w:ilvl="0">
      <w:start w:val="1"/>
      <w:numFmt w:val="decimal"/>
      <w:lvlText w:val="%1."/>
      <w:lvlJc w:val="left"/>
      <w:pPr>
        <w:tabs>
          <w:tab w:val="num" w:pos="1440"/>
        </w:tabs>
        <w:ind w:left="1440" w:hanging="360"/>
      </w:pPr>
    </w:lvl>
  </w:abstractNum>
  <w:abstractNum w:abstractNumId="4" w15:restartNumberingAfterBreak="0">
    <w:nsid w:val="FFFFFF7E"/>
    <w:multiLevelType w:val="singleLevel"/>
    <w:tmpl w:val="4804166A"/>
    <w:lvl w:ilvl="0">
      <w:start w:val="1"/>
      <w:numFmt w:val="decimal"/>
      <w:lvlText w:val="%1."/>
      <w:lvlJc w:val="left"/>
      <w:pPr>
        <w:tabs>
          <w:tab w:val="num" w:pos="1080"/>
        </w:tabs>
        <w:ind w:left="1080" w:hanging="360"/>
      </w:pPr>
    </w:lvl>
  </w:abstractNum>
  <w:abstractNum w:abstractNumId="5" w15:restartNumberingAfterBreak="0">
    <w:nsid w:val="FFFFFF7F"/>
    <w:multiLevelType w:val="singleLevel"/>
    <w:tmpl w:val="BD7CBD94"/>
    <w:lvl w:ilvl="0">
      <w:start w:val="1"/>
      <w:numFmt w:val="decimal"/>
      <w:lvlText w:val="%1."/>
      <w:lvlJc w:val="left"/>
      <w:pPr>
        <w:tabs>
          <w:tab w:val="num" w:pos="720"/>
        </w:tabs>
        <w:ind w:left="720" w:hanging="360"/>
      </w:pPr>
    </w:lvl>
  </w:abstractNum>
  <w:abstractNum w:abstractNumId="6" w15:restartNumberingAfterBreak="0">
    <w:nsid w:val="FFFFFF80"/>
    <w:multiLevelType w:val="singleLevel"/>
    <w:tmpl w:val="10FAAFF0"/>
    <w:lvl w:ilvl="0">
      <w:start w:val="1"/>
      <w:numFmt w:val="bullet"/>
      <w:lvlText w:val=""/>
      <w:lvlJc w:val="left"/>
      <w:pPr>
        <w:tabs>
          <w:tab w:val="num" w:pos="1800"/>
        </w:tabs>
        <w:ind w:left="1800" w:hanging="360"/>
      </w:pPr>
      <w:rPr>
        <w:rFonts w:ascii="Symbol" w:hAnsi="Symbol" w:hint="default"/>
      </w:rPr>
    </w:lvl>
  </w:abstractNum>
  <w:abstractNum w:abstractNumId="7" w15:restartNumberingAfterBreak="0">
    <w:nsid w:val="FFFFFF81"/>
    <w:multiLevelType w:val="singleLevel"/>
    <w:tmpl w:val="2B829CE8"/>
    <w:lvl w:ilvl="0">
      <w:start w:val="1"/>
      <w:numFmt w:val="bullet"/>
      <w:lvlText w:val=""/>
      <w:lvlJc w:val="left"/>
      <w:pPr>
        <w:tabs>
          <w:tab w:val="num" w:pos="1440"/>
        </w:tabs>
        <w:ind w:left="1440" w:hanging="360"/>
      </w:pPr>
      <w:rPr>
        <w:rFonts w:ascii="Symbol" w:hAnsi="Symbol" w:hint="default"/>
      </w:rPr>
    </w:lvl>
  </w:abstractNum>
  <w:abstractNum w:abstractNumId="8" w15:restartNumberingAfterBreak="0">
    <w:nsid w:val="FFFFFF82"/>
    <w:multiLevelType w:val="singleLevel"/>
    <w:tmpl w:val="0062214E"/>
    <w:lvl w:ilvl="0">
      <w:start w:val="1"/>
      <w:numFmt w:val="bullet"/>
      <w:lvlText w:val=""/>
      <w:lvlJc w:val="left"/>
      <w:pPr>
        <w:tabs>
          <w:tab w:val="num" w:pos="1080"/>
        </w:tabs>
        <w:ind w:left="1080" w:hanging="360"/>
      </w:pPr>
      <w:rPr>
        <w:rFonts w:ascii="Symbol" w:hAnsi="Symbol" w:hint="default"/>
      </w:rPr>
    </w:lvl>
  </w:abstractNum>
  <w:abstractNum w:abstractNumId="9" w15:restartNumberingAfterBreak="0">
    <w:nsid w:val="FFFFFF83"/>
    <w:multiLevelType w:val="singleLevel"/>
    <w:tmpl w:val="F1E47304"/>
    <w:lvl w:ilvl="0">
      <w:start w:val="1"/>
      <w:numFmt w:val="bullet"/>
      <w:lvlText w:val=""/>
      <w:lvlJc w:val="left"/>
      <w:pPr>
        <w:tabs>
          <w:tab w:val="num" w:pos="720"/>
        </w:tabs>
        <w:ind w:left="720" w:hanging="360"/>
      </w:pPr>
      <w:rPr>
        <w:rFonts w:ascii="Symbol" w:hAnsi="Symbol" w:hint="default"/>
      </w:rPr>
    </w:lvl>
  </w:abstractNum>
  <w:abstractNum w:abstractNumId="10" w15:restartNumberingAfterBreak="0">
    <w:nsid w:val="FFFFFF88"/>
    <w:multiLevelType w:val="singleLevel"/>
    <w:tmpl w:val="3E36F2D6"/>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489A99F0"/>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0E230F93"/>
    <w:multiLevelType w:val="hybridMultilevel"/>
    <w:tmpl w:val="12328280"/>
    <w:lvl w:ilvl="0" w:tplc="240422DE">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60485E"/>
    <w:multiLevelType w:val="hybridMultilevel"/>
    <w:tmpl w:val="B5A62F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8208BA"/>
    <w:multiLevelType w:val="hybridMultilevel"/>
    <w:tmpl w:val="126AB36E"/>
    <w:lvl w:ilvl="0" w:tplc="4F18CA5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1AE401"/>
    <w:multiLevelType w:val="multilevel"/>
    <w:tmpl w:val="1BBC801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16" w15:restartNumberingAfterBreak="0">
    <w:nsid w:val="36CC646C"/>
    <w:multiLevelType w:val="hybridMultilevel"/>
    <w:tmpl w:val="916EC4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8236341"/>
    <w:multiLevelType w:val="hybridMultilevel"/>
    <w:tmpl w:val="D7B002A6"/>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start w:val="1"/>
      <w:numFmt w:val="bullet"/>
      <w:lvlText w:val="o"/>
      <w:lvlJc w:val="left"/>
      <w:pPr>
        <w:ind w:left="3650" w:hanging="360"/>
      </w:pPr>
      <w:rPr>
        <w:rFonts w:ascii="Courier New" w:hAnsi="Courier New" w:cs="Courier New" w:hint="default"/>
      </w:rPr>
    </w:lvl>
    <w:lvl w:ilvl="5" w:tplc="04090005">
      <w:start w:val="1"/>
      <w:numFmt w:val="bullet"/>
      <w:lvlText w:val=""/>
      <w:lvlJc w:val="left"/>
      <w:pPr>
        <w:ind w:left="4370" w:hanging="360"/>
      </w:pPr>
      <w:rPr>
        <w:rFonts w:ascii="Wingdings" w:hAnsi="Wingdings" w:hint="default"/>
      </w:rPr>
    </w:lvl>
    <w:lvl w:ilvl="6" w:tplc="04090001">
      <w:start w:val="1"/>
      <w:numFmt w:val="bullet"/>
      <w:lvlText w:val=""/>
      <w:lvlJc w:val="left"/>
      <w:pPr>
        <w:ind w:left="5090" w:hanging="360"/>
      </w:pPr>
      <w:rPr>
        <w:rFonts w:ascii="Symbol" w:hAnsi="Symbol" w:hint="default"/>
      </w:rPr>
    </w:lvl>
    <w:lvl w:ilvl="7" w:tplc="04090003">
      <w:start w:val="1"/>
      <w:numFmt w:val="bullet"/>
      <w:lvlText w:val="o"/>
      <w:lvlJc w:val="left"/>
      <w:pPr>
        <w:ind w:left="5810" w:hanging="360"/>
      </w:pPr>
      <w:rPr>
        <w:rFonts w:ascii="Courier New" w:hAnsi="Courier New" w:cs="Courier New" w:hint="default"/>
      </w:rPr>
    </w:lvl>
    <w:lvl w:ilvl="8" w:tplc="04090005">
      <w:start w:val="1"/>
      <w:numFmt w:val="bullet"/>
      <w:lvlText w:val=""/>
      <w:lvlJc w:val="left"/>
      <w:pPr>
        <w:ind w:left="6530" w:hanging="360"/>
      </w:pPr>
      <w:rPr>
        <w:rFonts w:ascii="Wingdings" w:hAnsi="Wingdings" w:hint="default"/>
      </w:rPr>
    </w:lvl>
  </w:abstractNum>
  <w:abstractNum w:abstractNumId="18" w15:restartNumberingAfterBreak="0">
    <w:nsid w:val="3D940A1F"/>
    <w:multiLevelType w:val="hybridMultilevel"/>
    <w:tmpl w:val="BD32A2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F8D4B4D"/>
    <w:multiLevelType w:val="hybridMultilevel"/>
    <w:tmpl w:val="1AC2D2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CD6983"/>
    <w:multiLevelType w:val="hybridMultilevel"/>
    <w:tmpl w:val="4A5AC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261BAD"/>
    <w:multiLevelType w:val="multilevel"/>
    <w:tmpl w:val="BAC80A96"/>
    <w:lvl w:ilvl="0">
      <w:start w:val="4"/>
      <w:numFmt w:val="decimal"/>
      <w:lvlText w:val="%1."/>
      <w:lvlJc w:val="left"/>
      <w:pPr>
        <w:tabs>
          <w:tab w:val="num" w:pos="0"/>
        </w:tabs>
        <w:ind w:left="480" w:hanging="480"/>
      </w:pPr>
    </w:lvl>
    <w:lvl w:ilvl="1">
      <w:start w:val="4"/>
      <w:numFmt w:val="decimal"/>
      <w:lvlText w:val="%2."/>
      <w:lvlJc w:val="left"/>
      <w:pPr>
        <w:tabs>
          <w:tab w:val="num" w:pos="720"/>
        </w:tabs>
        <w:ind w:left="1200" w:hanging="480"/>
      </w:pPr>
    </w:lvl>
    <w:lvl w:ilvl="2">
      <w:start w:val="4"/>
      <w:numFmt w:val="decimal"/>
      <w:lvlText w:val="%3."/>
      <w:lvlJc w:val="left"/>
      <w:pPr>
        <w:tabs>
          <w:tab w:val="num" w:pos="1440"/>
        </w:tabs>
        <w:ind w:left="1920" w:hanging="480"/>
      </w:pPr>
    </w:lvl>
    <w:lvl w:ilvl="3">
      <w:start w:val="4"/>
      <w:numFmt w:val="decimal"/>
      <w:lvlText w:val="%4."/>
      <w:lvlJc w:val="left"/>
      <w:pPr>
        <w:tabs>
          <w:tab w:val="num" w:pos="2160"/>
        </w:tabs>
        <w:ind w:left="2640" w:hanging="480"/>
      </w:pPr>
    </w:lvl>
    <w:lvl w:ilvl="4">
      <w:start w:val="4"/>
      <w:numFmt w:val="decimal"/>
      <w:lvlText w:val="%5."/>
      <w:lvlJc w:val="left"/>
      <w:pPr>
        <w:tabs>
          <w:tab w:val="num" w:pos="2880"/>
        </w:tabs>
        <w:ind w:left="3360" w:hanging="480"/>
      </w:pPr>
    </w:lvl>
    <w:lvl w:ilvl="5">
      <w:start w:val="4"/>
      <w:numFmt w:val="decimal"/>
      <w:lvlText w:val="%6."/>
      <w:lvlJc w:val="left"/>
      <w:pPr>
        <w:tabs>
          <w:tab w:val="num" w:pos="3600"/>
        </w:tabs>
        <w:ind w:left="4080" w:hanging="480"/>
      </w:pPr>
    </w:lvl>
    <w:lvl w:ilvl="6">
      <w:start w:val="4"/>
      <w:numFmt w:val="decimal"/>
      <w:lvlText w:val="%7."/>
      <w:lvlJc w:val="left"/>
      <w:pPr>
        <w:tabs>
          <w:tab w:val="num" w:pos="4320"/>
        </w:tabs>
        <w:ind w:left="4800" w:hanging="480"/>
      </w:pPr>
    </w:lvl>
    <w:lvl w:ilvl="7">
      <w:start w:val="4"/>
      <w:numFmt w:val="decimal"/>
      <w:lvlText w:val="%8."/>
      <w:lvlJc w:val="left"/>
      <w:pPr>
        <w:tabs>
          <w:tab w:val="num" w:pos="5040"/>
        </w:tabs>
        <w:ind w:left="5520" w:hanging="480"/>
      </w:pPr>
    </w:lvl>
    <w:lvl w:ilvl="8">
      <w:start w:val="4"/>
      <w:numFmt w:val="decimal"/>
      <w:lvlText w:val="%9."/>
      <w:lvlJc w:val="left"/>
      <w:pPr>
        <w:tabs>
          <w:tab w:val="num" w:pos="5760"/>
        </w:tabs>
        <w:ind w:left="6240" w:hanging="480"/>
      </w:pPr>
    </w:lvl>
  </w:abstractNum>
  <w:abstractNum w:abstractNumId="22" w15:restartNumberingAfterBreak="0">
    <w:nsid w:val="4F925094"/>
    <w:multiLevelType w:val="hybridMultilevel"/>
    <w:tmpl w:val="FBF817D0"/>
    <w:lvl w:ilvl="0" w:tplc="4F18CA5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107E05"/>
    <w:multiLevelType w:val="hybridMultilevel"/>
    <w:tmpl w:val="3364CEA4"/>
    <w:lvl w:ilvl="0" w:tplc="0954442A">
      <w:start w:val="1"/>
      <w:numFmt w:val="decimal"/>
      <w:pStyle w:val="Heading2"/>
      <w:lvlText w:val="S%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6A1BFC"/>
    <w:multiLevelType w:val="hybridMultilevel"/>
    <w:tmpl w:val="274ABBAA"/>
    <w:lvl w:ilvl="0" w:tplc="1C90422E">
      <w:start w:val="1"/>
      <w:numFmt w:val="decimal"/>
      <w:lvlText w:val="S%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1315DCA"/>
    <w:multiLevelType w:val="multilevel"/>
    <w:tmpl w:val="B3AA10B2"/>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26" w15:restartNumberingAfterBreak="0">
    <w:nsid w:val="7FC878E7"/>
    <w:multiLevelType w:val="hybridMultilevel"/>
    <w:tmpl w:val="BB346ED2"/>
    <w:lvl w:ilvl="0" w:tplc="CEBCBEAE">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num>
  <w:num w:numId="5">
    <w:abstractNumId w:val="21"/>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6">
    <w:abstractNumId w:val="25"/>
  </w:num>
  <w:num w:numId="7">
    <w:abstractNumId w:val="0"/>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8">
    <w:abstractNumId w:val="25"/>
  </w:num>
  <w:num w:numId="9">
    <w:abstractNumId w:val="25"/>
  </w:num>
  <w:num w:numId="10">
    <w:abstractNumId w:val="25"/>
  </w:num>
  <w:num w:numId="11">
    <w:abstractNumId w:val="13"/>
  </w:num>
  <w:num w:numId="12">
    <w:abstractNumId w:val="19"/>
  </w:num>
  <w:num w:numId="13">
    <w:abstractNumId w:val="18"/>
  </w:num>
  <w:num w:numId="14">
    <w:abstractNumId w:val="24"/>
  </w:num>
  <w:num w:numId="15">
    <w:abstractNumId w:val="11"/>
  </w:num>
  <w:num w:numId="16">
    <w:abstractNumId w:val="9"/>
  </w:num>
  <w:num w:numId="17">
    <w:abstractNumId w:val="8"/>
  </w:num>
  <w:num w:numId="18">
    <w:abstractNumId w:val="7"/>
  </w:num>
  <w:num w:numId="19">
    <w:abstractNumId w:val="6"/>
  </w:num>
  <w:num w:numId="20">
    <w:abstractNumId w:val="10"/>
  </w:num>
  <w:num w:numId="21">
    <w:abstractNumId w:val="5"/>
  </w:num>
  <w:num w:numId="22">
    <w:abstractNumId w:val="4"/>
  </w:num>
  <w:num w:numId="23">
    <w:abstractNumId w:val="3"/>
  </w:num>
  <w:num w:numId="24">
    <w:abstractNumId w:val="2"/>
  </w:num>
  <w:num w:numId="25">
    <w:abstractNumId w:val="23"/>
  </w:num>
  <w:num w:numId="26">
    <w:abstractNumId w:val="23"/>
  </w:num>
  <w:num w:numId="27">
    <w:abstractNumId w:val="23"/>
  </w:num>
  <w:num w:numId="28">
    <w:abstractNumId w:val="20"/>
  </w:num>
  <w:num w:numId="29">
    <w:abstractNumId w:val="17"/>
  </w:num>
  <w:num w:numId="30">
    <w:abstractNumId w:val="22"/>
  </w:num>
  <w:num w:numId="31">
    <w:abstractNumId w:val="17"/>
  </w:num>
  <w:num w:numId="32">
    <w:abstractNumId w:val="14"/>
  </w:num>
  <w:num w:numId="33">
    <w:abstractNumId w:val="16"/>
  </w:num>
  <w:num w:numId="34">
    <w:abstractNumId w:val="26"/>
  </w:num>
  <w:num w:numId="35">
    <w:abstractNumId w:val="23"/>
  </w:num>
  <w:num w:numId="36">
    <w:abstractNumId w:val="12"/>
  </w:num>
  <w:num w:numId="3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03260"/>
    <w:rsid w:val="00005A04"/>
    <w:rsid w:val="00011C8B"/>
    <w:rsid w:val="00016FA2"/>
    <w:rsid w:val="000171DD"/>
    <w:rsid w:val="000200C0"/>
    <w:rsid w:val="00022D9E"/>
    <w:rsid w:val="00022EF2"/>
    <w:rsid w:val="000255A8"/>
    <w:rsid w:val="00026037"/>
    <w:rsid w:val="0003077F"/>
    <w:rsid w:val="000341B3"/>
    <w:rsid w:val="00041C23"/>
    <w:rsid w:val="00043B6C"/>
    <w:rsid w:val="00046B08"/>
    <w:rsid w:val="00051520"/>
    <w:rsid w:val="00057A3D"/>
    <w:rsid w:val="000641F0"/>
    <w:rsid w:val="00065A17"/>
    <w:rsid w:val="000677C7"/>
    <w:rsid w:val="0007106E"/>
    <w:rsid w:val="00076252"/>
    <w:rsid w:val="0008195D"/>
    <w:rsid w:val="00081E80"/>
    <w:rsid w:val="00086D9B"/>
    <w:rsid w:val="00090AC1"/>
    <w:rsid w:val="00090E6E"/>
    <w:rsid w:val="00097DCD"/>
    <w:rsid w:val="000A219F"/>
    <w:rsid w:val="000A42B1"/>
    <w:rsid w:val="000A44B2"/>
    <w:rsid w:val="000A5CA5"/>
    <w:rsid w:val="000B0249"/>
    <w:rsid w:val="000B3B33"/>
    <w:rsid w:val="000C0AAC"/>
    <w:rsid w:val="000C1073"/>
    <w:rsid w:val="000D18FB"/>
    <w:rsid w:val="000D1C60"/>
    <w:rsid w:val="000D6366"/>
    <w:rsid w:val="000D694F"/>
    <w:rsid w:val="000D7494"/>
    <w:rsid w:val="000E0647"/>
    <w:rsid w:val="000E142A"/>
    <w:rsid w:val="000E27B4"/>
    <w:rsid w:val="000E70A4"/>
    <w:rsid w:val="000F10EB"/>
    <w:rsid w:val="000F70BA"/>
    <w:rsid w:val="000F7B87"/>
    <w:rsid w:val="0010455A"/>
    <w:rsid w:val="0010639D"/>
    <w:rsid w:val="001109B5"/>
    <w:rsid w:val="001131FB"/>
    <w:rsid w:val="00117B06"/>
    <w:rsid w:val="00121932"/>
    <w:rsid w:val="00140002"/>
    <w:rsid w:val="00143A91"/>
    <w:rsid w:val="00143B9B"/>
    <w:rsid w:val="0015038A"/>
    <w:rsid w:val="001509A7"/>
    <w:rsid w:val="00157397"/>
    <w:rsid w:val="001639E5"/>
    <w:rsid w:val="001660B0"/>
    <w:rsid w:val="00172D05"/>
    <w:rsid w:val="001772BE"/>
    <w:rsid w:val="0017769A"/>
    <w:rsid w:val="001829B7"/>
    <w:rsid w:val="00182F98"/>
    <w:rsid w:val="00184EDF"/>
    <w:rsid w:val="0018518C"/>
    <w:rsid w:val="001860F6"/>
    <w:rsid w:val="0019146F"/>
    <w:rsid w:val="00191D91"/>
    <w:rsid w:val="001921A9"/>
    <w:rsid w:val="00195283"/>
    <w:rsid w:val="001A1FFF"/>
    <w:rsid w:val="001A2A48"/>
    <w:rsid w:val="001B0BF2"/>
    <w:rsid w:val="001C1198"/>
    <w:rsid w:val="001C23F9"/>
    <w:rsid w:val="001D1510"/>
    <w:rsid w:val="001D7061"/>
    <w:rsid w:val="001D710D"/>
    <w:rsid w:val="001E0843"/>
    <w:rsid w:val="001E3424"/>
    <w:rsid w:val="001E7419"/>
    <w:rsid w:val="001F172C"/>
    <w:rsid w:val="001F173A"/>
    <w:rsid w:val="001F2AC1"/>
    <w:rsid w:val="00206815"/>
    <w:rsid w:val="00206A45"/>
    <w:rsid w:val="00210C4B"/>
    <w:rsid w:val="00215553"/>
    <w:rsid w:val="00215BC5"/>
    <w:rsid w:val="00217A36"/>
    <w:rsid w:val="002201AB"/>
    <w:rsid w:val="00224398"/>
    <w:rsid w:val="0022536C"/>
    <w:rsid w:val="00226F00"/>
    <w:rsid w:val="00227CBB"/>
    <w:rsid w:val="00233DD0"/>
    <w:rsid w:val="0023778F"/>
    <w:rsid w:val="00242A35"/>
    <w:rsid w:val="00243D91"/>
    <w:rsid w:val="002452A2"/>
    <w:rsid w:val="00247A55"/>
    <w:rsid w:val="00253D5D"/>
    <w:rsid w:val="002554A6"/>
    <w:rsid w:val="00255D60"/>
    <w:rsid w:val="0025706E"/>
    <w:rsid w:val="002572E8"/>
    <w:rsid w:val="002714FD"/>
    <w:rsid w:val="00272D84"/>
    <w:rsid w:val="002759EF"/>
    <w:rsid w:val="002779C4"/>
    <w:rsid w:val="00280777"/>
    <w:rsid w:val="00282A4D"/>
    <w:rsid w:val="00283970"/>
    <w:rsid w:val="00292B5D"/>
    <w:rsid w:val="00293148"/>
    <w:rsid w:val="00295EB2"/>
    <w:rsid w:val="00296E03"/>
    <w:rsid w:val="002975BB"/>
    <w:rsid w:val="002A588D"/>
    <w:rsid w:val="002B0AF0"/>
    <w:rsid w:val="002B0EFC"/>
    <w:rsid w:val="002B1631"/>
    <w:rsid w:val="002B181B"/>
    <w:rsid w:val="002B4685"/>
    <w:rsid w:val="002B7E57"/>
    <w:rsid w:val="002C4399"/>
    <w:rsid w:val="002C761F"/>
    <w:rsid w:val="002D3EBE"/>
    <w:rsid w:val="002D4F46"/>
    <w:rsid w:val="002E004A"/>
    <w:rsid w:val="002E6C5B"/>
    <w:rsid w:val="002E7440"/>
    <w:rsid w:val="002F0722"/>
    <w:rsid w:val="002F2D23"/>
    <w:rsid w:val="002F3196"/>
    <w:rsid w:val="002F53C1"/>
    <w:rsid w:val="0031207A"/>
    <w:rsid w:val="00315A1D"/>
    <w:rsid w:val="00321B92"/>
    <w:rsid w:val="00327FAF"/>
    <w:rsid w:val="00331402"/>
    <w:rsid w:val="003347DF"/>
    <w:rsid w:val="00334F68"/>
    <w:rsid w:val="0033792A"/>
    <w:rsid w:val="003437BB"/>
    <w:rsid w:val="00345D10"/>
    <w:rsid w:val="003462E3"/>
    <w:rsid w:val="00347929"/>
    <w:rsid w:val="003533BB"/>
    <w:rsid w:val="00353483"/>
    <w:rsid w:val="00353C0C"/>
    <w:rsid w:val="00357A42"/>
    <w:rsid w:val="00362A83"/>
    <w:rsid w:val="00363E58"/>
    <w:rsid w:val="003666BE"/>
    <w:rsid w:val="00372D83"/>
    <w:rsid w:val="00375030"/>
    <w:rsid w:val="003810F3"/>
    <w:rsid w:val="003823C5"/>
    <w:rsid w:val="00382F33"/>
    <w:rsid w:val="003906E8"/>
    <w:rsid w:val="003927DC"/>
    <w:rsid w:val="00395F7F"/>
    <w:rsid w:val="003A5D4C"/>
    <w:rsid w:val="003A5EAA"/>
    <w:rsid w:val="003B0102"/>
    <w:rsid w:val="003B0B5C"/>
    <w:rsid w:val="003B35A0"/>
    <w:rsid w:val="003C0DAA"/>
    <w:rsid w:val="003D0D9F"/>
    <w:rsid w:val="003D1431"/>
    <w:rsid w:val="003D170B"/>
    <w:rsid w:val="003D4059"/>
    <w:rsid w:val="003D7DF0"/>
    <w:rsid w:val="003E51D2"/>
    <w:rsid w:val="003E5EE2"/>
    <w:rsid w:val="00401A84"/>
    <w:rsid w:val="0041013A"/>
    <w:rsid w:val="004143AB"/>
    <w:rsid w:val="004147C6"/>
    <w:rsid w:val="00416561"/>
    <w:rsid w:val="00417309"/>
    <w:rsid w:val="0041776E"/>
    <w:rsid w:val="00417BA9"/>
    <w:rsid w:val="00417DCE"/>
    <w:rsid w:val="00420B72"/>
    <w:rsid w:val="00421F2F"/>
    <w:rsid w:val="00421F8E"/>
    <w:rsid w:val="00427139"/>
    <w:rsid w:val="00427B23"/>
    <w:rsid w:val="00430410"/>
    <w:rsid w:val="00442090"/>
    <w:rsid w:val="00443750"/>
    <w:rsid w:val="00455B84"/>
    <w:rsid w:val="004621E9"/>
    <w:rsid w:val="0047214A"/>
    <w:rsid w:val="004721E2"/>
    <w:rsid w:val="004743C9"/>
    <w:rsid w:val="00474FC5"/>
    <w:rsid w:val="00477926"/>
    <w:rsid w:val="00477A10"/>
    <w:rsid w:val="00480531"/>
    <w:rsid w:val="004837B1"/>
    <w:rsid w:val="00484D77"/>
    <w:rsid w:val="00487FCD"/>
    <w:rsid w:val="00490B71"/>
    <w:rsid w:val="0049637A"/>
    <w:rsid w:val="00497577"/>
    <w:rsid w:val="004A2932"/>
    <w:rsid w:val="004A68CB"/>
    <w:rsid w:val="004A6D83"/>
    <w:rsid w:val="004B087D"/>
    <w:rsid w:val="004B0AB6"/>
    <w:rsid w:val="004B1ABE"/>
    <w:rsid w:val="004B446B"/>
    <w:rsid w:val="004B7722"/>
    <w:rsid w:val="004C22CF"/>
    <w:rsid w:val="004C4C28"/>
    <w:rsid w:val="004C6A00"/>
    <w:rsid w:val="004D4E3C"/>
    <w:rsid w:val="004D5A57"/>
    <w:rsid w:val="004E07BF"/>
    <w:rsid w:val="004E29B3"/>
    <w:rsid w:val="004E3058"/>
    <w:rsid w:val="004E5077"/>
    <w:rsid w:val="004F1BBA"/>
    <w:rsid w:val="004F26D1"/>
    <w:rsid w:val="004F6037"/>
    <w:rsid w:val="004F7F34"/>
    <w:rsid w:val="00501C8F"/>
    <w:rsid w:val="00501CC3"/>
    <w:rsid w:val="00503676"/>
    <w:rsid w:val="005041FD"/>
    <w:rsid w:val="0051517B"/>
    <w:rsid w:val="005171FE"/>
    <w:rsid w:val="00526160"/>
    <w:rsid w:val="00533F55"/>
    <w:rsid w:val="00543312"/>
    <w:rsid w:val="00545B5A"/>
    <w:rsid w:val="00547A7A"/>
    <w:rsid w:val="00547F3D"/>
    <w:rsid w:val="00560A83"/>
    <w:rsid w:val="00563D8A"/>
    <w:rsid w:val="0056680E"/>
    <w:rsid w:val="0057386D"/>
    <w:rsid w:val="0058063D"/>
    <w:rsid w:val="00581FA0"/>
    <w:rsid w:val="00590898"/>
    <w:rsid w:val="00590D07"/>
    <w:rsid w:val="0059374D"/>
    <w:rsid w:val="0059406D"/>
    <w:rsid w:val="0059696F"/>
    <w:rsid w:val="00597356"/>
    <w:rsid w:val="005A01C8"/>
    <w:rsid w:val="005A17B1"/>
    <w:rsid w:val="005B40CC"/>
    <w:rsid w:val="005B4101"/>
    <w:rsid w:val="005B5B7E"/>
    <w:rsid w:val="005C1E26"/>
    <w:rsid w:val="005C29DC"/>
    <w:rsid w:val="005C3F56"/>
    <w:rsid w:val="005C5FC3"/>
    <w:rsid w:val="005C6187"/>
    <w:rsid w:val="005D04EB"/>
    <w:rsid w:val="005D152E"/>
    <w:rsid w:val="005D1BE6"/>
    <w:rsid w:val="005D6904"/>
    <w:rsid w:val="005E0248"/>
    <w:rsid w:val="005E03F4"/>
    <w:rsid w:val="005E143B"/>
    <w:rsid w:val="005E1C96"/>
    <w:rsid w:val="005E2910"/>
    <w:rsid w:val="005E7370"/>
    <w:rsid w:val="005E73AF"/>
    <w:rsid w:val="005F0385"/>
    <w:rsid w:val="005F23D2"/>
    <w:rsid w:val="0060051E"/>
    <w:rsid w:val="00601B37"/>
    <w:rsid w:val="00606DF6"/>
    <w:rsid w:val="0061234D"/>
    <w:rsid w:val="00612DA9"/>
    <w:rsid w:val="006152A8"/>
    <w:rsid w:val="00617BB3"/>
    <w:rsid w:val="0062106B"/>
    <w:rsid w:val="0062190F"/>
    <w:rsid w:val="00624D64"/>
    <w:rsid w:val="00625A05"/>
    <w:rsid w:val="00626138"/>
    <w:rsid w:val="006273B4"/>
    <w:rsid w:val="006371EA"/>
    <w:rsid w:val="00643D8A"/>
    <w:rsid w:val="00646D7F"/>
    <w:rsid w:val="006556E6"/>
    <w:rsid w:val="00661DA1"/>
    <w:rsid w:val="006641E8"/>
    <w:rsid w:val="006652CB"/>
    <w:rsid w:val="006734D1"/>
    <w:rsid w:val="0068101A"/>
    <w:rsid w:val="00682CE4"/>
    <w:rsid w:val="006860F5"/>
    <w:rsid w:val="006862AC"/>
    <w:rsid w:val="00695809"/>
    <w:rsid w:val="006A69EC"/>
    <w:rsid w:val="006A74E7"/>
    <w:rsid w:val="006B1BBB"/>
    <w:rsid w:val="006B477B"/>
    <w:rsid w:val="006C066B"/>
    <w:rsid w:val="006C117E"/>
    <w:rsid w:val="006C17EA"/>
    <w:rsid w:val="006C29B7"/>
    <w:rsid w:val="006C5ECD"/>
    <w:rsid w:val="006C6710"/>
    <w:rsid w:val="006D4AA5"/>
    <w:rsid w:val="006D4C79"/>
    <w:rsid w:val="006E32BD"/>
    <w:rsid w:val="006E4CDF"/>
    <w:rsid w:val="006E568A"/>
    <w:rsid w:val="006F1562"/>
    <w:rsid w:val="006F2F0E"/>
    <w:rsid w:val="006F3CD9"/>
    <w:rsid w:val="00705BE3"/>
    <w:rsid w:val="00706888"/>
    <w:rsid w:val="007260AE"/>
    <w:rsid w:val="00727247"/>
    <w:rsid w:val="00727941"/>
    <w:rsid w:val="0073293C"/>
    <w:rsid w:val="0073539E"/>
    <w:rsid w:val="00740764"/>
    <w:rsid w:val="00741505"/>
    <w:rsid w:val="00743EBB"/>
    <w:rsid w:val="00745F21"/>
    <w:rsid w:val="00746083"/>
    <w:rsid w:val="00746EA6"/>
    <w:rsid w:val="007476B1"/>
    <w:rsid w:val="007531EC"/>
    <w:rsid w:val="0075389B"/>
    <w:rsid w:val="00755FE8"/>
    <w:rsid w:val="00773D1B"/>
    <w:rsid w:val="00780291"/>
    <w:rsid w:val="0078081C"/>
    <w:rsid w:val="0078135A"/>
    <w:rsid w:val="00782D6F"/>
    <w:rsid w:val="00784D58"/>
    <w:rsid w:val="00786144"/>
    <w:rsid w:val="00787182"/>
    <w:rsid w:val="007876D3"/>
    <w:rsid w:val="007878A1"/>
    <w:rsid w:val="00791211"/>
    <w:rsid w:val="007A0219"/>
    <w:rsid w:val="007A08BA"/>
    <w:rsid w:val="007A0D2B"/>
    <w:rsid w:val="007A33F5"/>
    <w:rsid w:val="007A41FE"/>
    <w:rsid w:val="007B1DD2"/>
    <w:rsid w:val="007B3CBE"/>
    <w:rsid w:val="007B6F6C"/>
    <w:rsid w:val="007D0664"/>
    <w:rsid w:val="007D7623"/>
    <w:rsid w:val="007E4696"/>
    <w:rsid w:val="007E658D"/>
    <w:rsid w:val="007E6AA6"/>
    <w:rsid w:val="007F266F"/>
    <w:rsid w:val="00800D91"/>
    <w:rsid w:val="0080428D"/>
    <w:rsid w:val="00810FCE"/>
    <w:rsid w:val="008111BB"/>
    <w:rsid w:val="00812E3B"/>
    <w:rsid w:val="00813A22"/>
    <w:rsid w:val="008174DB"/>
    <w:rsid w:val="00820485"/>
    <w:rsid w:val="00822B48"/>
    <w:rsid w:val="00822BCE"/>
    <w:rsid w:val="008251A9"/>
    <w:rsid w:val="00825BD7"/>
    <w:rsid w:val="00833919"/>
    <w:rsid w:val="00835421"/>
    <w:rsid w:val="00836F14"/>
    <w:rsid w:val="00837556"/>
    <w:rsid w:val="00840949"/>
    <w:rsid w:val="00841031"/>
    <w:rsid w:val="00841195"/>
    <w:rsid w:val="0084124F"/>
    <w:rsid w:val="00841EBF"/>
    <w:rsid w:val="00846F68"/>
    <w:rsid w:val="00851C5A"/>
    <w:rsid w:val="00855893"/>
    <w:rsid w:val="00863DA4"/>
    <w:rsid w:val="00863E78"/>
    <w:rsid w:val="00877188"/>
    <w:rsid w:val="00877E8B"/>
    <w:rsid w:val="00881B71"/>
    <w:rsid w:val="008917A0"/>
    <w:rsid w:val="00892537"/>
    <w:rsid w:val="008926DE"/>
    <w:rsid w:val="00897472"/>
    <w:rsid w:val="008A202C"/>
    <w:rsid w:val="008A4875"/>
    <w:rsid w:val="008B0A4A"/>
    <w:rsid w:val="008C0715"/>
    <w:rsid w:val="008C1C92"/>
    <w:rsid w:val="008C2C3F"/>
    <w:rsid w:val="008C50AB"/>
    <w:rsid w:val="008D2AD3"/>
    <w:rsid w:val="008D39A2"/>
    <w:rsid w:val="008D47C4"/>
    <w:rsid w:val="008D50D9"/>
    <w:rsid w:val="008D6863"/>
    <w:rsid w:val="008E17A5"/>
    <w:rsid w:val="008E2244"/>
    <w:rsid w:val="008E3B40"/>
    <w:rsid w:val="008E4E31"/>
    <w:rsid w:val="008E6A0B"/>
    <w:rsid w:val="008F3CCC"/>
    <w:rsid w:val="008F4555"/>
    <w:rsid w:val="008F52BD"/>
    <w:rsid w:val="0090221F"/>
    <w:rsid w:val="0090318B"/>
    <w:rsid w:val="00903FB2"/>
    <w:rsid w:val="00904CD6"/>
    <w:rsid w:val="00912755"/>
    <w:rsid w:val="00913A27"/>
    <w:rsid w:val="0091633D"/>
    <w:rsid w:val="00917106"/>
    <w:rsid w:val="00921282"/>
    <w:rsid w:val="00921F8D"/>
    <w:rsid w:val="00922CD4"/>
    <w:rsid w:val="00927083"/>
    <w:rsid w:val="0092708A"/>
    <w:rsid w:val="0093788F"/>
    <w:rsid w:val="00951128"/>
    <w:rsid w:val="00955CE9"/>
    <w:rsid w:val="009616E7"/>
    <w:rsid w:val="00964841"/>
    <w:rsid w:val="009663AA"/>
    <w:rsid w:val="00967234"/>
    <w:rsid w:val="00972E34"/>
    <w:rsid w:val="00974525"/>
    <w:rsid w:val="00975B74"/>
    <w:rsid w:val="009771EE"/>
    <w:rsid w:val="00984FC5"/>
    <w:rsid w:val="00985613"/>
    <w:rsid w:val="00996AA9"/>
    <w:rsid w:val="009970FE"/>
    <w:rsid w:val="009A1C06"/>
    <w:rsid w:val="009A33F5"/>
    <w:rsid w:val="009A3E8B"/>
    <w:rsid w:val="009A7349"/>
    <w:rsid w:val="009B0C79"/>
    <w:rsid w:val="009B7138"/>
    <w:rsid w:val="009D1300"/>
    <w:rsid w:val="009D418C"/>
    <w:rsid w:val="009D437B"/>
    <w:rsid w:val="009D5B9E"/>
    <w:rsid w:val="009D7927"/>
    <w:rsid w:val="009E047D"/>
    <w:rsid w:val="009E782B"/>
    <w:rsid w:val="009F6DBD"/>
    <w:rsid w:val="00A1223E"/>
    <w:rsid w:val="00A132BC"/>
    <w:rsid w:val="00A15860"/>
    <w:rsid w:val="00A15D17"/>
    <w:rsid w:val="00A20718"/>
    <w:rsid w:val="00A239D5"/>
    <w:rsid w:val="00A30336"/>
    <w:rsid w:val="00A3371B"/>
    <w:rsid w:val="00A3444A"/>
    <w:rsid w:val="00A403D3"/>
    <w:rsid w:val="00A41E4A"/>
    <w:rsid w:val="00A42F39"/>
    <w:rsid w:val="00A449DA"/>
    <w:rsid w:val="00A45249"/>
    <w:rsid w:val="00A458CD"/>
    <w:rsid w:val="00A473BC"/>
    <w:rsid w:val="00A5268A"/>
    <w:rsid w:val="00A526FA"/>
    <w:rsid w:val="00A5359F"/>
    <w:rsid w:val="00A53A9E"/>
    <w:rsid w:val="00A54AB3"/>
    <w:rsid w:val="00A554E4"/>
    <w:rsid w:val="00A55B8F"/>
    <w:rsid w:val="00A57B9B"/>
    <w:rsid w:val="00A623ED"/>
    <w:rsid w:val="00A65352"/>
    <w:rsid w:val="00A66665"/>
    <w:rsid w:val="00A72499"/>
    <w:rsid w:val="00A7273E"/>
    <w:rsid w:val="00A72E98"/>
    <w:rsid w:val="00A73115"/>
    <w:rsid w:val="00A74A57"/>
    <w:rsid w:val="00A775F4"/>
    <w:rsid w:val="00A8097A"/>
    <w:rsid w:val="00A8380F"/>
    <w:rsid w:val="00A87404"/>
    <w:rsid w:val="00A935DB"/>
    <w:rsid w:val="00A967FC"/>
    <w:rsid w:val="00A9712B"/>
    <w:rsid w:val="00AA65CB"/>
    <w:rsid w:val="00AB0BE4"/>
    <w:rsid w:val="00AB6E29"/>
    <w:rsid w:val="00AB71FB"/>
    <w:rsid w:val="00AB744A"/>
    <w:rsid w:val="00AC234C"/>
    <w:rsid w:val="00AC3348"/>
    <w:rsid w:val="00AC7E7D"/>
    <w:rsid w:val="00AD0F1F"/>
    <w:rsid w:val="00AD114F"/>
    <w:rsid w:val="00AE2673"/>
    <w:rsid w:val="00AE58BF"/>
    <w:rsid w:val="00AE5D53"/>
    <w:rsid w:val="00AF59C1"/>
    <w:rsid w:val="00B00B7C"/>
    <w:rsid w:val="00B0117F"/>
    <w:rsid w:val="00B02276"/>
    <w:rsid w:val="00B04F0E"/>
    <w:rsid w:val="00B107F8"/>
    <w:rsid w:val="00B126BC"/>
    <w:rsid w:val="00B12A2D"/>
    <w:rsid w:val="00B1707E"/>
    <w:rsid w:val="00B172F9"/>
    <w:rsid w:val="00B21C32"/>
    <w:rsid w:val="00B228AA"/>
    <w:rsid w:val="00B24EFC"/>
    <w:rsid w:val="00B25D98"/>
    <w:rsid w:val="00B30250"/>
    <w:rsid w:val="00B32910"/>
    <w:rsid w:val="00B5091E"/>
    <w:rsid w:val="00B50AD2"/>
    <w:rsid w:val="00B511BB"/>
    <w:rsid w:val="00B523CE"/>
    <w:rsid w:val="00B56EC5"/>
    <w:rsid w:val="00B64DD2"/>
    <w:rsid w:val="00B72710"/>
    <w:rsid w:val="00B74888"/>
    <w:rsid w:val="00B840A6"/>
    <w:rsid w:val="00B8481A"/>
    <w:rsid w:val="00B86B75"/>
    <w:rsid w:val="00B872B5"/>
    <w:rsid w:val="00B91740"/>
    <w:rsid w:val="00B924CA"/>
    <w:rsid w:val="00B96FEC"/>
    <w:rsid w:val="00B97D92"/>
    <w:rsid w:val="00BA23C7"/>
    <w:rsid w:val="00BA375D"/>
    <w:rsid w:val="00BA7B44"/>
    <w:rsid w:val="00BB0950"/>
    <w:rsid w:val="00BB5712"/>
    <w:rsid w:val="00BB6C02"/>
    <w:rsid w:val="00BB7B51"/>
    <w:rsid w:val="00BC18AC"/>
    <w:rsid w:val="00BC2976"/>
    <w:rsid w:val="00BC3963"/>
    <w:rsid w:val="00BC48D5"/>
    <w:rsid w:val="00BD4A84"/>
    <w:rsid w:val="00BF2899"/>
    <w:rsid w:val="00BF29E2"/>
    <w:rsid w:val="00BF4B5D"/>
    <w:rsid w:val="00BF4F66"/>
    <w:rsid w:val="00C02E35"/>
    <w:rsid w:val="00C04A45"/>
    <w:rsid w:val="00C11D0A"/>
    <w:rsid w:val="00C2084A"/>
    <w:rsid w:val="00C21F16"/>
    <w:rsid w:val="00C24027"/>
    <w:rsid w:val="00C2461C"/>
    <w:rsid w:val="00C253DD"/>
    <w:rsid w:val="00C36279"/>
    <w:rsid w:val="00C45097"/>
    <w:rsid w:val="00C467A4"/>
    <w:rsid w:val="00C47566"/>
    <w:rsid w:val="00C52D85"/>
    <w:rsid w:val="00C5613E"/>
    <w:rsid w:val="00C6048D"/>
    <w:rsid w:val="00C60BD3"/>
    <w:rsid w:val="00C61206"/>
    <w:rsid w:val="00C66C6F"/>
    <w:rsid w:val="00C67637"/>
    <w:rsid w:val="00C67BD7"/>
    <w:rsid w:val="00C715BC"/>
    <w:rsid w:val="00C772B3"/>
    <w:rsid w:val="00C77382"/>
    <w:rsid w:val="00C8418D"/>
    <w:rsid w:val="00C935BC"/>
    <w:rsid w:val="00C94FD5"/>
    <w:rsid w:val="00CA7D10"/>
    <w:rsid w:val="00CB05F4"/>
    <w:rsid w:val="00CB1E2D"/>
    <w:rsid w:val="00CB41BC"/>
    <w:rsid w:val="00CC25BA"/>
    <w:rsid w:val="00CC48DD"/>
    <w:rsid w:val="00CC64B2"/>
    <w:rsid w:val="00CD1ACC"/>
    <w:rsid w:val="00CD4C67"/>
    <w:rsid w:val="00CE1341"/>
    <w:rsid w:val="00CE2113"/>
    <w:rsid w:val="00CE3920"/>
    <w:rsid w:val="00CF63B5"/>
    <w:rsid w:val="00D033D9"/>
    <w:rsid w:val="00D04452"/>
    <w:rsid w:val="00D05EFF"/>
    <w:rsid w:val="00D05F30"/>
    <w:rsid w:val="00D10CDD"/>
    <w:rsid w:val="00D1475D"/>
    <w:rsid w:val="00D21041"/>
    <w:rsid w:val="00D21811"/>
    <w:rsid w:val="00D225B9"/>
    <w:rsid w:val="00D25971"/>
    <w:rsid w:val="00D27AC9"/>
    <w:rsid w:val="00D30680"/>
    <w:rsid w:val="00D32B60"/>
    <w:rsid w:val="00D347F4"/>
    <w:rsid w:val="00D42143"/>
    <w:rsid w:val="00D46A01"/>
    <w:rsid w:val="00D6234A"/>
    <w:rsid w:val="00D6448C"/>
    <w:rsid w:val="00D676E9"/>
    <w:rsid w:val="00D75C83"/>
    <w:rsid w:val="00D76B7E"/>
    <w:rsid w:val="00D80A8D"/>
    <w:rsid w:val="00D8125C"/>
    <w:rsid w:val="00D844F5"/>
    <w:rsid w:val="00D848B7"/>
    <w:rsid w:val="00DA5955"/>
    <w:rsid w:val="00DA5BCC"/>
    <w:rsid w:val="00DA680F"/>
    <w:rsid w:val="00DB5FD0"/>
    <w:rsid w:val="00DB6111"/>
    <w:rsid w:val="00DB71CB"/>
    <w:rsid w:val="00DC0B6E"/>
    <w:rsid w:val="00DC34DD"/>
    <w:rsid w:val="00DC6905"/>
    <w:rsid w:val="00DC6A8C"/>
    <w:rsid w:val="00DD5AB9"/>
    <w:rsid w:val="00DE2668"/>
    <w:rsid w:val="00DE68AE"/>
    <w:rsid w:val="00DE753B"/>
    <w:rsid w:val="00DF031F"/>
    <w:rsid w:val="00DF4826"/>
    <w:rsid w:val="00DF48EF"/>
    <w:rsid w:val="00E01F52"/>
    <w:rsid w:val="00E04927"/>
    <w:rsid w:val="00E071BB"/>
    <w:rsid w:val="00E106D3"/>
    <w:rsid w:val="00E131F6"/>
    <w:rsid w:val="00E15A3A"/>
    <w:rsid w:val="00E17AFD"/>
    <w:rsid w:val="00E21EBF"/>
    <w:rsid w:val="00E22F17"/>
    <w:rsid w:val="00E234B0"/>
    <w:rsid w:val="00E25B49"/>
    <w:rsid w:val="00E315A3"/>
    <w:rsid w:val="00E41577"/>
    <w:rsid w:val="00E41D10"/>
    <w:rsid w:val="00E5033E"/>
    <w:rsid w:val="00E50E00"/>
    <w:rsid w:val="00E54D17"/>
    <w:rsid w:val="00E659C7"/>
    <w:rsid w:val="00E7163C"/>
    <w:rsid w:val="00E72508"/>
    <w:rsid w:val="00E806DE"/>
    <w:rsid w:val="00E81D01"/>
    <w:rsid w:val="00E90DC6"/>
    <w:rsid w:val="00E97BAB"/>
    <w:rsid w:val="00E97E7A"/>
    <w:rsid w:val="00EA1F82"/>
    <w:rsid w:val="00EA7713"/>
    <w:rsid w:val="00EB3B42"/>
    <w:rsid w:val="00EB44CC"/>
    <w:rsid w:val="00EB6E7C"/>
    <w:rsid w:val="00EC3C35"/>
    <w:rsid w:val="00EC5D3D"/>
    <w:rsid w:val="00ED0DED"/>
    <w:rsid w:val="00ED1762"/>
    <w:rsid w:val="00ED2CC0"/>
    <w:rsid w:val="00ED3EC3"/>
    <w:rsid w:val="00ED7843"/>
    <w:rsid w:val="00EE20DC"/>
    <w:rsid w:val="00EE42A7"/>
    <w:rsid w:val="00EE7662"/>
    <w:rsid w:val="00EF47F0"/>
    <w:rsid w:val="00EF4919"/>
    <w:rsid w:val="00EF5FFA"/>
    <w:rsid w:val="00EF6C2D"/>
    <w:rsid w:val="00F003B7"/>
    <w:rsid w:val="00F00AF7"/>
    <w:rsid w:val="00F0179C"/>
    <w:rsid w:val="00F02B03"/>
    <w:rsid w:val="00F031F4"/>
    <w:rsid w:val="00F04D68"/>
    <w:rsid w:val="00F077E2"/>
    <w:rsid w:val="00F12374"/>
    <w:rsid w:val="00F12FA6"/>
    <w:rsid w:val="00F1740A"/>
    <w:rsid w:val="00F17ABA"/>
    <w:rsid w:val="00F2381C"/>
    <w:rsid w:val="00F23EC1"/>
    <w:rsid w:val="00F26E07"/>
    <w:rsid w:val="00F27B9D"/>
    <w:rsid w:val="00F27E8C"/>
    <w:rsid w:val="00F32B97"/>
    <w:rsid w:val="00F33E24"/>
    <w:rsid w:val="00F37681"/>
    <w:rsid w:val="00F37A53"/>
    <w:rsid w:val="00F40939"/>
    <w:rsid w:val="00F422E7"/>
    <w:rsid w:val="00F6138A"/>
    <w:rsid w:val="00F624E2"/>
    <w:rsid w:val="00F64270"/>
    <w:rsid w:val="00F65923"/>
    <w:rsid w:val="00F73A3F"/>
    <w:rsid w:val="00F746FC"/>
    <w:rsid w:val="00F75DDB"/>
    <w:rsid w:val="00F8030A"/>
    <w:rsid w:val="00F82E4F"/>
    <w:rsid w:val="00F83411"/>
    <w:rsid w:val="00F903DE"/>
    <w:rsid w:val="00F91EFD"/>
    <w:rsid w:val="00FA27D9"/>
    <w:rsid w:val="00FA4C48"/>
    <w:rsid w:val="00FA55DB"/>
    <w:rsid w:val="00FA663C"/>
    <w:rsid w:val="00FA6BB0"/>
    <w:rsid w:val="00FB5F8C"/>
    <w:rsid w:val="00FB6C36"/>
    <w:rsid w:val="00FC34B5"/>
    <w:rsid w:val="00FC371D"/>
    <w:rsid w:val="00FC5950"/>
    <w:rsid w:val="00FC6D81"/>
    <w:rsid w:val="00FD0399"/>
    <w:rsid w:val="00FD0442"/>
    <w:rsid w:val="00FD5E19"/>
    <w:rsid w:val="00FE2260"/>
    <w:rsid w:val="00FE2E60"/>
    <w:rsid w:val="00FE500A"/>
    <w:rsid w:val="00FE5192"/>
    <w:rsid w:val="00FE6594"/>
    <w:rsid w:val="00FF42C1"/>
    <w:rsid w:val="00FF49FB"/>
    <w:rsid w:val="00FF678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CD280"/>
  <w15:docId w15:val="{CD7215CA-146D-49A9-8C46-28156A579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759EF"/>
    <w:pPr>
      <w:spacing w:after="0"/>
    </w:pPr>
    <w:rPr>
      <w:rFonts w:ascii="Times New Roman" w:eastAsia="Times New Roman" w:hAnsi="Times New Roman" w:cs="Times New Roman"/>
    </w:rPr>
  </w:style>
  <w:style w:type="paragraph" w:styleId="Heading1">
    <w:name w:val="heading 1"/>
    <w:basedOn w:val="Normal"/>
    <w:next w:val="BodyText"/>
    <w:link w:val="Heading1Char"/>
    <w:uiPriority w:val="9"/>
    <w:qFormat/>
    <w:rsid w:val="006556E6"/>
    <w:pPr>
      <w:keepNext/>
      <w:keepLines/>
      <w:outlineLvl w:val="0"/>
    </w:pPr>
    <w:rPr>
      <w:rFonts w:eastAsiaTheme="majorEastAsia"/>
      <w:b/>
      <w:bCs/>
    </w:rPr>
  </w:style>
  <w:style w:type="paragraph" w:styleId="Heading2">
    <w:name w:val="heading 2"/>
    <w:basedOn w:val="Normal"/>
    <w:next w:val="BodyText"/>
    <w:link w:val="Heading2Char"/>
    <w:uiPriority w:val="9"/>
    <w:unhideWhenUsed/>
    <w:qFormat/>
    <w:rsid w:val="00825BD7"/>
    <w:pPr>
      <w:keepNext/>
      <w:keepLines/>
      <w:numPr>
        <w:numId w:val="25"/>
      </w:numPr>
      <w:spacing w:before="200"/>
      <w:outlineLvl w:val="1"/>
    </w:pPr>
    <w:rPr>
      <w:rFonts w:eastAsiaTheme="majorEastAsia"/>
      <w:b/>
      <w:bCs/>
    </w:rPr>
  </w:style>
  <w:style w:type="paragraph" w:styleId="Heading3">
    <w:name w:val="heading 3"/>
    <w:basedOn w:val="Normal"/>
    <w:next w:val="BodyText"/>
    <w:link w:val="Heading3Char"/>
    <w:uiPriority w:val="9"/>
    <w:unhideWhenUsed/>
    <w:qFormat/>
    <w:rsid w:val="008111BB"/>
    <w:pPr>
      <w:keepNext/>
      <w:keepLines/>
      <w:spacing w:before="200"/>
      <w:outlineLvl w:val="2"/>
    </w:pPr>
    <w:rPr>
      <w:rFonts w:eastAsiaTheme="majorEastAsia" w:cstheme="majorBidi"/>
      <w:szCs w:val="28"/>
      <w:u w:val="single"/>
    </w:rPr>
  </w:style>
  <w:style w:type="paragraph" w:styleId="Heading4">
    <w:name w:val="heading 4"/>
    <w:basedOn w:val="Normal"/>
    <w:next w:val="BodyText"/>
    <w:uiPriority w:val="9"/>
    <w:unhideWhenUsed/>
    <w:qFormat/>
    <w:pPr>
      <w:keepNext/>
      <w:keepLines/>
      <w:spacing w:before="200"/>
      <w:outlineLvl w:val="3"/>
    </w:pPr>
    <w:rPr>
      <w:rFonts w:asciiTheme="majorHAnsi" w:eastAsiaTheme="majorEastAsia" w:hAnsiTheme="majorHAnsi" w:cstheme="majorBidi"/>
      <w:b/>
      <w:bCs/>
      <w:color w:val="4F81BD" w:themeColor="accent1"/>
    </w:rPr>
  </w:style>
  <w:style w:type="paragraph" w:styleId="Heading5">
    <w:name w:val="heading 5"/>
    <w:basedOn w:val="Normal"/>
    <w:next w:val="BodyText"/>
    <w:uiPriority w:val="9"/>
    <w:unhideWhenUsed/>
    <w:qFormat/>
    <w:pPr>
      <w:keepNext/>
      <w:keepLines/>
      <w:spacing w:before="200"/>
      <w:outlineLvl w:val="4"/>
    </w:pPr>
    <w:rPr>
      <w:rFonts w:asciiTheme="majorHAnsi" w:eastAsiaTheme="majorEastAsia" w:hAnsiTheme="majorHAnsi" w:cstheme="majorBidi"/>
      <w:i/>
      <w:iCs/>
      <w:color w:val="4F81BD" w:themeColor="accent1"/>
    </w:rPr>
  </w:style>
  <w:style w:type="paragraph" w:styleId="Heading6">
    <w:name w:val="heading 6"/>
    <w:basedOn w:val="Normal"/>
    <w:next w:val="BodyText"/>
    <w:uiPriority w:val="9"/>
    <w:unhideWhenUsed/>
    <w:qFormat/>
    <w:pPr>
      <w:keepNext/>
      <w:keepLines/>
      <w:spacing w:before="20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F12FA6"/>
    <w:pPr>
      <w:spacing w:before="180" w:after="180"/>
    </w:pPr>
    <w:rPr>
      <w:rFonts w:eastAsiaTheme="minorHAnsi"/>
    </w:r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rFonts w:asciiTheme="minorHAnsi" w:eastAsiaTheme="minorHAnsi" w:hAnsiTheme="minorHAnsi" w:cstheme="minorBidi"/>
      <w:sz w:val="20"/>
      <w:szCs w:val="20"/>
    </w:rPr>
  </w:style>
  <w:style w:type="paragraph" w:styleId="Bibliography">
    <w:name w:val="Bibliography"/>
    <w:basedOn w:val="Normal"/>
    <w:qFormat/>
    <w:pPr>
      <w:tabs>
        <w:tab w:val="left" w:pos="384"/>
      </w:tabs>
      <w:spacing w:line="480" w:lineRule="auto"/>
      <w:ind w:left="384" w:hanging="384"/>
    </w:pPr>
    <w:rPr>
      <w:rFonts w:asciiTheme="minorHAnsi" w:eastAsiaTheme="minorHAnsi" w:hAnsiTheme="minorHAnsi" w:cstheme="minorBidi"/>
    </w:rPr>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pPr>
      <w:spacing w:after="200"/>
    </w:pPr>
    <w:rPr>
      <w:rFonts w:asciiTheme="minorHAnsi" w:eastAsiaTheme="minorHAnsi" w:hAnsiTheme="minorHAnsi" w:cstheme="minorBidi"/>
    </w:rPr>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pPr>
    <w:rPr>
      <w:rFonts w:asciiTheme="minorHAnsi" w:eastAsiaTheme="minorHAnsi" w:hAnsiTheme="minorHAnsi" w:cstheme="minorBidi"/>
      <w:b/>
    </w:rPr>
  </w:style>
  <w:style w:type="paragraph" w:customStyle="1" w:styleId="Definition">
    <w:name w:val="Definition"/>
    <w:basedOn w:val="Normal"/>
    <w:pPr>
      <w:spacing w:after="200"/>
    </w:pPr>
    <w:rPr>
      <w:rFonts w:asciiTheme="minorHAnsi" w:eastAsiaTheme="minorHAnsi" w:hAnsiTheme="minorHAnsi" w:cstheme="minorBidi"/>
    </w:rPr>
  </w:style>
  <w:style w:type="paragraph" w:styleId="Caption">
    <w:name w:val="caption"/>
    <w:basedOn w:val="Normal"/>
    <w:link w:val="CaptionChar"/>
    <w:pPr>
      <w:spacing w:after="120"/>
    </w:pPr>
    <w:rPr>
      <w:rFonts w:asciiTheme="minorHAnsi" w:eastAsiaTheme="minorHAnsi" w:hAnsiTheme="minorHAnsi" w:cstheme="minorBidi"/>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pPr>
      <w:spacing w:after="200"/>
    </w:pPr>
    <w:rPr>
      <w:rFonts w:asciiTheme="minorHAnsi" w:eastAsiaTheme="minorHAnsi" w:hAnsiTheme="minorHAnsi" w:cstheme="minorBidi"/>
    </w:rPr>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spacing w:after="200"/>
    </w:pPr>
    <w:rPr>
      <w:rFonts w:asciiTheme="minorHAnsi" w:eastAsiaTheme="minorHAnsi" w:hAnsiTheme="minorHAnsi" w:cstheme="minorBidi"/>
    </w:r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BalloonText">
    <w:name w:val="Balloon Text"/>
    <w:basedOn w:val="Normal"/>
    <w:link w:val="BalloonTextChar"/>
    <w:semiHidden/>
    <w:unhideWhenUsed/>
    <w:rsid w:val="00E97E7A"/>
    <w:rPr>
      <w:rFonts w:eastAsiaTheme="minorHAnsi"/>
      <w:sz w:val="18"/>
      <w:szCs w:val="18"/>
    </w:rPr>
  </w:style>
  <w:style w:type="character" w:customStyle="1" w:styleId="BalloonTextChar">
    <w:name w:val="Balloon Text Char"/>
    <w:basedOn w:val="DefaultParagraphFont"/>
    <w:link w:val="BalloonText"/>
    <w:semiHidden/>
    <w:rsid w:val="00E97E7A"/>
    <w:rPr>
      <w:rFonts w:ascii="Times New Roman" w:hAnsi="Times New Roman" w:cs="Times New Roman"/>
      <w:sz w:val="18"/>
      <w:szCs w:val="18"/>
    </w:rPr>
  </w:style>
  <w:style w:type="character" w:styleId="CommentReference">
    <w:name w:val="annotation reference"/>
    <w:basedOn w:val="DefaultParagraphFont"/>
    <w:semiHidden/>
    <w:unhideWhenUsed/>
    <w:rsid w:val="00E97E7A"/>
    <w:rPr>
      <w:sz w:val="16"/>
      <w:szCs w:val="16"/>
    </w:rPr>
  </w:style>
  <w:style w:type="paragraph" w:styleId="CommentText">
    <w:name w:val="annotation text"/>
    <w:basedOn w:val="Normal"/>
    <w:link w:val="CommentTextChar"/>
    <w:unhideWhenUsed/>
    <w:rsid w:val="00E97E7A"/>
    <w:pPr>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E97E7A"/>
    <w:rPr>
      <w:sz w:val="20"/>
      <w:szCs w:val="20"/>
    </w:rPr>
  </w:style>
  <w:style w:type="paragraph" w:styleId="CommentSubject">
    <w:name w:val="annotation subject"/>
    <w:basedOn w:val="CommentText"/>
    <w:next w:val="CommentText"/>
    <w:link w:val="CommentSubjectChar"/>
    <w:semiHidden/>
    <w:unhideWhenUsed/>
    <w:rsid w:val="00E97E7A"/>
    <w:rPr>
      <w:b/>
      <w:bCs/>
    </w:rPr>
  </w:style>
  <w:style w:type="character" w:customStyle="1" w:styleId="CommentSubjectChar">
    <w:name w:val="Comment Subject Char"/>
    <w:basedOn w:val="CommentTextChar"/>
    <w:link w:val="CommentSubject"/>
    <w:semiHidden/>
    <w:rsid w:val="00E97E7A"/>
    <w:rPr>
      <w:b/>
      <w:bCs/>
      <w:sz w:val="20"/>
      <w:szCs w:val="20"/>
    </w:rPr>
  </w:style>
  <w:style w:type="character" w:styleId="UnresolvedMention">
    <w:name w:val="Unresolved Mention"/>
    <w:basedOn w:val="DefaultParagraphFont"/>
    <w:uiPriority w:val="99"/>
    <w:semiHidden/>
    <w:unhideWhenUsed/>
    <w:rsid w:val="004B7722"/>
    <w:rPr>
      <w:color w:val="605E5C"/>
      <w:shd w:val="clear" w:color="auto" w:fill="E1DFDD"/>
    </w:rPr>
  </w:style>
  <w:style w:type="paragraph" w:styleId="Revision">
    <w:name w:val="Revision"/>
    <w:hidden/>
    <w:semiHidden/>
    <w:rsid w:val="00280777"/>
    <w:pPr>
      <w:spacing w:after="0"/>
    </w:pPr>
  </w:style>
  <w:style w:type="character" w:customStyle="1" w:styleId="BodyTextChar">
    <w:name w:val="Body Text Char"/>
    <w:basedOn w:val="DefaultParagraphFont"/>
    <w:link w:val="BodyText"/>
    <w:rsid w:val="00F12FA6"/>
    <w:rPr>
      <w:rFonts w:ascii="Times New Roman" w:hAnsi="Times New Roman" w:cs="Times New Roman"/>
    </w:rPr>
  </w:style>
  <w:style w:type="character" w:customStyle="1" w:styleId="Heading2Char">
    <w:name w:val="Heading 2 Char"/>
    <w:basedOn w:val="DefaultParagraphFont"/>
    <w:link w:val="Heading2"/>
    <w:uiPriority w:val="9"/>
    <w:rsid w:val="00825BD7"/>
    <w:rPr>
      <w:rFonts w:ascii="Times New Roman" w:eastAsiaTheme="majorEastAsia" w:hAnsi="Times New Roman" w:cs="Times New Roman"/>
      <w:b/>
      <w:bCs/>
    </w:rPr>
  </w:style>
  <w:style w:type="paragraph" w:styleId="Header">
    <w:name w:val="header"/>
    <w:basedOn w:val="Normal"/>
    <w:link w:val="HeaderChar"/>
    <w:unhideWhenUsed/>
    <w:rsid w:val="00E54D17"/>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rsid w:val="00E54D17"/>
  </w:style>
  <w:style w:type="paragraph" w:styleId="Footer">
    <w:name w:val="footer"/>
    <w:basedOn w:val="Normal"/>
    <w:link w:val="FooterChar"/>
    <w:uiPriority w:val="99"/>
    <w:unhideWhenUsed/>
    <w:rsid w:val="00E54D17"/>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E54D17"/>
  </w:style>
  <w:style w:type="character" w:customStyle="1" w:styleId="Heading1Char">
    <w:name w:val="Heading 1 Char"/>
    <w:basedOn w:val="DefaultParagraphFont"/>
    <w:link w:val="Heading1"/>
    <w:uiPriority w:val="9"/>
    <w:rsid w:val="006556E6"/>
    <w:rPr>
      <w:rFonts w:ascii="Times New Roman" w:eastAsiaTheme="majorEastAsia" w:hAnsi="Times New Roman" w:cs="Times New Roman"/>
      <w:b/>
      <w:bCs/>
    </w:rPr>
  </w:style>
  <w:style w:type="paragraph" w:styleId="ListParagraph">
    <w:name w:val="List Paragraph"/>
    <w:basedOn w:val="Normal"/>
    <w:uiPriority w:val="34"/>
    <w:qFormat/>
    <w:rsid w:val="001660B0"/>
    <w:pPr>
      <w:spacing w:after="200"/>
      <w:ind w:left="720"/>
      <w:contextualSpacing/>
    </w:pPr>
    <w:rPr>
      <w:rFonts w:asciiTheme="minorHAnsi" w:eastAsiaTheme="minorHAnsi" w:hAnsiTheme="minorHAnsi" w:cstheme="minorBidi"/>
    </w:rPr>
  </w:style>
  <w:style w:type="character" w:styleId="FollowedHyperlink">
    <w:name w:val="FollowedHyperlink"/>
    <w:basedOn w:val="DefaultParagraphFont"/>
    <w:semiHidden/>
    <w:unhideWhenUsed/>
    <w:rsid w:val="009B7138"/>
    <w:rPr>
      <w:color w:val="800080" w:themeColor="followedHyperlink"/>
      <w:u w:val="single"/>
    </w:rPr>
  </w:style>
  <w:style w:type="character" w:customStyle="1" w:styleId="Heading3Char">
    <w:name w:val="Heading 3 Char"/>
    <w:basedOn w:val="DefaultParagraphFont"/>
    <w:link w:val="Heading3"/>
    <w:uiPriority w:val="9"/>
    <w:rsid w:val="00E806DE"/>
    <w:rPr>
      <w:rFonts w:ascii="Times New Roman" w:eastAsiaTheme="majorEastAsia" w:hAnsi="Times New Roman" w:cstheme="majorBidi"/>
      <w:szCs w:val="28"/>
      <w:u w:val="single"/>
    </w:rPr>
  </w:style>
  <w:style w:type="paragraph" w:styleId="NormalWeb">
    <w:name w:val="Normal (Web)"/>
    <w:basedOn w:val="Normal"/>
    <w:uiPriority w:val="99"/>
    <w:semiHidden/>
    <w:unhideWhenUsed/>
    <w:rsid w:val="002759EF"/>
    <w:pPr>
      <w:spacing w:before="100" w:beforeAutospacing="1" w:after="100" w:afterAutospacing="1"/>
    </w:pPr>
  </w:style>
  <w:style w:type="paragraph" w:customStyle="1" w:styleId="Authors">
    <w:name w:val="Authors"/>
    <w:basedOn w:val="Normal"/>
    <w:rsid w:val="00184EDF"/>
    <w:pPr>
      <w:spacing w:before="120" w:after="360"/>
      <w:jc w:val="center"/>
    </w:pPr>
  </w:style>
  <w:style w:type="paragraph" w:customStyle="1" w:styleId="Head">
    <w:name w:val="Head"/>
    <w:basedOn w:val="Normal"/>
    <w:rsid w:val="00184EDF"/>
    <w:pPr>
      <w:keepNext/>
      <w:spacing w:before="120" w:after="120"/>
      <w:jc w:val="center"/>
      <w:outlineLvl w:val="0"/>
    </w:pPr>
    <w:rPr>
      <w:b/>
      <w:bCs/>
      <w:kern w:val="28"/>
      <w:sz w:val="28"/>
      <w:szCs w:val="28"/>
    </w:rPr>
  </w:style>
  <w:style w:type="paragraph" w:customStyle="1" w:styleId="BaseText">
    <w:name w:val="Base_Text"/>
    <w:rsid w:val="00E50E00"/>
    <w:pPr>
      <w:spacing w:before="120" w:after="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976004">
      <w:bodyDiv w:val="1"/>
      <w:marLeft w:val="0"/>
      <w:marRight w:val="0"/>
      <w:marTop w:val="0"/>
      <w:marBottom w:val="0"/>
      <w:divBdr>
        <w:top w:val="none" w:sz="0" w:space="0" w:color="auto"/>
        <w:left w:val="none" w:sz="0" w:space="0" w:color="auto"/>
        <w:bottom w:val="none" w:sz="0" w:space="0" w:color="auto"/>
        <w:right w:val="none" w:sz="0" w:space="0" w:color="auto"/>
      </w:divBdr>
      <w:divsChild>
        <w:div w:id="1961379992">
          <w:marLeft w:val="480"/>
          <w:marRight w:val="0"/>
          <w:marTop w:val="0"/>
          <w:marBottom w:val="0"/>
          <w:divBdr>
            <w:top w:val="none" w:sz="0" w:space="0" w:color="auto"/>
            <w:left w:val="none" w:sz="0" w:space="0" w:color="auto"/>
            <w:bottom w:val="none" w:sz="0" w:space="0" w:color="auto"/>
            <w:right w:val="none" w:sz="0" w:space="0" w:color="auto"/>
          </w:divBdr>
          <w:divsChild>
            <w:div w:id="103712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42477">
      <w:bodyDiv w:val="1"/>
      <w:marLeft w:val="0"/>
      <w:marRight w:val="0"/>
      <w:marTop w:val="0"/>
      <w:marBottom w:val="0"/>
      <w:divBdr>
        <w:top w:val="none" w:sz="0" w:space="0" w:color="auto"/>
        <w:left w:val="none" w:sz="0" w:space="0" w:color="auto"/>
        <w:bottom w:val="none" w:sz="0" w:space="0" w:color="auto"/>
        <w:right w:val="none" w:sz="0" w:space="0" w:color="auto"/>
      </w:divBdr>
      <w:divsChild>
        <w:div w:id="1144197158">
          <w:marLeft w:val="480"/>
          <w:marRight w:val="0"/>
          <w:marTop w:val="0"/>
          <w:marBottom w:val="0"/>
          <w:divBdr>
            <w:top w:val="none" w:sz="0" w:space="0" w:color="auto"/>
            <w:left w:val="none" w:sz="0" w:space="0" w:color="auto"/>
            <w:bottom w:val="none" w:sz="0" w:space="0" w:color="auto"/>
            <w:right w:val="none" w:sz="0" w:space="0" w:color="auto"/>
          </w:divBdr>
          <w:divsChild>
            <w:div w:id="10331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683854">
      <w:bodyDiv w:val="1"/>
      <w:marLeft w:val="0"/>
      <w:marRight w:val="0"/>
      <w:marTop w:val="0"/>
      <w:marBottom w:val="0"/>
      <w:divBdr>
        <w:top w:val="none" w:sz="0" w:space="0" w:color="auto"/>
        <w:left w:val="none" w:sz="0" w:space="0" w:color="auto"/>
        <w:bottom w:val="none" w:sz="0" w:space="0" w:color="auto"/>
        <w:right w:val="none" w:sz="0" w:space="0" w:color="auto"/>
      </w:divBdr>
      <w:divsChild>
        <w:div w:id="478112646">
          <w:marLeft w:val="480"/>
          <w:marRight w:val="0"/>
          <w:marTop w:val="0"/>
          <w:marBottom w:val="0"/>
          <w:divBdr>
            <w:top w:val="none" w:sz="0" w:space="0" w:color="auto"/>
            <w:left w:val="none" w:sz="0" w:space="0" w:color="auto"/>
            <w:bottom w:val="none" w:sz="0" w:space="0" w:color="auto"/>
            <w:right w:val="none" w:sz="0" w:space="0" w:color="auto"/>
          </w:divBdr>
          <w:divsChild>
            <w:div w:id="162419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228718">
      <w:bodyDiv w:val="1"/>
      <w:marLeft w:val="0"/>
      <w:marRight w:val="0"/>
      <w:marTop w:val="0"/>
      <w:marBottom w:val="0"/>
      <w:divBdr>
        <w:top w:val="none" w:sz="0" w:space="0" w:color="auto"/>
        <w:left w:val="none" w:sz="0" w:space="0" w:color="auto"/>
        <w:bottom w:val="none" w:sz="0" w:space="0" w:color="auto"/>
        <w:right w:val="none" w:sz="0" w:space="0" w:color="auto"/>
      </w:divBdr>
    </w:div>
    <w:div w:id="796528039">
      <w:bodyDiv w:val="1"/>
      <w:marLeft w:val="0"/>
      <w:marRight w:val="0"/>
      <w:marTop w:val="0"/>
      <w:marBottom w:val="0"/>
      <w:divBdr>
        <w:top w:val="none" w:sz="0" w:space="0" w:color="auto"/>
        <w:left w:val="none" w:sz="0" w:space="0" w:color="auto"/>
        <w:bottom w:val="none" w:sz="0" w:space="0" w:color="auto"/>
        <w:right w:val="none" w:sz="0" w:space="0" w:color="auto"/>
      </w:divBdr>
      <w:divsChild>
        <w:div w:id="1771929443">
          <w:marLeft w:val="480"/>
          <w:marRight w:val="0"/>
          <w:marTop w:val="0"/>
          <w:marBottom w:val="0"/>
          <w:divBdr>
            <w:top w:val="none" w:sz="0" w:space="0" w:color="auto"/>
            <w:left w:val="none" w:sz="0" w:space="0" w:color="auto"/>
            <w:bottom w:val="none" w:sz="0" w:space="0" w:color="auto"/>
            <w:right w:val="none" w:sz="0" w:space="0" w:color="auto"/>
          </w:divBdr>
          <w:divsChild>
            <w:div w:id="144337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250269">
      <w:bodyDiv w:val="1"/>
      <w:marLeft w:val="0"/>
      <w:marRight w:val="0"/>
      <w:marTop w:val="0"/>
      <w:marBottom w:val="0"/>
      <w:divBdr>
        <w:top w:val="none" w:sz="0" w:space="0" w:color="auto"/>
        <w:left w:val="none" w:sz="0" w:space="0" w:color="auto"/>
        <w:bottom w:val="none" w:sz="0" w:space="0" w:color="auto"/>
        <w:right w:val="none" w:sz="0" w:space="0" w:color="auto"/>
      </w:divBdr>
      <w:divsChild>
        <w:div w:id="1461609674">
          <w:marLeft w:val="0"/>
          <w:marRight w:val="0"/>
          <w:marTop w:val="0"/>
          <w:marBottom w:val="0"/>
          <w:divBdr>
            <w:top w:val="none" w:sz="0" w:space="0" w:color="auto"/>
            <w:left w:val="none" w:sz="0" w:space="0" w:color="auto"/>
            <w:bottom w:val="none" w:sz="0" w:space="0" w:color="auto"/>
            <w:right w:val="none" w:sz="0" w:space="0" w:color="auto"/>
          </w:divBdr>
          <w:divsChild>
            <w:div w:id="351498370">
              <w:marLeft w:val="0"/>
              <w:marRight w:val="0"/>
              <w:marTop w:val="0"/>
              <w:marBottom w:val="0"/>
              <w:divBdr>
                <w:top w:val="none" w:sz="0" w:space="0" w:color="auto"/>
                <w:left w:val="none" w:sz="0" w:space="0" w:color="auto"/>
                <w:bottom w:val="none" w:sz="0" w:space="0" w:color="auto"/>
                <w:right w:val="none" w:sz="0" w:space="0" w:color="auto"/>
              </w:divBdr>
              <w:divsChild>
                <w:div w:id="141559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525266">
      <w:bodyDiv w:val="1"/>
      <w:marLeft w:val="0"/>
      <w:marRight w:val="0"/>
      <w:marTop w:val="0"/>
      <w:marBottom w:val="0"/>
      <w:divBdr>
        <w:top w:val="none" w:sz="0" w:space="0" w:color="auto"/>
        <w:left w:val="none" w:sz="0" w:space="0" w:color="auto"/>
        <w:bottom w:val="none" w:sz="0" w:space="0" w:color="auto"/>
        <w:right w:val="none" w:sz="0" w:space="0" w:color="auto"/>
      </w:divBdr>
      <w:divsChild>
        <w:div w:id="684988929">
          <w:marLeft w:val="480"/>
          <w:marRight w:val="0"/>
          <w:marTop w:val="0"/>
          <w:marBottom w:val="0"/>
          <w:divBdr>
            <w:top w:val="none" w:sz="0" w:space="0" w:color="auto"/>
            <w:left w:val="none" w:sz="0" w:space="0" w:color="auto"/>
            <w:bottom w:val="none" w:sz="0" w:space="0" w:color="auto"/>
            <w:right w:val="none" w:sz="0" w:space="0" w:color="auto"/>
          </w:divBdr>
          <w:divsChild>
            <w:div w:id="41736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661709">
      <w:bodyDiv w:val="1"/>
      <w:marLeft w:val="0"/>
      <w:marRight w:val="0"/>
      <w:marTop w:val="0"/>
      <w:marBottom w:val="0"/>
      <w:divBdr>
        <w:top w:val="none" w:sz="0" w:space="0" w:color="auto"/>
        <w:left w:val="none" w:sz="0" w:space="0" w:color="auto"/>
        <w:bottom w:val="none" w:sz="0" w:space="0" w:color="auto"/>
        <w:right w:val="none" w:sz="0" w:space="0" w:color="auto"/>
      </w:divBdr>
      <w:divsChild>
        <w:div w:id="2018580283">
          <w:marLeft w:val="480"/>
          <w:marRight w:val="0"/>
          <w:marTop w:val="0"/>
          <w:marBottom w:val="0"/>
          <w:divBdr>
            <w:top w:val="none" w:sz="0" w:space="0" w:color="auto"/>
            <w:left w:val="none" w:sz="0" w:space="0" w:color="auto"/>
            <w:bottom w:val="none" w:sz="0" w:space="0" w:color="auto"/>
            <w:right w:val="none" w:sz="0" w:space="0" w:color="auto"/>
          </w:divBdr>
          <w:divsChild>
            <w:div w:id="145918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135765">
      <w:bodyDiv w:val="1"/>
      <w:marLeft w:val="0"/>
      <w:marRight w:val="0"/>
      <w:marTop w:val="0"/>
      <w:marBottom w:val="0"/>
      <w:divBdr>
        <w:top w:val="none" w:sz="0" w:space="0" w:color="auto"/>
        <w:left w:val="none" w:sz="0" w:space="0" w:color="auto"/>
        <w:bottom w:val="none" w:sz="0" w:space="0" w:color="auto"/>
        <w:right w:val="none" w:sz="0" w:space="0" w:color="auto"/>
      </w:divBdr>
      <w:divsChild>
        <w:div w:id="1464691548">
          <w:marLeft w:val="480"/>
          <w:marRight w:val="0"/>
          <w:marTop w:val="0"/>
          <w:marBottom w:val="0"/>
          <w:divBdr>
            <w:top w:val="none" w:sz="0" w:space="0" w:color="auto"/>
            <w:left w:val="none" w:sz="0" w:space="0" w:color="auto"/>
            <w:bottom w:val="none" w:sz="0" w:space="0" w:color="auto"/>
            <w:right w:val="none" w:sz="0" w:space="0" w:color="auto"/>
          </w:divBdr>
          <w:divsChild>
            <w:div w:id="181148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74840">
      <w:bodyDiv w:val="1"/>
      <w:marLeft w:val="0"/>
      <w:marRight w:val="0"/>
      <w:marTop w:val="0"/>
      <w:marBottom w:val="0"/>
      <w:divBdr>
        <w:top w:val="none" w:sz="0" w:space="0" w:color="auto"/>
        <w:left w:val="none" w:sz="0" w:space="0" w:color="auto"/>
        <w:bottom w:val="none" w:sz="0" w:space="0" w:color="auto"/>
        <w:right w:val="none" w:sz="0" w:space="0" w:color="auto"/>
      </w:divBdr>
    </w:div>
    <w:div w:id="1393306933">
      <w:bodyDiv w:val="1"/>
      <w:marLeft w:val="0"/>
      <w:marRight w:val="0"/>
      <w:marTop w:val="0"/>
      <w:marBottom w:val="0"/>
      <w:divBdr>
        <w:top w:val="none" w:sz="0" w:space="0" w:color="auto"/>
        <w:left w:val="none" w:sz="0" w:space="0" w:color="auto"/>
        <w:bottom w:val="none" w:sz="0" w:space="0" w:color="auto"/>
        <w:right w:val="none" w:sz="0" w:space="0" w:color="auto"/>
      </w:divBdr>
      <w:divsChild>
        <w:div w:id="1102645190">
          <w:marLeft w:val="480"/>
          <w:marRight w:val="0"/>
          <w:marTop w:val="0"/>
          <w:marBottom w:val="0"/>
          <w:divBdr>
            <w:top w:val="none" w:sz="0" w:space="0" w:color="auto"/>
            <w:left w:val="none" w:sz="0" w:space="0" w:color="auto"/>
            <w:bottom w:val="none" w:sz="0" w:space="0" w:color="auto"/>
            <w:right w:val="none" w:sz="0" w:space="0" w:color="auto"/>
          </w:divBdr>
          <w:divsChild>
            <w:div w:id="183856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701294">
      <w:bodyDiv w:val="1"/>
      <w:marLeft w:val="0"/>
      <w:marRight w:val="0"/>
      <w:marTop w:val="0"/>
      <w:marBottom w:val="0"/>
      <w:divBdr>
        <w:top w:val="none" w:sz="0" w:space="0" w:color="auto"/>
        <w:left w:val="none" w:sz="0" w:space="0" w:color="auto"/>
        <w:bottom w:val="none" w:sz="0" w:space="0" w:color="auto"/>
        <w:right w:val="none" w:sz="0" w:space="0" w:color="auto"/>
      </w:divBdr>
      <w:divsChild>
        <w:div w:id="798034423">
          <w:marLeft w:val="480"/>
          <w:marRight w:val="0"/>
          <w:marTop w:val="0"/>
          <w:marBottom w:val="0"/>
          <w:divBdr>
            <w:top w:val="none" w:sz="0" w:space="0" w:color="auto"/>
            <w:left w:val="none" w:sz="0" w:space="0" w:color="auto"/>
            <w:bottom w:val="none" w:sz="0" w:space="0" w:color="auto"/>
            <w:right w:val="none" w:sz="0" w:space="0" w:color="auto"/>
          </w:divBdr>
          <w:divsChild>
            <w:div w:id="76697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783157">
      <w:bodyDiv w:val="1"/>
      <w:marLeft w:val="0"/>
      <w:marRight w:val="0"/>
      <w:marTop w:val="0"/>
      <w:marBottom w:val="0"/>
      <w:divBdr>
        <w:top w:val="none" w:sz="0" w:space="0" w:color="auto"/>
        <w:left w:val="none" w:sz="0" w:space="0" w:color="auto"/>
        <w:bottom w:val="none" w:sz="0" w:space="0" w:color="auto"/>
        <w:right w:val="none" w:sz="0" w:space="0" w:color="auto"/>
      </w:divBdr>
      <w:divsChild>
        <w:div w:id="163513163">
          <w:marLeft w:val="0"/>
          <w:marRight w:val="0"/>
          <w:marTop w:val="0"/>
          <w:marBottom w:val="0"/>
          <w:divBdr>
            <w:top w:val="none" w:sz="0" w:space="0" w:color="auto"/>
            <w:left w:val="none" w:sz="0" w:space="0" w:color="auto"/>
            <w:bottom w:val="none" w:sz="0" w:space="0" w:color="auto"/>
            <w:right w:val="none" w:sz="0" w:space="0" w:color="auto"/>
          </w:divBdr>
          <w:divsChild>
            <w:div w:id="815993063">
              <w:marLeft w:val="0"/>
              <w:marRight w:val="0"/>
              <w:marTop w:val="0"/>
              <w:marBottom w:val="0"/>
              <w:divBdr>
                <w:top w:val="none" w:sz="0" w:space="0" w:color="auto"/>
                <w:left w:val="none" w:sz="0" w:space="0" w:color="auto"/>
                <w:bottom w:val="none" w:sz="0" w:space="0" w:color="auto"/>
                <w:right w:val="none" w:sz="0" w:space="0" w:color="auto"/>
              </w:divBdr>
              <w:divsChild>
                <w:div w:id="903101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912804">
      <w:bodyDiv w:val="1"/>
      <w:marLeft w:val="0"/>
      <w:marRight w:val="0"/>
      <w:marTop w:val="0"/>
      <w:marBottom w:val="0"/>
      <w:divBdr>
        <w:top w:val="none" w:sz="0" w:space="0" w:color="auto"/>
        <w:left w:val="none" w:sz="0" w:space="0" w:color="auto"/>
        <w:bottom w:val="none" w:sz="0" w:space="0" w:color="auto"/>
        <w:right w:val="none" w:sz="0" w:space="0" w:color="auto"/>
      </w:divBdr>
    </w:div>
    <w:div w:id="1745910221">
      <w:bodyDiv w:val="1"/>
      <w:marLeft w:val="0"/>
      <w:marRight w:val="0"/>
      <w:marTop w:val="0"/>
      <w:marBottom w:val="0"/>
      <w:divBdr>
        <w:top w:val="none" w:sz="0" w:space="0" w:color="auto"/>
        <w:left w:val="none" w:sz="0" w:space="0" w:color="auto"/>
        <w:bottom w:val="none" w:sz="0" w:space="0" w:color="auto"/>
        <w:right w:val="none" w:sz="0" w:space="0" w:color="auto"/>
      </w:divBdr>
      <w:divsChild>
        <w:div w:id="514537515">
          <w:marLeft w:val="480"/>
          <w:marRight w:val="0"/>
          <w:marTop w:val="0"/>
          <w:marBottom w:val="0"/>
          <w:divBdr>
            <w:top w:val="none" w:sz="0" w:space="0" w:color="auto"/>
            <w:left w:val="none" w:sz="0" w:space="0" w:color="auto"/>
            <w:bottom w:val="none" w:sz="0" w:space="0" w:color="auto"/>
            <w:right w:val="none" w:sz="0" w:space="0" w:color="auto"/>
          </w:divBdr>
          <w:divsChild>
            <w:div w:id="128542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490565">
      <w:bodyDiv w:val="1"/>
      <w:marLeft w:val="0"/>
      <w:marRight w:val="0"/>
      <w:marTop w:val="0"/>
      <w:marBottom w:val="0"/>
      <w:divBdr>
        <w:top w:val="none" w:sz="0" w:space="0" w:color="auto"/>
        <w:left w:val="none" w:sz="0" w:space="0" w:color="auto"/>
        <w:bottom w:val="none" w:sz="0" w:space="0" w:color="auto"/>
        <w:right w:val="none" w:sz="0" w:space="0" w:color="auto"/>
      </w:divBdr>
      <w:divsChild>
        <w:div w:id="1368019173">
          <w:marLeft w:val="480"/>
          <w:marRight w:val="0"/>
          <w:marTop w:val="0"/>
          <w:marBottom w:val="0"/>
          <w:divBdr>
            <w:top w:val="none" w:sz="0" w:space="0" w:color="auto"/>
            <w:left w:val="none" w:sz="0" w:space="0" w:color="auto"/>
            <w:bottom w:val="none" w:sz="0" w:space="0" w:color="auto"/>
            <w:right w:val="none" w:sz="0" w:space="0" w:color="auto"/>
          </w:divBdr>
          <w:divsChild>
            <w:div w:id="207435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686561">
      <w:bodyDiv w:val="1"/>
      <w:marLeft w:val="0"/>
      <w:marRight w:val="0"/>
      <w:marTop w:val="0"/>
      <w:marBottom w:val="0"/>
      <w:divBdr>
        <w:top w:val="none" w:sz="0" w:space="0" w:color="auto"/>
        <w:left w:val="none" w:sz="0" w:space="0" w:color="auto"/>
        <w:bottom w:val="none" w:sz="0" w:space="0" w:color="auto"/>
        <w:right w:val="none" w:sz="0" w:space="0" w:color="auto"/>
      </w:divBdr>
    </w:div>
    <w:div w:id="1934781290">
      <w:bodyDiv w:val="1"/>
      <w:marLeft w:val="0"/>
      <w:marRight w:val="0"/>
      <w:marTop w:val="0"/>
      <w:marBottom w:val="0"/>
      <w:divBdr>
        <w:top w:val="none" w:sz="0" w:space="0" w:color="auto"/>
        <w:left w:val="none" w:sz="0" w:space="0" w:color="auto"/>
        <w:bottom w:val="none" w:sz="0" w:space="0" w:color="auto"/>
        <w:right w:val="none" w:sz="0" w:space="0" w:color="auto"/>
      </w:divBdr>
      <w:divsChild>
        <w:div w:id="1542939014">
          <w:marLeft w:val="480"/>
          <w:marRight w:val="0"/>
          <w:marTop w:val="0"/>
          <w:marBottom w:val="0"/>
          <w:divBdr>
            <w:top w:val="none" w:sz="0" w:space="0" w:color="auto"/>
            <w:left w:val="none" w:sz="0" w:space="0" w:color="auto"/>
            <w:bottom w:val="none" w:sz="0" w:space="0" w:color="auto"/>
            <w:right w:val="none" w:sz="0" w:space="0" w:color="auto"/>
          </w:divBdr>
          <w:divsChild>
            <w:div w:id="65464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205456">
      <w:bodyDiv w:val="1"/>
      <w:marLeft w:val="0"/>
      <w:marRight w:val="0"/>
      <w:marTop w:val="0"/>
      <w:marBottom w:val="0"/>
      <w:divBdr>
        <w:top w:val="none" w:sz="0" w:space="0" w:color="auto"/>
        <w:left w:val="none" w:sz="0" w:space="0" w:color="auto"/>
        <w:bottom w:val="none" w:sz="0" w:space="0" w:color="auto"/>
        <w:right w:val="none" w:sz="0" w:space="0" w:color="auto"/>
      </w:divBdr>
      <w:divsChild>
        <w:div w:id="1785493519">
          <w:marLeft w:val="480"/>
          <w:marRight w:val="0"/>
          <w:marTop w:val="0"/>
          <w:marBottom w:val="0"/>
          <w:divBdr>
            <w:top w:val="none" w:sz="0" w:space="0" w:color="auto"/>
            <w:left w:val="none" w:sz="0" w:space="0" w:color="auto"/>
            <w:bottom w:val="none" w:sz="0" w:space="0" w:color="auto"/>
            <w:right w:val="none" w:sz="0" w:space="0" w:color="auto"/>
          </w:divBdr>
          <w:divsChild>
            <w:div w:id="50000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8366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sv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sv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svg"/><Relationship Id="rId25" Type="http://schemas.openxmlformats.org/officeDocument/2006/relationships/image" Target="media/image18.sv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svg"/><Relationship Id="rId23" Type="http://schemas.openxmlformats.org/officeDocument/2006/relationships/image" Target="media/image16.sv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sv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5A735C-24C6-4EB2-98C4-27935D3AD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10827</Words>
  <Characters>61717</Characters>
  <Application>Microsoft Office Word</Application>
  <DocSecurity>0</DocSecurity>
  <Lines>514</Lines>
  <Paragraphs>144</Paragraphs>
  <ScaleCrop>false</ScaleCrop>
  <HeadingPairs>
    <vt:vector size="2" baseType="variant">
      <vt:variant>
        <vt:lpstr>Title</vt:lpstr>
      </vt:variant>
      <vt:variant>
        <vt:i4>1</vt:i4>
      </vt:variant>
    </vt:vector>
  </HeadingPairs>
  <TitlesOfParts>
    <vt:vector size="1" baseType="lpstr">
      <vt:lpstr>Lack of Ambition, Not Leakage, is What Can Make Brazil’s Soybean Supply-Chain Zero Deforestation Commitments Ineffective</vt:lpstr>
    </vt:vector>
  </TitlesOfParts>
  <Company/>
  <LinksUpToDate>false</LinksUpToDate>
  <CharactersWithSpaces>72400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Lack of Ambition, Not Leakage, is What Can Make Brazil’s Soybean Supply-Chain Zero Deforestation Commitments Ineffective</dc:title>
  <dc:subject/>
  <dc:creator>Nelson Villoria, Rachael Garrett, Kim Carlson, Florian Gollnow</dc:creator>
  <cp:keywords/>
  <dc:description/>
  <cp:lastModifiedBy>Nelson Villoria</cp:lastModifiedBy>
  <cp:revision>4</cp:revision>
  <cp:lastPrinted>2021-09-10T21:10:00Z</cp:lastPrinted>
  <dcterms:created xsi:type="dcterms:W3CDTF">2021-11-30T18:30:00Z</dcterms:created>
  <dcterms:modified xsi:type="dcterms:W3CDTF">2021-11-30T21:15:00Z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references.bib</vt:lpwstr>
  </property>
  <property fmtid="{D5CDD505-2E9C-101B-9397-08002B2CF9AE}" pid="3" name="cache">
    <vt:lpwstr>True</vt:lpwstr>
  </property>
  <property fmtid="{D5CDD505-2E9C-101B-9397-08002B2CF9AE}" pid="4" name="date">
    <vt:lpwstr>31 December, 2020</vt:lpwstr>
  </property>
  <property fmtid="{D5CDD505-2E9C-101B-9397-08002B2CF9AE}" pid="5" name="output">
    <vt:lpwstr/>
  </property>
  <property fmtid="{D5CDD505-2E9C-101B-9397-08002B2CF9AE}" pid="6" name="ZOTERO_PREF_1">
    <vt:lpwstr>&lt;data data-version="3" zotero-version="5.0.96.3"&gt;&lt;session id="lhpCwbBI"/&gt;&lt;style id="http://www.zotero.org/styles/nature" hasBibliography="1" bibliographyStyleHasBeenSet="1"/&gt;&lt;prefs&gt;&lt;pref name="fieldType" value="Field"/&gt;&lt;/prefs&gt;&lt;/data&gt;</vt:lpwstr>
  </property>
</Properties>
</file>