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b w:val="0"/>
          <w:i w:val="0"/>
        </w:rPr>
        <w:t>TRIPOD Checklist</w:t>
      </w:r>
    </w:p>
    <w:p>
      <w:pPr>
        <w:spacing w:after="120"/>
        <w:jc w:val="both"/>
      </w:pPr>
      <w:r>
        <w:rPr>
          <w:b/>
          <w:i w:val="0"/>
        </w:rPr>
        <w:t>Manuscript:</w:t>
      </w:r>
      <w:r>
        <w:rPr>
          <w:b w:val="0"/>
          <w:i w:val="0"/>
        </w:rPr>
        <w:t xml:space="preserve"> A three-gene expression score is equivalent to a 25-gene panel as an independent prognostic factor in clear cell renal cell carcinoma</w:t>
      </w:r>
    </w:p>
    <w:p>
      <w:pPr>
        <w:spacing w:after="120"/>
        <w:jc w:val="both"/>
      </w:pPr>
      <w:r>
        <w:rPr>
          <w:b/>
          <w:i w:val="0"/>
        </w:rPr>
        <w:t>Version:</w:t>
      </w:r>
      <w:r>
        <w:rPr>
          <w:b w:val="0"/>
          <w:i w:val="0"/>
        </w:rPr>
        <w:t xml:space="preserve"> CTO v1.0 (2026-10-08)　</w:t>
      </w:r>
      <w:r>
        <w:rPr>
          <w:b/>
          <w:i w:val="0"/>
        </w:rPr>
        <w:t>Item source:</w:t>
      </w:r>
      <w:r>
        <w:rPr>
          <w:b w:val="0"/>
          <w:i w:val="0"/>
        </w:rPr>
        <w:t xml:space="preserve"> TRIPOD 2015 official checklist (Prediction Model Development and Validation, 22 items)</w:t>
      </w:r>
    </w:p>
    <w:p>
      <w:pPr>
        <w:spacing w:after="120"/>
        <w:jc w:val="both"/>
      </w:pPr>
      <w:r>
        <w:rPr>
          <w:b/>
          <w:i w:val="0"/>
        </w:rPr>
        <w:t>This checklist points into the CTO-format manuscript</w:t>
      </w:r>
      <w:r>
        <w:rPr>
          <w:b w:val="0"/>
          <w:i w:val="0"/>
        </w:rPr>
        <w:t xml:space="preserve"> (</w:t>
      </w:r>
      <w:r>
        <w:rPr>
          <w:rFonts w:ascii="Consolas" w:hAnsi="Consolas" w:eastAsia="Consolas"/>
          <w:b w:val="0"/>
          <w:i w:val="0"/>
        </w:rPr>
        <w:t>Manuscript_CTO_v1.0.md</w:t>
      </w:r>
      <w:r>
        <w:rPr>
          <w:b w:val="0"/>
          <w:i w:val="0"/>
        </w:rPr>
        <w:t>, Research Article). Section numbers are the CTO manuscript's own: Methods 2.1–2.7, Results 3.1–3.8. Where the full report numbers a section differently the CTO number is given and only the CTO number is used.</w:t>
      </w:r>
    </w:p>
    <w:p>
      <w:pPr>
        <w:spacing w:after="120"/>
        <w:jc w:val="both"/>
      </w:pPr>
      <w:r>
        <w:rPr>
          <w:b/>
          <w:i w:val="0"/>
        </w:rPr>
        <w:t>Type:</w:t>
      </w:r>
      <w:r>
        <w:rPr>
          <w:b w:val="0"/>
          <w:i w:val="0"/>
        </w:rPr>
        <w:t xml:space="preserve"> </w:t>
      </w:r>
      <w:r>
        <w:rPr>
          <w:b/>
          <w:i w:val="0"/>
        </w:rPr>
        <w:t>D</w:t>
      </w:r>
      <w:r>
        <w:rPr>
          <w:b w:val="0"/>
          <w:i w:val="0"/>
        </w:rPr>
        <w:t xml:space="preserve"> = applies to model development only; </w:t>
      </w:r>
      <w:r>
        <w:rPr>
          <w:b/>
          <w:i w:val="0"/>
        </w:rPr>
        <w:t>V</w:t>
      </w:r>
      <w:r>
        <w:rPr>
          <w:b w:val="0"/>
          <w:i w:val="0"/>
        </w:rPr>
        <w:t xml:space="preserve"> = applies to model validation only; </w:t>
      </w:r>
      <w:r>
        <w:rPr>
          <w:b/>
          <w:i w:val="0"/>
        </w:rPr>
        <w:t>D;V</w:t>
      </w:r>
      <w:r>
        <w:rPr>
          <w:b w:val="0"/>
          <w:i w:val="0"/>
        </w:rPr>
        <w:t xml:space="preserve"> = applies to both</w:t>
      </w:r>
    </w:p>
    <w:p>
      <w:pPr>
        <w:spacing w:after="120"/>
        <w:jc w:val="both"/>
      </w:pPr>
      <w:r>
        <w:rPr>
          <w:b/>
          <w:i w:val="0"/>
        </w:rPr>
        <w:t>How this table is filled in:</w:t>
      </w:r>
      <w:r>
        <w:rPr>
          <w:b w:val="0"/>
          <w:i w:val="0"/>
        </w:rPr>
        <w:t xml:space="preserve"> each item gives its location in the manuscript. Anything not done is reported as not done rather than glossed over as "not applicable"; every "partly met" states which part is missing.</w:t>
      </w:r>
    </w:p>
    <w:tbl>
      <w:tblPr>
        <w:tblStyle w:val="TableGrid"/>
        <w:tblW w:type="auto" w:w="0"/>
        <w:jc w:val="center"/>
        <w:tblLook w:firstColumn="1" w:firstRow="1" w:lastColumn="0" w:lastRow="0" w:noHBand="0" w:noVBand="1" w:val="04A0"/>
      </w:tblPr>
      <w:tblGrid>
        <w:gridCol w:w="1624"/>
        <w:gridCol w:w="1624"/>
        <w:gridCol w:w="1624"/>
        <w:gridCol w:w="1624"/>
        <w:gridCol w:w="1624"/>
        <w:gridCol w:w="1624"/>
      </w:tblGrid>
      <w:tr>
        <w:tc>
          <w:tcPr>
            <w:tcW w:type="dxa" w:w="1624"/>
          </w:tcPr>
          <w:p>
            <w:pPr>
              <w:jc w:val="center"/>
            </w:pPr>
            <w:r/>
            <w:r>
              <w:rPr>
                <w:b/>
                <w:i w:val="0"/>
                <w:sz w:val="18"/>
              </w:rPr>
              <w:t>Section</w:t>
            </w:r>
          </w:p>
        </w:tc>
        <w:tc>
          <w:tcPr>
            <w:tcW w:type="dxa" w:w="1624"/>
          </w:tcPr>
          <w:p>
            <w:pPr>
              <w:jc w:val="center"/>
            </w:pPr>
            <w:r/>
            <w:r>
              <w:rPr>
                <w:b/>
                <w:i w:val="0"/>
                <w:sz w:val="18"/>
              </w:rPr>
              <w:t>Item</w:t>
            </w:r>
          </w:p>
        </w:tc>
        <w:tc>
          <w:tcPr>
            <w:tcW w:type="dxa" w:w="1624"/>
          </w:tcPr>
          <w:p>
            <w:pPr>
              <w:jc w:val="center"/>
            </w:pPr>
            <w:r/>
            <w:r>
              <w:rPr>
                <w:b/>
                <w:i w:val="0"/>
                <w:sz w:val="18"/>
              </w:rPr>
              <w:t>Type</w:t>
            </w:r>
          </w:p>
        </w:tc>
        <w:tc>
          <w:tcPr>
            <w:tcW w:type="dxa" w:w="1624"/>
          </w:tcPr>
          <w:p>
            <w:pPr>
              <w:jc w:val="center"/>
            </w:pPr>
            <w:r/>
            <w:r>
              <w:rPr>
                <w:b/>
                <w:i w:val="0"/>
                <w:sz w:val="18"/>
              </w:rPr>
              <w:t>Checklist requirement (TRIPOD 2015 wording)</w:t>
            </w:r>
          </w:p>
        </w:tc>
        <w:tc>
          <w:tcPr>
            <w:tcW w:type="dxa" w:w="1624"/>
          </w:tcPr>
          <w:p>
            <w:pPr>
              <w:jc w:val="center"/>
            </w:pPr>
            <w:r/>
            <w:r>
              <w:rPr>
                <w:b/>
                <w:i w:val="0"/>
                <w:sz w:val="18"/>
              </w:rPr>
              <w:t>Location in this manuscript</w:t>
            </w:r>
          </w:p>
        </w:tc>
        <w:tc>
          <w:tcPr>
            <w:tcW w:type="dxa" w:w="1624"/>
          </w:tcPr>
          <w:p>
            <w:pPr>
              <w:jc w:val="center"/>
            </w:pPr>
            <w:r/>
            <w:r>
              <w:rPr>
                <w:b/>
                <w:i w:val="0"/>
                <w:sz w:val="18"/>
              </w:rPr>
              <w:t>Assessment</w:t>
            </w:r>
          </w:p>
        </w:tc>
      </w:tr>
      <w:tr>
        <w:tc>
          <w:tcPr>
            <w:tcW w:type="dxa" w:w="1624"/>
          </w:tcPr>
          <w:p>
            <w:pPr>
              <w:jc w:val="center"/>
            </w:pPr>
            <w:r>
              <w:rPr>
                <w:sz w:val="18"/>
              </w:rPr>
            </w:r>
            <w:r>
              <w:rPr>
                <w:b w:val="0"/>
                <w:i w:val="0"/>
                <w:sz w:val="18"/>
              </w:rPr>
              <w:t>Title and abstract</w:t>
            </w:r>
          </w:p>
        </w:tc>
        <w:tc>
          <w:tcPr>
            <w:tcW w:type="dxa" w:w="1624"/>
          </w:tcPr>
          <w:p>
            <w:pPr>
              <w:jc w:val="center"/>
            </w:pPr>
            <w:r>
              <w:rPr>
                <w:sz w:val="18"/>
              </w:rPr>
            </w:r>
            <w:r>
              <w:rPr>
                <w:b w:val="0"/>
                <w:i w:val="0"/>
                <w:sz w:val="18"/>
              </w:rPr>
              <w:t>1</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Identify the study as developing and/or validating a multivariable prediction model, the target population, and the outcome to be predicted.</w:t>
            </w:r>
          </w:p>
        </w:tc>
        <w:tc>
          <w:tcPr>
            <w:tcW w:type="dxa" w:w="1624"/>
          </w:tcPr>
          <w:p>
            <w:pPr>
              <w:jc w:val="center"/>
            </w:pPr>
            <w:r>
              <w:rPr>
                <w:sz w:val="18"/>
              </w:rPr>
            </w:r>
            <w:r>
              <w:rPr>
                <w:b w:val="0"/>
                <w:i w:val="0"/>
                <w:sz w:val="18"/>
              </w:rPr>
              <w:t>Title (target population: clear cell renal cell carcinoma; outcome: prognostic / overall survival); the development-plus-external-validation design is stated in the Abstract under "Methods" and at the end of Introduction §1</w:t>
            </w:r>
          </w:p>
        </w:tc>
        <w:tc>
          <w:tcPr>
            <w:tcW w:type="dxa" w:w="1624"/>
          </w:tcPr>
          <w:p>
            <w:pPr>
              <w:jc w:val="center"/>
            </w:pPr>
            <w:r>
              <w:rPr>
                <w:sz w:val="18"/>
              </w:rPr>
            </w:r>
            <w:r>
              <w:rPr>
                <w:b/>
                <w:i w:val="0"/>
                <w:sz w:val="18"/>
              </w:rPr>
              <w:t>Partly</w:t>
            </w:r>
            <w:r>
              <w:rPr>
                <w:b w:val="0"/>
                <w:i w:val="0"/>
                <w:sz w:val="18"/>
              </w:rPr>
              <w:t xml:space="preserve"> — the title says "independent prognostic factor" rather than "prediction model"; the design is stated in the abstract and introduction but not in the title (see known gap 1 below)</w:t>
            </w:r>
          </w:p>
        </w:tc>
      </w:tr>
      <w:tr>
        <w:tc>
          <w:tcPr>
            <w:tcW w:type="dxa" w:w="1624"/>
          </w:tcPr>
          <w:p>
            <w:pPr>
              <w:jc w:val="center"/>
            </w:pPr>
            <w:r>
              <w:rPr>
                <w:sz w:val="18"/>
              </w:rPr>
            </w:r>
            <w:r>
              <w:rPr>
                <w:b w:val="0"/>
                <w:i w:val="0"/>
                <w:sz w:val="18"/>
              </w:rPr>
              <w:t>Title and abstract</w:t>
            </w:r>
          </w:p>
        </w:tc>
        <w:tc>
          <w:tcPr>
            <w:tcW w:type="dxa" w:w="1624"/>
          </w:tcPr>
          <w:p>
            <w:pPr>
              <w:jc w:val="center"/>
            </w:pPr>
            <w:r>
              <w:rPr>
                <w:sz w:val="18"/>
              </w:rPr>
            </w:r>
            <w:r>
              <w:rPr>
                <w:b w:val="0"/>
                <w:i w:val="0"/>
                <w:sz w:val="18"/>
              </w:rPr>
              <w:t>2</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Provide a summary of objectives, study design, setting, participants, sample size, predictors, outcome, statistical analysis, results, and conclusions.</w:t>
            </w:r>
          </w:p>
        </w:tc>
        <w:tc>
          <w:tcPr>
            <w:tcW w:type="dxa" w:w="1624"/>
          </w:tcPr>
          <w:p>
            <w:pPr>
              <w:jc w:val="center"/>
            </w:pPr>
            <w:r>
              <w:rPr>
                <w:sz w:val="18"/>
              </w:rPr>
            </w:r>
            <w:r>
              <w:rPr>
                <w:b w:val="0"/>
                <w:i w:val="0"/>
                <w:sz w:val="18"/>
              </w:rPr>
              <w:t>Abstract (four structured paragraphs: Purpose / Methods / Results / Conclusions; n = 508, 168 deaths, two independent cohorts, HR and C-index all given)</w:t>
            </w:r>
          </w:p>
        </w:tc>
        <w:tc>
          <w:tcPr>
            <w:tcW w:type="dxa" w:w="1624"/>
          </w:tcPr>
          <w:p>
            <w:pPr>
              <w:jc w:val="center"/>
            </w:pPr>
            <w:r>
              <w:rPr>
                <w:sz w:val="18"/>
              </w:rPr>
            </w:r>
            <w:r>
              <w:rPr>
                <w:b w:val="0"/>
                <w:i w:val="0"/>
                <w:sz w:val="18"/>
              </w:rPr>
              <w:t>Met</w:t>
            </w:r>
          </w:p>
        </w:tc>
      </w:tr>
      <w:tr>
        <w:tc>
          <w:tcPr>
            <w:tcW w:type="dxa" w:w="1624"/>
          </w:tcPr>
          <w:p>
            <w:pPr>
              <w:jc w:val="center"/>
            </w:pPr>
            <w:r>
              <w:rPr>
                <w:sz w:val="18"/>
              </w:rPr>
            </w:r>
            <w:r>
              <w:rPr>
                <w:b w:val="0"/>
                <w:i w:val="0"/>
                <w:sz w:val="18"/>
              </w:rPr>
              <w:t>Introduction</w:t>
            </w:r>
          </w:p>
        </w:tc>
        <w:tc>
          <w:tcPr>
            <w:tcW w:type="dxa" w:w="1624"/>
          </w:tcPr>
          <w:p>
            <w:pPr>
              <w:jc w:val="center"/>
            </w:pPr>
            <w:r>
              <w:rPr>
                <w:sz w:val="18"/>
              </w:rPr>
            </w:r>
            <w:r>
              <w:rPr>
                <w:b w:val="0"/>
                <w:i w:val="0"/>
                <w:sz w:val="18"/>
              </w:rPr>
              <w:t>3a</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Explain the medical context (including whether diagnostic or prognostic) and rationale for developing or validating the multivariable prediction model, including references to existing models.</w:t>
            </w:r>
          </w:p>
        </w:tc>
        <w:tc>
          <w:tcPr>
            <w:tcW w:type="dxa" w:w="1624"/>
          </w:tcPr>
          <w:p>
            <w:pPr>
              <w:jc w:val="center"/>
            </w:pPr>
            <w:r>
              <w:rPr>
                <w:sz w:val="18"/>
              </w:rPr>
            </w:r>
            <w:r>
              <w:rPr>
                <w:b w:val="0"/>
                <w:i w:val="0"/>
                <w:sz w:val="18"/>
              </w:rPr>
              <w:t>§1 paragraphs 1–4; existing ccRCC cell-death signatures</w:t>
            </w:r>
            <w:r>
              <w:rPr>
                <w:b w:val="0"/>
                <w:i w:val="0"/>
                <w:sz w:val="18"/>
                <w:vertAlign w:val="superscript"/>
              </w:rPr>
              <w:t>6–8</w:t>
            </w:r>
            <w:r>
              <w:rPr>
                <w:b w:val="0"/>
                <w:i w:val="0"/>
                <w:sz w:val="18"/>
              </w:rPr>
              <w:t xml:space="preserve"> are cited as comparator models</w:t>
            </w:r>
          </w:p>
        </w:tc>
        <w:tc>
          <w:tcPr>
            <w:tcW w:type="dxa" w:w="1624"/>
          </w:tcPr>
          <w:p>
            <w:pPr>
              <w:jc w:val="center"/>
            </w:pPr>
            <w:r>
              <w:rPr>
                <w:sz w:val="18"/>
              </w:rPr>
            </w:r>
            <w:r>
              <w:rPr>
                <w:b w:val="0"/>
                <w:i w:val="0"/>
                <w:sz w:val="18"/>
              </w:rPr>
              <w:t>Met</w:t>
            </w:r>
          </w:p>
        </w:tc>
      </w:tr>
      <w:tr>
        <w:tc>
          <w:tcPr>
            <w:tcW w:type="dxa" w:w="1624"/>
          </w:tcPr>
          <w:p>
            <w:pPr>
              <w:jc w:val="center"/>
            </w:pPr>
            <w:r>
              <w:rPr>
                <w:sz w:val="18"/>
              </w:rPr>
            </w:r>
            <w:r>
              <w:rPr>
                <w:b w:val="0"/>
                <w:i w:val="0"/>
                <w:sz w:val="18"/>
              </w:rPr>
              <w:t>Introduction</w:t>
            </w:r>
          </w:p>
        </w:tc>
        <w:tc>
          <w:tcPr>
            <w:tcW w:type="dxa" w:w="1624"/>
          </w:tcPr>
          <w:p>
            <w:pPr>
              <w:jc w:val="center"/>
            </w:pPr>
            <w:r>
              <w:rPr>
                <w:sz w:val="18"/>
              </w:rPr>
            </w:r>
            <w:r>
              <w:rPr>
                <w:b w:val="0"/>
                <w:i w:val="0"/>
                <w:sz w:val="18"/>
              </w:rPr>
              <w:t>3b</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Specify the objectives, including whether the study describes the development or validation of the model or both.</w:t>
            </w:r>
          </w:p>
        </w:tc>
        <w:tc>
          <w:tcPr>
            <w:tcW w:type="dxa" w:w="1624"/>
          </w:tcPr>
          <w:p>
            <w:pPr>
              <w:jc w:val="center"/>
            </w:pPr>
            <w:r>
              <w:rPr>
                <w:sz w:val="18"/>
              </w:rPr>
            </w:r>
            <w:r>
              <w:rPr>
                <w:b w:val="0"/>
                <w:i w:val="0"/>
                <w:sz w:val="18"/>
              </w:rPr>
              <w:t>End of §1 ("We therefore derive an index from the full 87 genes and test it against adjustment, a proliferation benchmark and internal optimism…")</w:t>
            </w:r>
          </w:p>
        </w:tc>
        <w:tc>
          <w:tcPr>
            <w:tcW w:type="dxa" w:w="1624"/>
          </w:tcPr>
          <w:p>
            <w:pPr>
              <w:jc w:val="center"/>
            </w:pPr>
            <w:r>
              <w:rPr>
                <w:sz w:val="18"/>
              </w:rPr>
            </w:r>
            <w:r>
              <w:rPr>
                <w:b w:val="0"/>
                <w:i w:val="0"/>
                <w:sz w:val="18"/>
              </w:rPr>
              <w:t>Met (all three tiers — development, internal validation and external validation — are stated)</w:t>
            </w:r>
          </w:p>
        </w:tc>
      </w:tr>
      <w:tr>
        <w:tc>
          <w:tcPr>
            <w:tcW w:type="dxa" w:w="1624"/>
          </w:tcPr>
          <w:p>
            <w:pPr>
              <w:jc w:val="center"/>
            </w:pPr>
            <w:r>
              <w:rPr>
                <w:sz w:val="18"/>
              </w:rPr>
            </w:r>
            <w:r>
              <w:rPr>
                <w:b w:val="0"/>
                <w:i w:val="0"/>
                <w:sz w:val="18"/>
              </w:rPr>
              <w:t>Methods — Source of data</w:t>
            </w:r>
          </w:p>
        </w:tc>
        <w:tc>
          <w:tcPr>
            <w:tcW w:type="dxa" w:w="1624"/>
          </w:tcPr>
          <w:p>
            <w:pPr>
              <w:jc w:val="center"/>
            </w:pPr>
            <w:r>
              <w:rPr>
                <w:sz w:val="18"/>
              </w:rPr>
            </w:r>
            <w:r>
              <w:rPr>
                <w:b w:val="0"/>
                <w:i w:val="0"/>
                <w:sz w:val="18"/>
              </w:rPr>
              <w:t>4a</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Describe the study design or source of data (e.g., randomized trial, cohort, or registry data), separately for the development and validation data sets, if applicable.</w:t>
            </w:r>
          </w:p>
        </w:tc>
        <w:tc>
          <w:tcPr>
            <w:tcW w:type="dxa" w:w="1624"/>
          </w:tcPr>
          <w:p>
            <w:pPr>
              <w:jc w:val="center"/>
            </w:pPr>
            <w:r>
              <w:rPr>
                <w:sz w:val="18"/>
              </w:rPr>
            </w:r>
            <w:r>
              <w:rPr>
                <w:b w:val="0"/>
                <w:i w:val="0"/>
                <w:sz w:val="18"/>
              </w:rPr>
              <w:t xml:space="preserve">§2.1 (TCGA-KIRC via cBioPortal </w:t>
            </w:r>
            <w:r>
              <w:rPr>
                <w:rFonts w:ascii="Consolas" w:hAnsi="Consolas" w:eastAsia="Consolas"/>
                <w:b w:val="0"/>
                <w:i w:val="0"/>
                <w:sz w:val="18"/>
              </w:rPr>
              <w:t>kirc_tcga_pan_can_atlas_2018</w:t>
            </w:r>
            <w:r>
              <w:rPr>
                <w:b w:val="0"/>
                <w:i w:val="0"/>
                <w:sz w:val="18"/>
              </w:rPr>
              <w:t xml:space="preserve">, and in parallel the GDC </w:t>
            </w:r>
            <w:r>
              <w:rPr>
                <w:rFonts w:ascii="Consolas" w:hAnsi="Consolas" w:eastAsia="Consolas"/>
                <w:b w:val="0"/>
                <w:i w:val="0"/>
                <w:sz w:val="18"/>
              </w:rPr>
              <w:t>ccrcc_tcga_gdc</w:t>
            </w:r>
            <w:r>
              <w:rPr>
                <w:b w:val="0"/>
                <w:i w:val="0"/>
                <w:sz w:val="18"/>
              </w:rPr>
              <w:t xml:space="preserve">); §2.5 (E-MTAB-1980 with </w:t>
            </w:r>
            <w:r>
              <w:rPr>
                <w:rFonts w:ascii="Consolas" w:hAnsi="Consolas" w:eastAsia="Consolas"/>
                <w:b w:val="0"/>
                <w:i w:val="0"/>
                <w:sz w:val="18"/>
              </w:rPr>
              <w:t>ccrcc_utokyo_2013</w:t>
            </w:r>
            <w:r>
              <w:rPr>
                <w:b w:val="0"/>
                <w:i w:val="0"/>
                <w:sz w:val="18"/>
              </w:rPr>
              <w:t>, GSE29609, GSE22541)</w:t>
            </w:r>
          </w:p>
        </w:tc>
        <w:tc>
          <w:tcPr>
            <w:tcW w:type="dxa" w:w="1624"/>
          </w:tcPr>
          <w:p>
            <w:pPr>
              <w:jc w:val="center"/>
            </w:pPr>
            <w:r>
              <w:rPr>
                <w:sz w:val="18"/>
              </w:rPr>
            </w:r>
            <w:r>
              <w:rPr>
                <w:b w:val="0"/>
                <w:i w:val="0"/>
                <w:sz w:val="18"/>
              </w:rPr>
              <w:t>Met</w:t>
            </w:r>
          </w:p>
        </w:tc>
      </w:tr>
      <w:tr>
        <w:tc>
          <w:tcPr>
            <w:tcW w:type="dxa" w:w="1624"/>
          </w:tcPr>
          <w:p>
            <w:pPr>
              <w:jc w:val="center"/>
            </w:pPr>
            <w:r>
              <w:rPr>
                <w:sz w:val="18"/>
              </w:rPr>
            </w:r>
            <w:r>
              <w:rPr>
                <w:b w:val="0"/>
                <w:i w:val="0"/>
                <w:sz w:val="18"/>
              </w:rPr>
              <w:t>Methods — Source of data</w:t>
            </w:r>
          </w:p>
        </w:tc>
        <w:tc>
          <w:tcPr>
            <w:tcW w:type="dxa" w:w="1624"/>
          </w:tcPr>
          <w:p>
            <w:pPr>
              <w:jc w:val="center"/>
            </w:pPr>
            <w:r>
              <w:rPr>
                <w:sz w:val="18"/>
              </w:rPr>
            </w:r>
            <w:r>
              <w:rPr>
                <w:b w:val="0"/>
                <w:i w:val="0"/>
                <w:sz w:val="18"/>
              </w:rPr>
              <w:t>4b</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Specify the key study dates, including start of accrual; end of accrual; and, if applicable, end of follow-up.</w:t>
            </w:r>
          </w:p>
        </w:tc>
        <w:tc>
          <w:tcPr>
            <w:tcW w:type="dxa" w:w="1624"/>
          </w:tcPr>
          <w:p>
            <w:pPr>
              <w:jc w:val="center"/>
            </w:pPr>
            <w:r>
              <w:rPr>
                <w:sz w:val="18"/>
              </w:rPr>
            </w:r>
            <w:r>
              <w:rPr>
                <w:b w:val="0"/>
                <w:i w:val="0"/>
                <w:sz w:val="18"/>
              </w:rPr>
              <w:t>§2.1 and Declarations "Availability" state the data-access date (October 2026); follow-up length is in §2.1 (reverse Kaplan–Meier 57.0 months) and in the Limitations paragraph</w:t>
            </w:r>
          </w:p>
        </w:tc>
        <w:tc>
          <w:tcPr>
            <w:tcW w:type="dxa" w:w="1624"/>
          </w:tcPr>
          <w:p>
            <w:pPr>
              <w:jc w:val="center"/>
            </w:pPr>
            <w:r>
              <w:rPr>
                <w:sz w:val="18"/>
              </w:rPr>
            </w:r>
            <w:r>
              <w:rPr>
                <w:b/>
                <w:i w:val="0"/>
                <w:sz w:val="18"/>
              </w:rPr>
              <w:t>Partly</w:t>
            </w:r>
            <w:r>
              <w:rPr>
                <w:b w:val="0"/>
                <w:i w:val="0"/>
                <w:sz w:val="18"/>
              </w:rPr>
              <w:t xml:space="preserve"> — accrual start and end dates for a public cohort belong to the original study</w:t>
            </w:r>
            <w:r>
              <w:rPr>
                <w:b w:val="0"/>
                <w:i w:val="0"/>
                <w:sz w:val="18"/>
                <w:vertAlign w:val="superscript"/>
              </w:rPr>
              <w:t>2</w:t>
            </w:r>
            <w:r>
              <w:rPr>
                <w:b w:val="0"/>
                <w:i w:val="0"/>
                <w:sz w:val="18"/>
              </w:rPr>
              <w:t xml:space="preserve"> and are not repeated here</w:t>
            </w:r>
          </w:p>
        </w:tc>
      </w:tr>
      <w:tr>
        <w:tc>
          <w:tcPr>
            <w:tcW w:type="dxa" w:w="1624"/>
          </w:tcPr>
          <w:p>
            <w:pPr>
              <w:jc w:val="center"/>
            </w:pPr>
            <w:r>
              <w:rPr>
                <w:sz w:val="18"/>
              </w:rPr>
            </w:r>
            <w:r>
              <w:rPr>
                <w:b w:val="0"/>
                <w:i w:val="0"/>
                <w:sz w:val="18"/>
              </w:rPr>
              <w:t>Methods — Participants</w:t>
            </w:r>
          </w:p>
        </w:tc>
        <w:tc>
          <w:tcPr>
            <w:tcW w:type="dxa" w:w="1624"/>
          </w:tcPr>
          <w:p>
            <w:pPr>
              <w:jc w:val="center"/>
            </w:pPr>
            <w:r>
              <w:rPr>
                <w:sz w:val="18"/>
              </w:rPr>
            </w:r>
            <w:r>
              <w:rPr>
                <w:b w:val="0"/>
                <w:i w:val="0"/>
                <w:sz w:val="18"/>
              </w:rPr>
              <w:t>5a</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Specify key elements of the study setting (e.g., primary care, secondary care, general population) including number and location of centres.</w:t>
            </w:r>
          </w:p>
        </w:tc>
        <w:tc>
          <w:tcPr>
            <w:tcW w:type="dxa" w:w="1624"/>
          </w:tcPr>
          <w:p>
            <w:pPr>
              <w:jc w:val="center"/>
            </w:pPr>
            <w:r>
              <w:rPr>
                <w:sz w:val="18"/>
              </w:rPr>
            </w:r>
            <w:r>
              <w:rPr>
                <w:b w:val="0"/>
                <w:i w:val="0"/>
                <w:sz w:val="18"/>
              </w:rPr>
              <w:t>§2.1, §2.5; multicentre public cohorts (TCGA Pan-Cancer Atlas; the Japanese Sato series)</w:t>
            </w:r>
          </w:p>
        </w:tc>
        <w:tc>
          <w:tcPr>
            <w:tcW w:type="dxa" w:w="1624"/>
          </w:tcPr>
          <w:p>
            <w:pPr>
              <w:jc w:val="center"/>
            </w:pPr>
            <w:r>
              <w:rPr>
                <w:sz w:val="18"/>
              </w:rPr>
            </w:r>
            <w:r>
              <w:rPr>
                <w:b w:val="0"/>
                <w:i w:val="0"/>
                <w:sz w:val="18"/>
              </w:rPr>
              <w:t>Met</w:t>
            </w:r>
          </w:p>
        </w:tc>
      </w:tr>
      <w:tr>
        <w:tc>
          <w:tcPr>
            <w:tcW w:type="dxa" w:w="1624"/>
          </w:tcPr>
          <w:p>
            <w:pPr>
              <w:jc w:val="center"/>
            </w:pPr>
            <w:r>
              <w:rPr>
                <w:sz w:val="18"/>
              </w:rPr>
            </w:r>
            <w:r>
              <w:rPr>
                <w:b w:val="0"/>
                <w:i w:val="0"/>
                <w:sz w:val="18"/>
              </w:rPr>
              <w:t>Methods — Participants</w:t>
            </w:r>
          </w:p>
        </w:tc>
        <w:tc>
          <w:tcPr>
            <w:tcW w:type="dxa" w:w="1624"/>
          </w:tcPr>
          <w:p>
            <w:pPr>
              <w:jc w:val="center"/>
            </w:pPr>
            <w:r>
              <w:rPr>
                <w:sz w:val="18"/>
              </w:rPr>
            </w:r>
            <w:r>
              <w:rPr>
                <w:b w:val="0"/>
                <w:i w:val="0"/>
                <w:sz w:val="18"/>
              </w:rPr>
              <w:t>5b</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Describe eligibility criteria for participants.</w:t>
            </w:r>
          </w:p>
        </w:tc>
        <w:tc>
          <w:tcPr>
            <w:tcW w:type="dxa" w:w="1624"/>
          </w:tcPr>
          <w:p>
            <w:pPr>
              <w:jc w:val="center"/>
            </w:pPr>
            <w:r>
              <w:rPr>
                <w:sz w:val="18"/>
              </w:rPr>
            </w:r>
            <w:r>
              <w:rPr>
                <w:b w:val="0"/>
                <w:i w:val="0"/>
                <w:sz w:val="18"/>
              </w:rPr>
              <w:t>§2.1 (primary-tumour sample, non-missing overall survival and non-missing expression for every panel gene); SM1 (case-by-case account of excluded patients); Limitations paragraph (the two named exclusions)</w:t>
            </w:r>
          </w:p>
        </w:tc>
        <w:tc>
          <w:tcPr>
            <w:tcW w:type="dxa" w:w="1624"/>
          </w:tcPr>
          <w:p>
            <w:pPr>
              <w:jc w:val="center"/>
            </w:pPr>
            <w:r>
              <w:rPr>
                <w:sz w:val="18"/>
              </w:rPr>
            </w:r>
            <w:r>
              <w:rPr>
                <w:b w:val="0"/>
                <w:i w:val="0"/>
                <w:sz w:val="18"/>
              </w:rPr>
              <w:t>Met</w:t>
            </w:r>
          </w:p>
        </w:tc>
      </w:tr>
      <w:tr>
        <w:tc>
          <w:tcPr>
            <w:tcW w:type="dxa" w:w="1624"/>
          </w:tcPr>
          <w:p>
            <w:pPr>
              <w:jc w:val="center"/>
            </w:pPr>
            <w:r>
              <w:rPr>
                <w:sz w:val="18"/>
              </w:rPr>
            </w:r>
            <w:r>
              <w:rPr>
                <w:b w:val="0"/>
                <w:i w:val="0"/>
                <w:sz w:val="18"/>
              </w:rPr>
              <w:t>Methods — Participants</w:t>
            </w:r>
          </w:p>
        </w:tc>
        <w:tc>
          <w:tcPr>
            <w:tcW w:type="dxa" w:w="1624"/>
          </w:tcPr>
          <w:p>
            <w:pPr>
              <w:jc w:val="center"/>
            </w:pPr>
            <w:r>
              <w:rPr>
                <w:sz w:val="18"/>
              </w:rPr>
            </w:r>
            <w:r>
              <w:rPr>
                <w:b w:val="0"/>
                <w:i w:val="0"/>
                <w:sz w:val="18"/>
              </w:rPr>
              <w:t>5c</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Give details of treatments received, if relevant.</w:t>
            </w:r>
          </w:p>
        </w:tc>
        <w:tc>
          <w:tcPr>
            <w:tcW w:type="dxa" w:w="1624"/>
          </w:tcPr>
          <w:p>
            <w:pPr>
              <w:jc w:val="center"/>
            </w:pPr>
            <w:r>
              <w:rPr>
                <w:sz w:val="18"/>
              </w:rPr>
            </w:r>
            <w:r>
              <w:rPr>
                <w:b w:val="0"/>
                <w:i w:val="0"/>
                <w:sz w:val="18"/>
              </w:rPr>
              <w:t>Limitations paragraph (no treatment data; TCGA-KIRC spans two therapeutic eras with heterogeneous treatment)</w:t>
            </w:r>
          </w:p>
        </w:tc>
        <w:tc>
          <w:tcPr>
            <w:tcW w:type="dxa" w:w="1624"/>
          </w:tcPr>
          <w:p>
            <w:pPr>
              <w:jc w:val="center"/>
            </w:pPr>
            <w:r>
              <w:rPr>
                <w:sz w:val="18"/>
              </w:rPr>
            </w:r>
            <w:r>
              <w:rPr>
                <w:b w:val="0"/>
                <w:i w:val="0"/>
                <w:sz w:val="18"/>
              </w:rPr>
              <w:t>Met (</w:t>
            </w:r>
            <w:r>
              <w:rPr>
                <w:b/>
                <w:i w:val="0"/>
                <w:sz w:val="18"/>
              </w:rPr>
              <w:t>reported as not collected</w:t>
            </w:r>
            <w:r>
              <w:rPr>
                <w:b w:val="0"/>
                <w:i w:val="0"/>
                <w:sz w:val="18"/>
              </w:rPr>
              <w:t>)</w:t>
            </w:r>
          </w:p>
        </w:tc>
      </w:tr>
      <w:tr>
        <w:tc>
          <w:tcPr>
            <w:tcW w:type="dxa" w:w="1624"/>
          </w:tcPr>
          <w:p>
            <w:pPr>
              <w:jc w:val="center"/>
            </w:pPr>
            <w:r>
              <w:rPr>
                <w:sz w:val="18"/>
              </w:rPr>
            </w:r>
            <w:r>
              <w:rPr>
                <w:b w:val="0"/>
                <w:i w:val="0"/>
                <w:sz w:val="18"/>
              </w:rPr>
              <w:t>Methods — Outcome</w:t>
            </w:r>
          </w:p>
        </w:tc>
        <w:tc>
          <w:tcPr>
            <w:tcW w:type="dxa" w:w="1624"/>
          </w:tcPr>
          <w:p>
            <w:pPr>
              <w:jc w:val="center"/>
            </w:pPr>
            <w:r>
              <w:rPr>
                <w:sz w:val="18"/>
              </w:rPr>
            </w:r>
            <w:r>
              <w:rPr>
                <w:b w:val="0"/>
                <w:i w:val="0"/>
                <w:sz w:val="18"/>
              </w:rPr>
              <w:t>6a</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Clearly define the outcome that is predicted by the prediction model, including how and when assessed.</w:t>
            </w:r>
          </w:p>
        </w:tc>
        <w:tc>
          <w:tcPr>
            <w:tcW w:type="dxa" w:w="1624"/>
          </w:tcPr>
          <w:p>
            <w:pPr>
              <w:jc w:val="center"/>
            </w:pPr>
            <w:r>
              <w:rPr>
                <w:sz w:val="18"/>
              </w:rPr>
            </w:r>
            <w:r>
              <w:rPr>
                <w:b w:val="0"/>
                <w:i w:val="0"/>
                <w:sz w:val="18"/>
              </w:rPr>
              <w:t xml:space="preserve">§2.1 (overall survival: follow-up in months plus death status, from the cBioPortal clinical record); §2.5 (OS for E-MTAB-1980 taken from </w:t>
            </w:r>
            <w:r>
              <w:rPr>
                <w:rFonts w:ascii="Consolas" w:hAnsi="Consolas" w:eastAsia="Consolas"/>
                <w:b w:val="0"/>
                <w:i w:val="0"/>
                <w:sz w:val="18"/>
              </w:rPr>
              <w:t>ccrcc_utokyo_2013</w:t>
            </w:r>
            <w:r>
              <w:rPr>
                <w:b w:val="0"/>
                <w:i w:val="0"/>
                <w:sz w:val="18"/>
              </w:rPr>
              <w:t>)</w:t>
            </w:r>
          </w:p>
        </w:tc>
        <w:tc>
          <w:tcPr>
            <w:tcW w:type="dxa" w:w="1624"/>
          </w:tcPr>
          <w:p>
            <w:pPr>
              <w:jc w:val="center"/>
            </w:pPr>
            <w:r>
              <w:rPr>
                <w:sz w:val="18"/>
              </w:rPr>
            </w:r>
            <w:r>
              <w:rPr>
                <w:b w:val="0"/>
                <w:i w:val="0"/>
                <w:sz w:val="18"/>
              </w:rPr>
              <w:t>Met</w:t>
            </w:r>
          </w:p>
        </w:tc>
      </w:tr>
      <w:tr>
        <w:tc>
          <w:tcPr>
            <w:tcW w:type="dxa" w:w="1624"/>
          </w:tcPr>
          <w:p>
            <w:pPr>
              <w:jc w:val="center"/>
            </w:pPr>
            <w:r>
              <w:rPr>
                <w:sz w:val="18"/>
              </w:rPr>
            </w:r>
            <w:r>
              <w:rPr>
                <w:b w:val="0"/>
                <w:i w:val="0"/>
                <w:sz w:val="18"/>
              </w:rPr>
              <w:t>Methods — Outcome</w:t>
            </w:r>
          </w:p>
        </w:tc>
        <w:tc>
          <w:tcPr>
            <w:tcW w:type="dxa" w:w="1624"/>
          </w:tcPr>
          <w:p>
            <w:pPr>
              <w:jc w:val="center"/>
            </w:pPr>
            <w:r>
              <w:rPr>
                <w:sz w:val="18"/>
              </w:rPr>
            </w:r>
            <w:r>
              <w:rPr>
                <w:b w:val="0"/>
                <w:i w:val="0"/>
                <w:sz w:val="18"/>
              </w:rPr>
              <w:t>6b</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Report any actions to blind assessment of the outcome to be predicted.</w:t>
            </w:r>
          </w:p>
        </w:tc>
        <w:tc>
          <w:tcPr>
            <w:tcW w:type="dxa" w:w="1624"/>
          </w:tcPr>
          <w:p>
            <w:pPr>
              <w:jc w:val="center"/>
            </w:pPr>
            <w:r>
              <w:rPr>
                <w:sz w:val="18"/>
              </w:rPr>
            </w:r>
            <w:r>
              <w:rPr>
                <w:b w:val="0"/>
                <w:i w:val="0"/>
                <w:sz w:val="18"/>
              </w:rPr>
              <w:t>—</w:t>
            </w:r>
          </w:p>
        </w:tc>
        <w:tc>
          <w:tcPr>
            <w:tcW w:type="dxa" w:w="1624"/>
          </w:tcPr>
          <w:p>
            <w:pPr>
              <w:jc w:val="center"/>
            </w:pPr>
            <w:r>
              <w:rPr>
                <w:sz w:val="18"/>
              </w:rPr>
            </w:r>
            <w:r>
              <w:rPr>
                <w:b/>
                <w:i w:val="0"/>
                <w:sz w:val="18"/>
              </w:rPr>
              <w:t>Not applicable</w:t>
            </w:r>
            <w:r>
              <w:rPr>
                <w:b w:val="0"/>
                <w:i w:val="0"/>
                <w:sz w:val="18"/>
              </w:rPr>
              <w:t xml:space="preserve"> — all data are public, de-identified and retrospective, so there is no human outcome-adjudication step to blind</w:t>
            </w:r>
          </w:p>
        </w:tc>
      </w:tr>
      <w:tr>
        <w:tc>
          <w:tcPr>
            <w:tcW w:type="dxa" w:w="1624"/>
          </w:tcPr>
          <w:p>
            <w:pPr>
              <w:jc w:val="center"/>
            </w:pPr>
            <w:r>
              <w:rPr>
                <w:sz w:val="18"/>
              </w:rPr>
            </w:r>
            <w:r>
              <w:rPr>
                <w:b w:val="0"/>
                <w:i w:val="0"/>
                <w:sz w:val="18"/>
              </w:rPr>
              <w:t>Methods — Predictors</w:t>
            </w:r>
          </w:p>
        </w:tc>
        <w:tc>
          <w:tcPr>
            <w:tcW w:type="dxa" w:w="1624"/>
          </w:tcPr>
          <w:p>
            <w:pPr>
              <w:jc w:val="center"/>
            </w:pPr>
            <w:r>
              <w:rPr>
                <w:sz w:val="18"/>
              </w:rPr>
            </w:r>
            <w:r>
              <w:rPr>
                <w:b w:val="0"/>
                <w:i w:val="0"/>
                <w:sz w:val="18"/>
              </w:rPr>
              <w:t>7a</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Clearly define all predictors used in developing or validating the multivariable prediction model, including how and when they were measured.</w:t>
            </w:r>
          </w:p>
        </w:tc>
        <w:tc>
          <w:tcPr>
            <w:tcW w:type="dxa" w:w="1624"/>
          </w:tcPr>
          <w:p>
            <w:pPr>
              <w:jc w:val="center"/>
            </w:pPr>
            <w:r>
              <w:rPr>
                <w:sz w:val="18"/>
              </w:rPr>
            </w:r>
            <w:r>
              <w:rPr>
                <w:b w:val="0"/>
                <w:i w:val="0"/>
                <w:sz w:val="18"/>
              </w:rPr>
              <w:t>§2.2 (the 101 → 92 → 87 mapping chain), §2.3; SM2, SM3; Table S1 / S1b (panel and named anchors), S3 (25-gene coefficients), S4a (four-gene / three-gene coefficients); expression metric in §2.1 (RNA-Seq V2 median all-sample z-score)</w:t>
            </w:r>
          </w:p>
        </w:tc>
        <w:tc>
          <w:tcPr>
            <w:tcW w:type="dxa" w:w="1624"/>
          </w:tcPr>
          <w:p>
            <w:pPr>
              <w:jc w:val="center"/>
            </w:pPr>
            <w:r>
              <w:rPr>
                <w:sz w:val="18"/>
              </w:rPr>
            </w:r>
            <w:r>
              <w:rPr>
                <w:b w:val="0"/>
                <w:i w:val="0"/>
                <w:sz w:val="18"/>
              </w:rPr>
              <w:t>Met</w:t>
            </w:r>
          </w:p>
        </w:tc>
      </w:tr>
      <w:tr>
        <w:tc>
          <w:tcPr>
            <w:tcW w:type="dxa" w:w="1624"/>
          </w:tcPr>
          <w:p>
            <w:pPr>
              <w:jc w:val="center"/>
            </w:pPr>
            <w:r>
              <w:rPr>
                <w:sz w:val="18"/>
              </w:rPr>
            </w:r>
            <w:r>
              <w:rPr>
                <w:b w:val="0"/>
                <w:i w:val="0"/>
                <w:sz w:val="18"/>
              </w:rPr>
              <w:t>Methods — Predictors</w:t>
            </w:r>
          </w:p>
        </w:tc>
        <w:tc>
          <w:tcPr>
            <w:tcW w:type="dxa" w:w="1624"/>
          </w:tcPr>
          <w:p>
            <w:pPr>
              <w:jc w:val="center"/>
            </w:pPr>
            <w:r>
              <w:rPr>
                <w:sz w:val="18"/>
              </w:rPr>
            </w:r>
            <w:r>
              <w:rPr>
                <w:b w:val="0"/>
                <w:i w:val="0"/>
                <w:sz w:val="18"/>
              </w:rPr>
              <w:t>7b</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Report any actions to blind assessment of predictors for the outcome and other predictors.</w:t>
            </w:r>
          </w:p>
        </w:tc>
        <w:tc>
          <w:tcPr>
            <w:tcW w:type="dxa" w:w="1624"/>
          </w:tcPr>
          <w:p>
            <w:pPr>
              <w:jc w:val="center"/>
            </w:pPr>
            <w:r>
              <w:rPr>
                <w:sz w:val="18"/>
              </w:rPr>
            </w:r>
            <w:r>
              <w:rPr>
                <w:b w:val="0"/>
                <w:i w:val="0"/>
                <w:sz w:val="18"/>
              </w:rPr>
              <w:t>—</w:t>
            </w:r>
          </w:p>
        </w:tc>
        <w:tc>
          <w:tcPr>
            <w:tcW w:type="dxa" w:w="1624"/>
          </w:tcPr>
          <w:p>
            <w:pPr>
              <w:jc w:val="center"/>
            </w:pPr>
            <w:r>
              <w:rPr>
                <w:sz w:val="18"/>
              </w:rPr>
            </w:r>
            <w:r>
              <w:rPr>
                <w:b/>
                <w:i w:val="0"/>
                <w:sz w:val="18"/>
              </w:rPr>
              <w:t>Not applicable</w:t>
            </w:r>
            <w:r>
              <w:rPr>
                <w:b w:val="0"/>
                <w:i w:val="0"/>
                <w:sz w:val="18"/>
              </w:rPr>
              <w:t xml:space="preserve"> — predictors are read by script directly from a public matrix; there is no human measurement or adjudication step</w:t>
            </w:r>
          </w:p>
        </w:tc>
      </w:tr>
      <w:tr>
        <w:tc>
          <w:tcPr>
            <w:tcW w:type="dxa" w:w="1624"/>
          </w:tcPr>
          <w:p>
            <w:pPr>
              <w:jc w:val="center"/>
            </w:pPr>
            <w:r>
              <w:rPr>
                <w:sz w:val="18"/>
              </w:rPr>
            </w:r>
            <w:r>
              <w:rPr>
                <w:b w:val="0"/>
                <w:i w:val="0"/>
                <w:sz w:val="18"/>
              </w:rPr>
              <w:t>Methods — Sample size</w:t>
            </w:r>
          </w:p>
        </w:tc>
        <w:tc>
          <w:tcPr>
            <w:tcW w:type="dxa" w:w="1624"/>
          </w:tcPr>
          <w:p>
            <w:pPr>
              <w:jc w:val="center"/>
            </w:pPr>
            <w:r>
              <w:rPr>
                <w:sz w:val="18"/>
              </w:rPr>
            </w:r>
            <w:r>
              <w:rPr>
                <w:b w:val="0"/>
                <w:i w:val="0"/>
                <w:sz w:val="18"/>
              </w:rPr>
              <w:t>8</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Explain how the study size was arrived at.</w:t>
            </w:r>
          </w:p>
        </w:tc>
        <w:tc>
          <w:tcPr>
            <w:tcW w:type="dxa" w:w="1624"/>
          </w:tcPr>
          <w:p>
            <w:pPr>
              <w:jc w:val="center"/>
            </w:pPr>
            <w:r>
              <w:rPr>
                <w:sz w:val="18"/>
              </w:rPr>
            </w:r>
            <w:r>
              <w:rPr>
                <w:b w:val="0"/>
                <w:i w:val="0"/>
                <w:sz w:val="18"/>
              </w:rPr>
              <w:t>§2.1 (cohort fixed uniquely by the public dataset and the inclusion criteria, all 508 patients and 168 deaths included); Limitations paragraph (before-and-after comparison of the recut cohort, 398/121 → 508/168); Table 2 Panel B reports EPV</w:t>
            </w:r>
          </w:p>
        </w:tc>
        <w:tc>
          <w:tcPr>
            <w:tcW w:type="dxa" w:w="1624"/>
          </w:tcPr>
          <w:p>
            <w:pPr>
              <w:jc w:val="center"/>
            </w:pPr>
            <w:r>
              <w:rPr>
                <w:sz w:val="18"/>
              </w:rPr>
            </w:r>
            <w:r>
              <w:rPr>
                <w:b w:val="0"/>
                <w:i w:val="0"/>
                <w:sz w:val="18"/>
              </w:rPr>
              <w:t xml:space="preserve">Met (the </w:t>
            </w:r>
            <w:r>
              <w:rPr>
                <w:b/>
                <w:i w:val="0"/>
                <w:sz w:val="18"/>
              </w:rPr>
              <w:t>cohort is fixed, not recruited</w:t>
            </w:r>
            <w:r>
              <w:rPr>
                <w:b w:val="0"/>
                <w:i w:val="0"/>
                <w:sz w:val="18"/>
              </w:rPr>
              <w:t>, so EPV stands in for an a priori sample-size calculation)</w:t>
            </w:r>
          </w:p>
        </w:tc>
      </w:tr>
      <w:tr>
        <w:tc>
          <w:tcPr>
            <w:tcW w:type="dxa" w:w="1624"/>
          </w:tcPr>
          <w:p>
            <w:pPr>
              <w:jc w:val="center"/>
            </w:pPr>
            <w:r>
              <w:rPr>
                <w:sz w:val="18"/>
              </w:rPr>
            </w:r>
            <w:r>
              <w:rPr>
                <w:b w:val="0"/>
                <w:i w:val="0"/>
                <w:sz w:val="18"/>
              </w:rPr>
              <w:t>Methods — Missing data</w:t>
            </w:r>
          </w:p>
        </w:tc>
        <w:tc>
          <w:tcPr>
            <w:tcW w:type="dxa" w:w="1624"/>
          </w:tcPr>
          <w:p>
            <w:pPr>
              <w:jc w:val="center"/>
            </w:pPr>
            <w:r>
              <w:rPr>
                <w:sz w:val="18"/>
              </w:rPr>
            </w:r>
            <w:r>
              <w:rPr>
                <w:b w:val="0"/>
                <w:i w:val="0"/>
                <w:sz w:val="18"/>
              </w:rPr>
              <w:t>9</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Describe how missing data were handled (e.g., complete-case analysis, single imputation, multiple imputation) with details of any imputation method.</w:t>
            </w:r>
          </w:p>
        </w:tc>
        <w:tc>
          <w:tcPr>
            <w:tcW w:type="dxa" w:w="1624"/>
          </w:tcPr>
          <w:p>
            <w:pPr>
              <w:jc w:val="center"/>
            </w:pPr>
            <w:r>
              <w:rPr>
                <w:sz w:val="18"/>
              </w:rPr>
            </w:r>
            <w:r>
              <w:rPr>
                <w:b w:val="0"/>
                <w:i w:val="0"/>
                <w:sz w:val="18"/>
              </w:rPr>
              <w:t>§2.1 (patients with missing predictors or outcome were excluded, i.e. complete-case analysis); §2.4 and §3.6 (tumour purity matched for 479/508, with the bias direction in the 29 unmatched patients quantified); Limitations paragraph (two exclusions, eight grades handled)</w:t>
            </w:r>
          </w:p>
        </w:tc>
        <w:tc>
          <w:tcPr>
            <w:tcW w:type="dxa" w:w="1624"/>
          </w:tcPr>
          <w:p>
            <w:pPr>
              <w:jc w:val="center"/>
            </w:pPr>
            <w:r>
              <w:rPr>
                <w:sz w:val="18"/>
              </w:rPr>
            </w:r>
            <w:r>
              <w:rPr>
                <w:b w:val="0"/>
                <w:i w:val="0"/>
                <w:sz w:val="18"/>
              </w:rPr>
              <w:t>Met (</w:t>
            </w:r>
            <w:r>
              <w:rPr>
                <w:b/>
                <w:i w:val="0"/>
                <w:sz w:val="18"/>
              </w:rPr>
              <w:t>complete-case analysis, no imputation</w:t>
            </w:r>
            <w:r>
              <w:rPr>
                <w:b w:val="0"/>
                <w:i w:val="0"/>
                <w:sz w:val="18"/>
              </w:rPr>
              <w:t>, stated as such)</w:t>
            </w:r>
          </w:p>
        </w:tc>
      </w:tr>
      <w:tr>
        <w:tc>
          <w:tcPr>
            <w:tcW w:type="dxa" w:w="1624"/>
          </w:tcPr>
          <w:p>
            <w:pPr>
              <w:jc w:val="center"/>
            </w:pPr>
            <w:r>
              <w:rPr>
                <w:sz w:val="18"/>
              </w:rPr>
            </w:r>
            <w:r>
              <w:rPr>
                <w:b w:val="0"/>
                <w:i w:val="0"/>
                <w:sz w:val="18"/>
              </w:rPr>
              <w:t>Methods — Statistical analysis methods</w:t>
            </w:r>
          </w:p>
        </w:tc>
        <w:tc>
          <w:tcPr>
            <w:tcW w:type="dxa" w:w="1624"/>
          </w:tcPr>
          <w:p>
            <w:pPr>
              <w:jc w:val="center"/>
            </w:pPr>
            <w:r>
              <w:rPr>
                <w:sz w:val="18"/>
              </w:rPr>
            </w:r>
            <w:r>
              <w:rPr>
                <w:b w:val="0"/>
                <w:i w:val="0"/>
                <w:sz w:val="18"/>
              </w:rPr>
              <w:t>10a</w:t>
            </w:r>
          </w:p>
        </w:tc>
        <w:tc>
          <w:tcPr>
            <w:tcW w:type="dxa" w:w="1624"/>
          </w:tcPr>
          <w:p>
            <w:pPr>
              <w:jc w:val="center"/>
            </w:pPr>
            <w:r>
              <w:rPr>
                <w:sz w:val="18"/>
              </w:rPr>
            </w:r>
            <w:r>
              <w:rPr>
                <w:b w:val="0"/>
                <w:i w:val="0"/>
                <w:sz w:val="18"/>
              </w:rPr>
              <w:t>D</w:t>
            </w:r>
          </w:p>
        </w:tc>
        <w:tc>
          <w:tcPr>
            <w:tcW w:type="dxa" w:w="1624"/>
          </w:tcPr>
          <w:p>
            <w:pPr>
              <w:jc w:val="center"/>
            </w:pPr>
            <w:r>
              <w:rPr>
                <w:sz w:val="18"/>
              </w:rPr>
            </w:r>
            <w:r>
              <w:rPr>
                <w:b w:val="0"/>
                <w:i w:val="0"/>
                <w:sz w:val="18"/>
              </w:rPr>
              <w:t>Describe how predictors were handled in the analyses.</w:t>
            </w:r>
          </w:p>
        </w:tc>
        <w:tc>
          <w:tcPr>
            <w:tcW w:type="dxa" w:w="1624"/>
          </w:tcPr>
          <w:p>
            <w:pPr>
              <w:jc w:val="center"/>
            </w:pPr>
            <w:r>
              <w:rPr>
                <w:sz w:val="18"/>
              </w:rPr>
            </w:r>
            <w:r>
              <w:rPr>
                <w:b w:val="0"/>
                <w:i w:val="0"/>
                <w:sz w:val="18"/>
              </w:rPr>
              <w:t>§2.2 (within-cohort standardisation), §2.3; SM3 (fitting and scaling conventions: z-score metric, per-SD scale)</w:t>
            </w:r>
          </w:p>
        </w:tc>
        <w:tc>
          <w:tcPr>
            <w:tcW w:type="dxa" w:w="1624"/>
          </w:tcPr>
          <w:p>
            <w:pPr>
              <w:jc w:val="center"/>
            </w:pPr>
            <w:r>
              <w:rPr>
                <w:sz w:val="18"/>
              </w:rPr>
            </w:r>
            <w:r>
              <w:rPr>
                <w:b w:val="0"/>
                <w:i w:val="0"/>
                <w:sz w:val="18"/>
              </w:rPr>
              <w:t>Met</w:t>
            </w:r>
          </w:p>
        </w:tc>
      </w:tr>
      <w:tr>
        <w:tc>
          <w:tcPr>
            <w:tcW w:type="dxa" w:w="1624"/>
          </w:tcPr>
          <w:p>
            <w:pPr>
              <w:jc w:val="center"/>
            </w:pPr>
            <w:r>
              <w:rPr>
                <w:sz w:val="18"/>
              </w:rPr>
            </w:r>
            <w:r>
              <w:rPr>
                <w:b w:val="0"/>
                <w:i w:val="0"/>
                <w:sz w:val="18"/>
              </w:rPr>
              <w:t>Methods — Statistical analysis methods</w:t>
            </w:r>
          </w:p>
        </w:tc>
        <w:tc>
          <w:tcPr>
            <w:tcW w:type="dxa" w:w="1624"/>
          </w:tcPr>
          <w:p>
            <w:pPr>
              <w:jc w:val="center"/>
            </w:pPr>
            <w:r>
              <w:rPr>
                <w:sz w:val="18"/>
              </w:rPr>
            </w:r>
            <w:r>
              <w:rPr>
                <w:b w:val="0"/>
                <w:i w:val="0"/>
                <w:sz w:val="18"/>
              </w:rPr>
              <w:t>10b</w:t>
            </w:r>
          </w:p>
        </w:tc>
        <w:tc>
          <w:tcPr>
            <w:tcW w:type="dxa" w:w="1624"/>
          </w:tcPr>
          <w:p>
            <w:pPr>
              <w:jc w:val="center"/>
            </w:pPr>
            <w:r>
              <w:rPr>
                <w:sz w:val="18"/>
              </w:rPr>
            </w:r>
            <w:r>
              <w:rPr>
                <w:b w:val="0"/>
                <w:i w:val="0"/>
                <w:sz w:val="18"/>
              </w:rPr>
              <w:t>D</w:t>
            </w:r>
          </w:p>
        </w:tc>
        <w:tc>
          <w:tcPr>
            <w:tcW w:type="dxa" w:w="1624"/>
          </w:tcPr>
          <w:p>
            <w:pPr>
              <w:jc w:val="center"/>
            </w:pPr>
            <w:r>
              <w:rPr>
                <w:sz w:val="18"/>
              </w:rPr>
            </w:r>
            <w:r>
              <w:rPr>
                <w:b w:val="0"/>
                <w:i w:val="0"/>
                <w:sz w:val="18"/>
              </w:rPr>
              <w:t>Specify type of model, all model-building procedures (including any predictor selection), and method for internal validation.</w:t>
            </w:r>
          </w:p>
        </w:tc>
        <w:tc>
          <w:tcPr>
            <w:tcW w:type="dxa" w:w="1624"/>
          </w:tcPr>
          <w:p>
            <w:pPr>
              <w:jc w:val="center"/>
            </w:pPr>
            <w:r>
              <w:rPr>
                <w:sz w:val="18"/>
              </w:rPr>
            </w:r>
            <w:r>
              <w:rPr>
                <w:b w:val="0"/>
                <w:i w:val="0"/>
                <w:sz w:val="18"/>
              </w:rPr>
              <w:t>§2.3 (Model A is a 25-gene ridge index with L2 penalty λ = 1.0; the parsimonious model follows a LASSO-Cox path with a parsimony profile, the 1-SE rule and an unpenalised refit), §2.6 (three-tier nested optimism estimates over ten folds); SM3, SM6</w:t>
            </w:r>
          </w:p>
        </w:tc>
        <w:tc>
          <w:tcPr>
            <w:tcW w:type="dxa" w:w="1624"/>
          </w:tcPr>
          <w:p>
            <w:pPr>
              <w:jc w:val="center"/>
            </w:pPr>
            <w:r>
              <w:rPr>
                <w:sz w:val="18"/>
              </w:rPr>
            </w:r>
            <w:r>
              <w:rPr>
                <w:b w:val="0"/>
                <w:i w:val="0"/>
                <w:sz w:val="18"/>
              </w:rPr>
              <w:t>Met</w:t>
            </w:r>
          </w:p>
        </w:tc>
      </w:tr>
      <w:tr>
        <w:tc>
          <w:tcPr>
            <w:tcW w:type="dxa" w:w="1624"/>
          </w:tcPr>
          <w:p>
            <w:pPr>
              <w:jc w:val="center"/>
            </w:pPr>
            <w:r>
              <w:rPr>
                <w:sz w:val="18"/>
              </w:rPr>
            </w:r>
            <w:r>
              <w:rPr>
                <w:b w:val="0"/>
                <w:i w:val="0"/>
                <w:sz w:val="18"/>
              </w:rPr>
              <w:t>Methods — Statistical analysis methods</w:t>
            </w:r>
          </w:p>
        </w:tc>
        <w:tc>
          <w:tcPr>
            <w:tcW w:type="dxa" w:w="1624"/>
          </w:tcPr>
          <w:p>
            <w:pPr>
              <w:jc w:val="center"/>
            </w:pPr>
            <w:r>
              <w:rPr>
                <w:sz w:val="18"/>
              </w:rPr>
            </w:r>
            <w:r>
              <w:rPr>
                <w:b w:val="0"/>
                <w:i w:val="0"/>
                <w:sz w:val="18"/>
              </w:rPr>
              <w:t>10c</w:t>
            </w:r>
          </w:p>
        </w:tc>
        <w:tc>
          <w:tcPr>
            <w:tcW w:type="dxa" w:w="1624"/>
          </w:tcPr>
          <w:p>
            <w:pPr>
              <w:jc w:val="center"/>
            </w:pPr>
            <w:r>
              <w:rPr>
                <w:sz w:val="18"/>
              </w:rPr>
            </w:r>
            <w:r>
              <w:rPr>
                <w:b w:val="0"/>
                <w:i w:val="0"/>
                <w:sz w:val="18"/>
              </w:rPr>
              <w:t>V</w:t>
            </w:r>
          </w:p>
        </w:tc>
        <w:tc>
          <w:tcPr>
            <w:tcW w:type="dxa" w:w="1624"/>
          </w:tcPr>
          <w:p>
            <w:pPr>
              <w:jc w:val="center"/>
            </w:pPr>
            <w:r>
              <w:rPr>
                <w:sz w:val="18"/>
              </w:rPr>
            </w:r>
            <w:r>
              <w:rPr>
                <w:b w:val="0"/>
                <w:i w:val="0"/>
                <w:sz w:val="18"/>
              </w:rPr>
              <w:t>For validation, describe how the predictions were calculated.</w:t>
            </w:r>
          </w:p>
        </w:tc>
        <w:tc>
          <w:tcPr>
            <w:tcW w:type="dxa" w:w="1624"/>
          </w:tcPr>
          <w:p>
            <w:pPr>
              <w:jc w:val="center"/>
            </w:pPr>
            <w:r>
              <w:rPr>
                <w:sz w:val="18"/>
              </w:rPr>
            </w:r>
            <w:r>
              <w:rPr>
                <w:b w:val="0"/>
                <w:i w:val="0"/>
                <w:sz w:val="18"/>
              </w:rPr>
              <w:t>§2.5 (</w:t>
            </w:r>
            <w:r>
              <w:rPr>
                <w:b/>
                <w:i w:val="0"/>
                <w:sz w:val="18"/>
              </w:rPr>
              <w:t>frozen coefficients, no refitting, no re-selection of genes</w:t>
            </w:r>
            <w:r>
              <w:rPr>
                <w:b w:val="0"/>
                <w:i w:val="0"/>
                <w:sz w:val="18"/>
              </w:rPr>
              <w:t>; only a within-cohort standardisation followed by the linear combination); SM5 (external cohort sources and probe mapping)</w:t>
            </w:r>
          </w:p>
        </w:tc>
        <w:tc>
          <w:tcPr>
            <w:tcW w:type="dxa" w:w="1624"/>
          </w:tcPr>
          <w:p>
            <w:pPr>
              <w:jc w:val="center"/>
            </w:pPr>
            <w:r>
              <w:rPr>
                <w:sz w:val="18"/>
              </w:rPr>
            </w:r>
            <w:r>
              <w:rPr>
                <w:b w:val="0"/>
                <w:i w:val="0"/>
                <w:sz w:val="18"/>
              </w:rPr>
              <w:t>Met</w:t>
            </w:r>
          </w:p>
        </w:tc>
      </w:tr>
      <w:tr>
        <w:tc>
          <w:tcPr>
            <w:tcW w:type="dxa" w:w="1624"/>
          </w:tcPr>
          <w:p>
            <w:pPr>
              <w:jc w:val="center"/>
            </w:pPr>
            <w:r>
              <w:rPr>
                <w:sz w:val="18"/>
              </w:rPr>
            </w:r>
            <w:r>
              <w:rPr>
                <w:b w:val="0"/>
                <w:i w:val="0"/>
                <w:sz w:val="18"/>
              </w:rPr>
              <w:t>Methods — Statistical analysis methods</w:t>
            </w:r>
          </w:p>
        </w:tc>
        <w:tc>
          <w:tcPr>
            <w:tcW w:type="dxa" w:w="1624"/>
          </w:tcPr>
          <w:p>
            <w:pPr>
              <w:jc w:val="center"/>
            </w:pPr>
            <w:r>
              <w:rPr>
                <w:sz w:val="18"/>
              </w:rPr>
            </w:r>
            <w:r>
              <w:rPr>
                <w:b w:val="0"/>
                <w:i w:val="0"/>
                <w:sz w:val="18"/>
              </w:rPr>
              <w:t>10d</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Specify all measures used to assess model performance and, if relevant, to compare multiple models.</w:t>
            </w:r>
          </w:p>
        </w:tc>
        <w:tc>
          <w:tcPr>
            <w:tcW w:type="dxa" w:w="1624"/>
          </w:tcPr>
          <w:p>
            <w:pPr>
              <w:jc w:val="center"/>
            </w:pPr>
            <w:r>
              <w:rPr>
                <w:sz w:val="18"/>
              </w:rPr>
            </w:r>
            <w:r>
              <w:rPr>
                <w:b w:val="0"/>
                <w:i w:val="0"/>
                <w:sz w:val="18"/>
              </w:rPr>
              <w:t xml:space="preserve">§2.3, §2.6; SM6, SM8: C-index (apparent / coefficients-refitted-inside-folds / whole procedure), out-of-fold time-dependent AUC (12/36/60 months), paired-bootstrap differences, </w:t>
            </w:r>
            <w:r>
              <w:rPr>
                <w:b/>
                <w:i w:val="0"/>
                <w:sz w:val="18"/>
              </w:rPr>
              <w:t>36-month calibration (calibration-in-the-large and calibration slope)</w:t>
            </w:r>
            <w:r>
              <w:rPr>
                <w:b w:val="0"/>
                <w:i w:val="0"/>
                <w:sz w:val="18"/>
              </w:rPr>
              <w:t xml:space="preserve">, size-matched random-panel benchmark (including the normalised excess), </w:t>
            </w:r>
            <w:r>
              <w:rPr>
                <w:b/>
                <w:i w:val="0"/>
                <w:sz w:val="18"/>
              </w:rPr>
              <w:t>36-month category-free NRI, IDI and survival-formulation decision curves, each against its own size-matched random-panel null</w:t>
            </w:r>
            <w:r>
              <w:rPr>
                <w:b w:val="0"/>
                <w:i w:val="0"/>
                <w:sz w:val="18"/>
              </w:rPr>
              <w:t xml:space="preserve">, paired </w:t>
            </w:r>
            <w:r>
              <w:rPr>
                <w:b w:val="0"/>
                <w:i/>
                <w:sz w:val="18"/>
              </w:rPr>
              <w:t>t</w:t>
            </w:r>
            <w:r>
              <w:rPr>
                <w:b w:val="0"/>
                <w:i w:val="0"/>
                <w:sz w:val="18"/>
              </w:rPr>
              <w:t xml:space="preserve"> and Wilcoxon</w:t>
            </w:r>
          </w:p>
        </w:tc>
        <w:tc>
          <w:tcPr>
            <w:tcW w:type="dxa" w:w="1624"/>
          </w:tcPr>
          <w:p>
            <w:pPr>
              <w:jc w:val="center"/>
            </w:pPr>
            <w:r>
              <w:rPr>
                <w:sz w:val="18"/>
              </w:rPr>
            </w:r>
            <w:r>
              <w:rPr>
                <w:b w:val="0"/>
                <w:i w:val="0"/>
                <w:sz w:val="18"/>
              </w:rPr>
              <w:t>Met</w:t>
            </w:r>
          </w:p>
        </w:tc>
      </w:tr>
      <w:tr>
        <w:tc>
          <w:tcPr>
            <w:tcW w:type="dxa" w:w="1624"/>
          </w:tcPr>
          <w:p>
            <w:pPr>
              <w:jc w:val="center"/>
            </w:pPr>
            <w:r>
              <w:rPr>
                <w:sz w:val="18"/>
              </w:rPr>
            </w:r>
            <w:r>
              <w:rPr>
                <w:b w:val="0"/>
                <w:i w:val="0"/>
                <w:sz w:val="18"/>
              </w:rPr>
              <w:t>Methods — Statistical analysis methods</w:t>
            </w:r>
          </w:p>
        </w:tc>
        <w:tc>
          <w:tcPr>
            <w:tcW w:type="dxa" w:w="1624"/>
          </w:tcPr>
          <w:p>
            <w:pPr>
              <w:jc w:val="center"/>
            </w:pPr>
            <w:r>
              <w:rPr>
                <w:sz w:val="18"/>
              </w:rPr>
            </w:r>
            <w:r>
              <w:rPr>
                <w:b w:val="0"/>
                <w:i w:val="0"/>
                <w:sz w:val="18"/>
              </w:rPr>
              <w:t>10e</w:t>
            </w:r>
          </w:p>
        </w:tc>
        <w:tc>
          <w:tcPr>
            <w:tcW w:type="dxa" w:w="1624"/>
          </w:tcPr>
          <w:p>
            <w:pPr>
              <w:jc w:val="center"/>
            </w:pPr>
            <w:r>
              <w:rPr>
                <w:sz w:val="18"/>
              </w:rPr>
            </w:r>
            <w:r>
              <w:rPr>
                <w:b w:val="0"/>
                <w:i w:val="0"/>
                <w:sz w:val="18"/>
              </w:rPr>
              <w:t>V</w:t>
            </w:r>
          </w:p>
        </w:tc>
        <w:tc>
          <w:tcPr>
            <w:tcW w:type="dxa" w:w="1624"/>
          </w:tcPr>
          <w:p>
            <w:pPr>
              <w:jc w:val="center"/>
            </w:pPr>
            <w:r>
              <w:rPr>
                <w:sz w:val="18"/>
              </w:rPr>
            </w:r>
            <w:r>
              <w:rPr>
                <w:b w:val="0"/>
                <w:i w:val="0"/>
                <w:sz w:val="18"/>
              </w:rPr>
              <w:t>Describe any model updating (e.g., recalibration) arising from the validation, if done.</w:t>
            </w:r>
          </w:p>
        </w:tc>
        <w:tc>
          <w:tcPr>
            <w:tcW w:type="dxa" w:w="1624"/>
          </w:tcPr>
          <w:p>
            <w:pPr>
              <w:jc w:val="center"/>
            </w:pPr>
            <w:r>
              <w:rPr>
                <w:sz w:val="18"/>
              </w:rPr>
            </w:r>
            <w:r>
              <w:rPr>
                <w:b w:val="0"/>
                <w:i w:val="0"/>
                <w:sz w:val="18"/>
              </w:rPr>
              <w:t>§2.5 (no updating of any kind: no coefficient re-estimation, no recalibration, no gene re-selection)</w:t>
            </w:r>
          </w:p>
        </w:tc>
        <w:tc>
          <w:tcPr>
            <w:tcW w:type="dxa" w:w="1624"/>
          </w:tcPr>
          <w:p>
            <w:pPr>
              <w:jc w:val="center"/>
            </w:pPr>
            <w:r>
              <w:rPr>
                <w:sz w:val="18"/>
              </w:rPr>
            </w:r>
            <w:r>
              <w:rPr>
                <w:b w:val="0"/>
                <w:i w:val="0"/>
                <w:sz w:val="18"/>
              </w:rPr>
              <w:t>Met (</w:t>
            </w:r>
            <w:r>
              <w:rPr>
                <w:b/>
                <w:i w:val="0"/>
                <w:sz w:val="18"/>
              </w:rPr>
              <w:t>reported as not done</w:t>
            </w:r>
            <w:r>
              <w:rPr>
                <w:b w:val="0"/>
                <w:i w:val="0"/>
                <w:sz w:val="18"/>
              </w:rPr>
              <w:t>)</w:t>
            </w:r>
          </w:p>
        </w:tc>
      </w:tr>
      <w:tr>
        <w:tc>
          <w:tcPr>
            <w:tcW w:type="dxa" w:w="1624"/>
          </w:tcPr>
          <w:p>
            <w:pPr>
              <w:jc w:val="center"/>
            </w:pPr>
            <w:r>
              <w:rPr>
                <w:sz w:val="18"/>
              </w:rPr>
            </w:r>
            <w:r>
              <w:rPr>
                <w:b w:val="0"/>
                <w:i w:val="0"/>
                <w:sz w:val="18"/>
              </w:rPr>
              <w:t>Methods — Risk groups</w:t>
            </w:r>
          </w:p>
        </w:tc>
        <w:tc>
          <w:tcPr>
            <w:tcW w:type="dxa" w:w="1624"/>
          </w:tcPr>
          <w:p>
            <w:pPr>
              <w:jc w:val="center"/>
            </w:pPr>
            <w:r>
              <w:rPr>
                <w:sz w:val="18"/>
              </w:rPr>
            </w:r>
            <w:r>
              <w:rPr>
                <w:b w:val="0"/>
                <w:i w:val="0"/>
                <w:sz w:val="18"/>
              </w:rPr>
              <w:t>11</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Provide details on how risk groups were created, if done.</w:t>
            </w:r>
          </w:p>
        </w:tc>
        <w:tc>
          <w:tcPr>
            <w:tcW w:type="dxa" w:w="1624"/>
          </w:tcPr>
          <w:p>
            <w:pPr>
              <w:jc w:val="center"/>
            </w:pPr>
            <w:r>
              <w:rPr>
                <w:sz w:val="18"/>
              </w:rPr>
            </w:r>
            <w:r>
              <w:rPr>
                <w:b w:val="0"/>
                <w:i w:val="0"/>
                <w:sz w:val="18"/>
              </w:rPr>
              <w:t>§2.3 (median split of each score, 254 patients per group); §3.6 (Model A risk groups are used in the purity and immune analyses)</w:t>
            </w:r>
          </w:p>
        </w:tc>
        <w:tc>
          <w:tcPr>
            <w:tcW w:type="dxa" w:w="1624"/>
          </w:tcPr>
          <w:p>
            <w:pPr>
              <w:jc w:val="center"/>
            </w:pPr>
            <w:r>
              <w:rPr>
                <w:sz w:val="18"/>
              </w:rPr>
            </w:r>
            <w:r>
              <w:rPr>
                <w:b w:val="0"/>
                <w:i w:val="0"/>
                <w:sz w:val="18"/>
              </w:rPr>
              <w:t>Met</w:t>
            </w:r>
          </w:p>
        </w:tc>
      </w:tr>
      <w:tr>
        <w:tc>
          <w:tcPr>
            <w:tcW w:type="dxa" w:w="1624"/>
          </w:tcPr>
          <w:p>
            <w:pPr>
              <w:jc w:val="center"/>
            </w:pPr>
            <w:r>
              <w:rPr>
                <w:sz w:val="18"/>
              </w:rPr>
            </w:r>
            <w:r>
              <w:rPr>
                <w:b w:val="0"/>
                <w:i w:val="0"/>
                <w:sz w:val="18"/>
              </w:rPr>
              <w:t>Methods — Development vs. validation</w:t>
            </w:r>
          </w:p>
        </w:tc>
        <w:tc>
          <w:tcPr>
            <w:tcW w:type="dxa" w:w="1624"/>
          </w:tcPr>
          <w:p>
            <w:pPr>
              <w:jc w:val="center"/>
            </w:pPr>
            <w:r>
              <w:rPr>
                <w:sz w:val="18"/>
              </w:rPr>
            </w:r>
            <w:r>
              <w:rPr>
                <w:b w:val="0"/>
                <w:i w:val="0"/>
                <w:sz w:val="18"/>
              </w:rPr>
              <w:t>12</w:t>
            </w:r>
          </w:p>
        </w:tc>
        <w:tc>
          <w:tcPr>
            <w:tcW w:type="dxa" w:w="1624"/>
          </w:tcPr>
          <w:p>
            <w:pPr>
              <w:jc w:val="center"/>
            </w:pPr>
            <w:r>
              <w:rPr>
                <w:sz w:val="18"/>
              </w:rPr>
            </w:r>
            <w:r>
              <w:rPr>
                <w:b w:val="0"/>
                <w:i w:val="0"/>
                <w:sz w:val="18"/>
              </w:rPr>
              <w:t>V</w:t>
            </w:r>
          </w:p>
        </w:tc>
        <w:tc>
          <w:tcPr>
            <w:tcW w:type="dxa" w:w="1624"/>
          </w:tcPr>
          <w:p>
            <w:pPr>
              <w:jc w:val="center"/>
            </w:pPr>
            <w:r>
              <w:rPr>
                <w:sz w:val="18"/>
              </w:rPr>
            </w:r>
            <w:r>
              <w:rPr>
                <w:b w:val="0"/>
                <w:i w:val="0"/>
                <w:sz w:val="18"/>
              </w:rPr>
              <w:t>For validation, identify any differences from the development data in setting, eligibility criteria, outcome, and predictors.</w:t>
            </w:r>
          </w:p>
        </w:tc>
        <w:tc>
          <w:tcPr>
            <w:tcW w:type="dxa" w:w="1624"/>
          </w:tcPr>
          <w:p>
            <w:pPr>
              <w:jc w:val="center"/>
            </w:pPr>
            <w:r>
              <w:rPr>
                <w:sz w:val="18"/>
              </w:rPr>
            </w:r>
            <w:r>
              <w:rPr>
                <w:b w:val="0"/>
                <w:i w:val="0"/>
                <w:sz w:val="18"/>
              </w:rPr>
              <w:t>Last sentence of §2.5; §3.7 (the per-gene direction diagnostic in the two cohorts); the three columns of Table 1 (all analysed / retained / recovered); Table S11a, S16a–S16e</w:t>
            </w:r>
          </w:p>
        </w:tc>
        <w:tc>
          <w:tcPr>
            <w:tcW w:type="dxa" w:w="1624"/>
          </w:tcPr>
          <w:p>
            <w:pPr>
              <w:jc w:val="center"/>
            </w:pPr>
            <w:r>
              <w:rPr>
                <w:sz w:val="18"/>
              </w:rPr>
            </w:r>
            <w:r>
              <w:rPr>
                <w:b w:val="0"/>
                <w:i w:val="0"/>
                <w:sz w:val="18"/>
              </w:rPr>
              <w:t>Met</w:t>
            </w:r>
          </w:p>
        </w:tc>
      </w:tr>
      <w:tr>
        <w:tc>
          <w:tcPr>
            <w:tcW w:type="dxa" w:w="1624"/>
          </w:tcPr>
          <w:p>
            <w:pPr>
              <w:jc w:val="center"/>
            </w:pPr>
            <w:r>
              <w:rPr>
                <w:sz w:val="18"/>
              </w:rPr>
            </w:r>
            <w:r>
              <w:rPr>
                <w:b w:val="0"/>
                <w:i w:val="0"/>
                <w:sz w:val="18"/>
              </w:rPr>
              <w:t>Results — Participants</w:t>
            </w:r>
          </w:p>
        </w:tc>
        <w:tc>
          <w:tcPr>
            <w:tcW w:type="dxa" w:w="1624"/>
          </w:tcPr>
          <w:p>
            <w:pPr>
              <w:jc w:val="center"/>
            </w:pPr>
            <w:r>
              <w:rPr>
                <w:sz w:val="18"/>
              </w:rPr>
            </w:r>
            <w:r>
              <w:rPr>
                <w:b w:val="0"/>
                <w:i w:val="0"/>
                <w:sz w:val="18"/>
              </w:rPr>
              <w:t>13a</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Describe the flow of participants through the study, including the number of participants with and without the outcome and, if applicable, a summary of the follow-up time. A diagram may be helpful.</w:t>
            </w:r>
          </w:p>
        </w:tc>
        <w:tc>
          <w:tcPr>
            <w:tcW w:type="dxa" w:w="1624"/>
          </w:tcPr>
          <w:p>
            <w:pPr>
              <w:jc w:val="center"/>
            </w:pPr>
            <w:r>
              <w:rPr>
                <w:sz w:val="18"/>
              </w:rPr>
            </w:r>
            <w:r>
              <w:rPr>
                <w:b w:val="0"/>
                <w:i w:val="0"/>
                <w:sz w:val="18"/>
              </w:rPr>
              <w:t>Figure 1A (cohort assembly flow); §2.1, §3.1 (398/121 → 508/168, recovering 110 evaluable patients, 21.7%); §3.7 (external cohorts 101/23 and 39/17)</w:t>
            </w:r>
          </w:p>
        </w:tc>
        <w:tc>
          <w:tcPr>
            <w:tcW w:type="dxa" w:w="1624"/>
          </w:tcPr>
          <w:p>
            <w:pPr>
              <w:jc w:val="center"/>
            </w:pPr>
            <w:r>
              <w:rPr>
                <w:sz w:val="18"/>
              </w:rPr>
            </w:r>
            <w:r>
              <w:rPr>
                <w:b w:val="0"/>
                <w:i w:val="0"/>
                <w:sz w:val="18"/>
              </w:rPr>
              <w:t>Met</w:t>
            </w:r>
          </w:p>
        </w:tc>
      </w:tr>
      <w:tr>
        <w:tc>
          <w:tcPr>
            <w:tcW w:type="dxa" w:w="1624"/>
          </w:tcPr>
          <w:p>
            <w:pPr>
              <w:jc w:val="center"/>
            </w:pPr>
            <w:r>
              <w:rPr>
                <w:sz w:val="18"/>
              </w:rPr>
            </w:r>
            <w:r>
              <w:rPr>
                <w:b w:val="0"/>
                <w:i w:val="0"/>
                <w:sz w:val="18"/>
              </w:rPr>
              <w:t>Results — Participants</w:t>
            </w:r>
          </w:p>
        </w:tc>
        <w:tc>
          <w:tcPr>
            <w:tcW w:type="dxa" w:w="1624"/>
          </w:tcPr>
          <w:p>
            <w:pPr>
              <w:jc w:val="center"/>
            </w:pPr>
            <w:r>
              <w:rPr>
                <w:sz w:val="18"/>
              </w:rPr>
            </w:r>
            <w:r>
              <w:rPr>
                <w:b w:val="0"/>
                <w:i w:val="0"/>
                <w:sz w:val="18"/>
              </w:rPr>
              <w:t>13b</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Describe the characteristics of the participants (basic demographics, clinical features, available predictors), including the number of participants with missing data for predictors and outcome.</w:t>
            </w:r>
          </w:p>
        </w:tc>
        <w:tc>
          <w:tcPr>
            <w:tcW w:type="dxa" w:w="1624"/>
          </w:tcPr>
          <w:p>
            <w:pPr>
              <w:jc w:val="center"/>
            </w:pPr>
            <w:r>
              <w:rPr>
                <w:sz w:val="18"/>
              </w:rPr>
            </w:r>
            <w:r>
              <w:rPr>
                <w:b w:val="0"/>
                <w:i w:val="0"/>
                <w:sz w:val="18"/>
              </w:rPr>
              <w:t>Table 1 (age, sex, stage, grade, follow-up, event count, number of evaluable genes, mutation-data availability, purity availability)</w:t>
            </w:r>
          </w:p>
        </w:tc>
        <w:tc>
          <w:tcPr>
            <w:tcW w:type="dxa" w:w="1624"/>
          </w:tcPr>
          <w:p>
            <w:pPr>
              <w:jc w:val="center"/>
            </w:pPr>
            <w:r>
              <w:rPr>
                <w:sz w:val="18"/>
              </w:rPr>
            </w:r>
            <w:r>
              <w:rPr>
                <w:b w:val="0"/>
                <w:i w:val="0"/>
                <w:sz w:val="18"/>
              </w:rPr>
              <w:t>Met</w:t>
            </w:r>
          </w:p>
        </w:tc>
      </w:tr>
      <w:tr>
        <w:tc>
          <w:tcPr>
            <w:tcW w:type="dxa" w:w="1624"/>
          </w:tcPr>
          <w:p>
            <w:pPr>
              <w:jc w:val="center"/>
            </w:pPr>
            <w:r>
              <w:rPr>
                <w:sz w:val="18"/>
              </w:rPr>
            </w:r>
            <w:r>
              <w:rPr>
                <w:b w:val="0"/>
                <w:i w:val="0"/>
                <w:sz w:val="18"/>
              </w:rPr>
              <w:t>Results — Participants</w:t>
            </w:r>
          </w:p>
        </w:tc>
        <w:tc>
          <w:tcPr>
            <w:tcW w:type="dxa" w:w="1624"/>
          </w:tcPr>
          <w:p>
            <w:pPr>
              <w:jc w:val="center"/>
            </w:pPr>
            <w:r>
              <w:rPr>
                <w:sz w:val="18"/>
              </w:rPr>
            </w:r>
            <w:r>
              <w:rPr>
                <w:b w:val="0"/>
                <w:i w:val="0"/>
                <w:sz w:val="18"/>
              </w:rPr>
              <w:t>13c</w:t>
            </w:r>
          </w:p>
        </w:tc>
        <w:tc>
          <w:tcPr>
            <w:tcW w:type="dxa" w:w="1624"/>
          </w:tcPr>
          <w:p>
            <w:pPr>
              <w:jc w:val="center"/>
            </w:pPr>
            <w:r>
              <w:rPr>
                <w:sz w:val="18"/>
              </w:rPr>
            </w:r>
            <w:r>
              <w:rPr>
                <w:b w:val="0"/>
                <w:i w:val="0"/>
                <w:sz w:val="18"/>
              </w:rPr>
              <w:t>V</w:t>
            </w:r>
          </w:p>
        </w:tc>
        <w:tc>
          <w:tcPr>
            <w:tcW w:type="dxa" w:w="1624"/>
          </w:tcPr>
          <w:p>
            <w:pPr>
              <w:jc w:val="center"/>
            </w:pPr>
            <w:r>
              <w:rPr>
                <w:sz w:val="18"/>
              </w:rPr>
            </w:r>
            <w:r>
              <w:rPr>
                <w:b w:val="0"/>
                <w:i w:val="0"/>
                <w:sz w:val="18"/>
              </w:rPr>
              <w:t>For validation, show a comparison with the development data of the distribution of important variables (demographics, predictors and outcome).</w:t>
            </w:r>
          </w:p>
        </w:tc>
        <w:tc>
          <w:tcPr>
            <w:tcW w:type="dxa" w:w="1624"/>
          </w:tcPr>
          <w:p>
            <w:pPr>
              <w:jc w:val="center"/>
            </w:pPr>
            <w:r>
              <w:rPr>
                <w:sz w:val="18"/>
              </w:rPr>
            </w:r>
            <w:r>
              <w:rPr>
                <w:b w:val="0"/>
                <w:i w:val="0"/>
                <w:sz w:val="18"/>
              </w:rPr>
              <w:t>The retained / recovered columns of Table 1 compare distributions within the recut development set; external-versus-development comparison is in §3.7 and Table S16e (mainly the per-gene direction diagnostic, with Table S16a–S16d)</w:t>
            </w:r>
          </w:p>
        </w:tc>
        <w:tc>
          <w:tcPr>
            <w:tcW w:type="dxa" w:w="1624"/>
          </w:tcPr>
          <w:p>
            <w:pPr>
              <w:jc w:val="center"/>
            </w:pPr>
            <w:r>
              <w:rPr>
                <w:sz w:val="18"/>
              </w:rPr>
            </w:r>
            <w:r>
              <w:rPr>
                <w:b w:val="0"/>
                <w:i w:val="0"/>
                <w:sz w:val="18"/>
              </w:rPr>
              <w:t>Met</w:t>
            </w:r>
          </w:p>
        </w:tc>
      </w:tr>
      <w:tr>
        <w:tc>
          <w:tcPr>
            <w:tcW w:type="dxa" w:w="1624"/>
          </w:tcPr>
          <w:p>
            <w:pPr>
              <w:jc w:val="center"/>
            </w:pPr>
            <w:r>
              <w:rPr>
                <w:sz w:val="18"/>
              </w:rPr>
            </w:r>
            <w:r>
              <w:rPr>
                <w:b w:val="0"/>
                <w:i w:val="0"/>
                <w:sz w:val="18"/>
              </w:rPr>
              <w:t>Results — Model development</w:t>
            </w:r>
          </w:p>
        </w:tc>
        <w:tc>
          <w:tcPr>
            <w:tcW w:type="dxa" w:w="1624"/>
          </w:tcPr>
          <w:p>
            <w:pPr>
              <w:jc w:val="center"/>
            </w:pPr>
            <w:r>
              <w:rPr>
                <w:sz w:val="18"/>
              </w:rPr>
            </w:r>
            <w:r>
              <w:rPr>
                <w:b w:val="0"/>
                <w:i w:val="0"/>
                <w:sz w:val="18"/>
              </w:rPr>
              <w:t>14a</w:t>
            </w:r>
          </w:p>
        </w:tc>
        <w:tc>
          <w:tcPr>
            <w:tcW w:type="dxa" w:w="1624"/>
          </w:tcPr>
          <w:p>
            <w:pPr>
              <w:jc w:val="center"/>
            </w:pPr>
            <w:r>
              <w:rPr>
                <w:sz w:val="18"/>
              </w:rPr>
            </w:r>
            <w:r>
              <w:rPr>
                <w:b w:val="0"/>
                <w:i w:val="0"/>
                <w:sz w:val="18"/>
              </w:rPr>
              <w:t>D</w:t>
            </w:r>
          </w:p>
        </w:tc>
        <w:tc>
          <w:tcPr>
            <w:tcW w:type="dxa" w:w="1624"/>
          </w:tcPr>
          <w:p>
            <w:pPr>
              <w:jc w:val="center"/>
            </w:pPr>
            <w:r>
              <w:rPr>
                <w:sz w:val="18"/>
              </w:rPr>
            </w:r>
            <w:r>
              <w:rPr>
                <w:b w:val="0"/>
                <w:i w:val="0"/>
                <w:sz w:val="18"/>
              </w:rPr>
              <w:t>Specify the number of participants and outcome events in each analysis.</w:t>
            </w:r>
          </w:p>
        </w:tc>
        <w:tc>
          <w:tcPr>
            <w:tcW w:type="dxa" w:w="1624"/>
          </w:tcPr>
          <w:p>
            <w:pPr>
              <w:jc w:val="center"/>
            </w:pPr>
            <w:r>
              <w:rPr>
                <w:sz w:val="18"/>
              </w:rPr>
            </w:r>
            <w:r>
              <w:rPr>
                <w:b w:val="0"/>
                <w:i w:val="0"/>
                <w:sz w:val="18"/>
              </w:rPr>
              <w:t>Table 1; Figure 4 legend (n = 508, 168 deaths); §3.5 (clinical utility: 106 deaths by 36 months, 280 alive past the horizon, 122 censored before it); §3.6 (purity, 479 patients; mutations, 278 patients); §3.7 (101/23 and 39/17); Figure 4E legend (GDC 368/94)</w:t>
            </w:r>
          </w:p>
        </w:tc>
        <w:tc>
          <w:tcPr>
            <w:tcW w:type="dxa" w:w="1624"/>
          </w:tcPr>
          <w:p>
            <w:pPr>
              <w:jc w:val="center"/>
            </w:pPr>
            <w:r>
              <w:rPr>
                <w:sz w:val="18"/>
              </w:rPr>
            </w:r>
            <w:r>
              <w:rPr>
                <w:b w:val="0"/>
                <w:i w:val="0"/>
                <w:sz w:val="18"/>
              </w:rPr>
              <w:t>Met</w:t>
            </w:r>
          </w:p>
        </w:tc>
      </w:tr>
      <w:tr>
        <w:tc>
          <w:tcPr>
            <w:tcW w:type="dxa" w:w="1624"/>
          </w:tcPr>
          <w:p>
            <w:pPr>
              <w:jc w:val="center"/>
            </w:pPr>
            <w:r>
              <w:rPr>
                <w:sz w:val="18"/>
              </w:rPr>
            </w:r>
            <w:r>
              <w:rPr>
                <w:b w:val="0"/>
                <w:i w:val="0"/>
                <w:sz w:val="18"/>
              </w:rPr>
              <w:t>Results — Model development</w:t>
            </w:r>
          </w:p>
        </w:tc>
        <w:tc>
          <w:tcPr>
            <w:tcW w:type="dxa" w:w="1624"/>
          </w:tcPr>
          <w:p>
            <w:pPr>
              <w:jc w:val="center"/>
            </w:pPr>
            <w:r>
              <w:rPr>
                <w:sz w:val="18"/>
              </w:rPr>
            </w:r>
            <w:r>
              <w:rPr>
                <w:b w:val="0"/>
                <w:i w:val="0"/>
                <w:sz w:val="18"/>
              </w:rPr>
              <w:t>14b</w:t>
            </w:r>
          </w:p>
        </w:tc>
        <w:tc>
          <w:tcPr>
            <w:tcW w:type="dxa" w:w="1624"/>
          </w:tcPr>
          <w:p>
            <w:pPr>
              <w:jc w:val="center"/>
            </w:pPr>
            <w:r>
              <w:rPr>
                <w:sz w:val="18"/>
              </w:rPr>
            </w:r>
            <w:r>
              <w:rPr>
                <w:b w:val="0"/>
                <w:i w:val="0"/>
                <w:sz w:val="18"/>
              </w:rPr>
              <w:t>D</w:t>
            </w:r>
          </w:p>
        </w:tc>
        <w:tc>
          <w:tcPr>
            <w:tcW w:type="dxa" w:w="1624"/>
          </w:tcPr>
          <w:p>
            <w:pPr>
              <w:jc w:val="center"/>
            </w:pPr>
            <w:r>
              <w:rPr>
                <w:sz w:val="18"/>
              </w:rPr>
            </w:r>
            <w:r>
              <w:rPr>
                <w:b w:val="0"/>
                <w:i w:val="0"/>
                <w:sz w:val="18"/>
              </w:rPr>
              <w:t>If done, report the unadjusted association between each candidate predictor and outcome.</w:t>
            </w:r>
          </w:p>
        </w:tc>
        <w:tc>
          <w:tcPr>
            <w:tcW w:type="dxa" w:w="1624"/>
          </w:tcPr>
          <w:p>
            <w:pPr>
              <w:jc w:val="center"/>
            </w:pPr>
            <w:r>
              <w:rPr>
                <w:sz w:val="18"/>
              </w:rPr>
            </w:r>
            <w:r>
              <w:rPr>
                <w:b w:val="0"/>
                <w:i w:val="0"/>
                <w:sz w:val="18"/>
              </w:rPr>
              <w:t xml:space="preserve">Figure 1B; §3.1; Table S2 (univariate Cox and BH </w:t>
            </w:r>
            <w:r>
              <w:rPr>
                <w:b w:val="0"/>
                <w:i/>
                <w:sz w:val="18"/>
              </w:rPr>
              <w:t>q</w:t>
            </w:r>
            <w:r>
              <w:rPr>
                <w:b w:val="0"/>
                <w:i w:val="0"/>
                <w:sz w:val="18"/>
              </w:rPr>
              <w:t xml:space="preserve"> for all 87 genes); Table S17 (full table after forced entry of stage and grade)</w:t>
            </w:r>
          </w:p>
        </w:tc>
        <w:tc>
          <w:tcPr>
            <w:tcW w:type="dxa" w:w="1624"/>
          </w:tcPr>
          <w:p>
            <w:pPr>
              <w:jc w:val="center"/>
            </w:pPr>
            <w:r>
              <w:rPr>
                <w:sz w:val="18"/>
              </w:rPr>
            </w:r>
            <w:r>
              <w:rPr>
                <w:b w:val="0"/>
                <w:i w:val="0"/>
                <w:sz w:val="18"/>
              </w:rPr>
              <w:t>Met</w:t>
            </w:r>
          </w:p>
        </w:tc>
      </w:tr>
      <w:tr>
        <w:tc>
          <w:tcPr>
            <w:tcW w:type="dxa" w:w="1624"/>
          </w:tcPr>
          <w:p>
            <w:pPr>
              <w:jc w:val="center"/>
            </w:pPr>
            <w:r>
              <w:rPr>
                <w:sz w:val="18"/>
              </w:rPr>
            </w:r>
            <w:r>
              <w:rPr>
                <w:b w:val="0"/>
                <w:i w:val="0"/>
                <w:sz w:val="18"/>
              </w:rPr>
              <w:t>Results — Model specification</w:t>
            </w:r>
          </w:p>
        </w:tc>
        <w:tc>
          <w:tcPr>
            <w:tcW w:type="dxa" w:w="1624"/>
          </w:tcPr>
          <w:p>
            <w:pPr>
              <w:jc w:val="center"/>
            </w:pPr>
            <w:r>
              <w:rPr>
                <w:sz w:val="18"/>
              </w:rPr>
            </w:r>
            <w:r>
              <w:rPr>
                <w:b w:val="0"/>
                <w:i w:val="0"/>
                <w:sz w:val="18"/>
              </w:rPr>
              <w:t>15a</w:t>
            </w:r>
          </w:p>
        </w:tc>
        <w:tc>
          <w:tcPr>
            <w:tcW w:type="dxa" w:w="1624"/>
          </w:tcPr>
          <w:p>
            <w:pPr>
              <w:jc w:val="center"/>
            </w:pPr>
            <w:r>
              <w:rPr>
                <w:sz w:val="18"/>
              </w:rPr>
            </w:r>
            <w:r>
              <w:rPr>
                <w:b w:val="0"/>
                <w:i w:val="0"/>
                <w:sz w:val="18"/>
              </w:rPr>
              <w:t>D</w:t>
            </w:r>
          </w:p>
        </w:tc>
        <w:tc>
          <w:tcPr>
            <w:tcW w:type="dxa" w:w="1624"/>
          </w:tcPr>
          <w:p>
            <w:pPr>
              <w:jc w:val="center"/>
            </w:pPr>
            <w:r>
              <w:rPr>
                <w:sz w:val="18"/>
              </w:rPr>
            </w:r>
            <w:r>
              <w:rPr>
                <w:b w:val="0"/>
                <w:i w:val="0"/>
                <w:sz w:val="18"/>
              </w:rPr>
              <w:t>Present the full prediction model to allow predictions for individuals (i.e., all regression coefficients, and model intercept or baseline survival at a given time point).</w:t>
            </w:r>
          </w:p>
        </w:tc>
        <w:tc>
          <w:tcPr>
            <w:tcW w:type="dxa" w:w="1624"/>
          </w:tcPr>
          <w:p>
            <w:pPr>
              <w:jc w:val="center"/>
            </w:pPr>
            <w:r>
              <w:rPr>
                <w:sz w:val="18"/>
              </w:rPr>
            </w:r>
            <w:r>
              <w:rPr>
                <w:b w:val="0"/>
                <w:i w:val="0"/>
                <w:sz w:val="18"/>
              </w:rPr>
              <w:t xml:space="preserve">Table 2 Panel A (the three frozen β values and HRs); Table S3 (all 25 gene coefficients listed); Table S4a (four-gene / three-gene); </w:t>
            </w:r>
            <w:r>
              <w:rPr>
                <w:b/>
                <w:i w:val="0"/>
                <w:sz w:val="18"/>
              </w:rPr>
              <w:t>baseline survival (36 months)</w:t>
            </w:r>
            <w:r>
              <w:rPr>
                <w:b w:val="0"/>
                <w:i w:val="0"/>
                <w:sz w:val="18"/>
              </w:rPr>
              <w:t xml:space="preserve"> in SM6 (H0(36) = 0.2504 / 0.2228 / 0.2228); Table S23</w:t>
            </w:r>
          </w:p>
        </w:tc>
        <w:tc>
          <w:tcPr>
            <w:tcW w:type="dxa" w:w="1624"/>
          </w:tcPr>
          <w:p>
            <w:pPr>
              <w:jc w:val="center"/>
            </w:pPr>
            <w:r>
              <w:rPr>
                <w:sz w:val="18"/>
              </w:rPr>
            </w:r>
            <w:r>
              <w:rPr>
                <w:b w:val="0"/>
                <w:i w:val="0"/>
                <w:sz w:val="18"/>
              </w:rPr>
              <w:t>Met (</w:t>
            </w:r>
            <w:r>
              <w:rPr>
                <w:b/>
                <w:i w:val="0"/>
                <w:sz w:val="18"/>
              </w:rPr>
              <w:t>completed from v1.7 onward</w:t>
            </w:r>
            <w:r>
              <w:rPr>
                <w:b w:val="0"/>
                <w:i w:val="0"/>
                <w:sz w:val="18"/>
              </w:rPr>
              <w:t>: before that the baseline survival was missing and absolute risk could not be computed for an individual; this item only became true once the calibration analysis was deposited)</w:t>
            </w:r>
          </w:p>
        </w:tc>
      </w:tr>
      <w:tr>
        <w:tc>
          <w:tcPr>
            <w:tcW w:type="dxa" w:w="1624"/>
          </w:tcPr>
          <w:p>
            <w:pPr>
              <w:jc w:val="center"/>
            </w:pPr>
            <w:r>
              <w:rPr>
                <w:sz w:val="18"/>
              </w:rPr>
            </w:r>
            <w:r>
              <w:rPr>
                <w:b w:val="0"/>
                <w:i w:val="0"/>
                <w:sz w:val="18"/>
              </w:rPr>
              <w:t>Results — Model specification</w:t>
            </w:r>
          </w:p>
        </w:tc>
        <w:tc>
          <w:tcPr>
            <w:tcW w:type="dxa" w:w="1624"/>
          </w:tcPr>
          <w:p>
            <w:pPr>
              <w:jc w:val="center"/>
            </w:pPr>
            <w:r>
              <w:rPr>
                <w:sz w:val="18"/>
              </w:rPr>
            </w:r>
            <w:r>
              <w:rPr>
                <w:b w:val="0"/>
                <w:i w:val="0"/>
                <w:sz w:val="18"/>
              </w:rPr>
              <w:t>15b</w:t>
            </w:r>
          </w:p>
        </w:tc>
        <w:tc>
          <w:tcPr>
            <w:tcW w:type="dxa" w:w="1624"/>
          </w:tcPr>
          <w:p>
            <w:pPr>
              <w:jc w:val="center"/>
            </w:pPr>
            <w:r>
              <w:rPr>
                <w:sz w:val="18"/>
              </w:rPr>
            </w:r>
            <w:r>
              <w:rPr>
                <w:b w:val="0"/>
                <w:i w:val="0"/>
                <w:sz w:val="18"/>
              </w:rPr>
              <w:t>D</w:t>
            </w:r>
          </w:p>
        </w:tc>
        <w:tc>
          <w:tcPr>
            <w:tcW w:type="dxa" w:w="1624"/>
          </w:tcPr>
          <w:p>
            <w:pPr>
              <w:jc w:val="center"/>
            </w:pPr>
            <w:r>
              <w:rPr>
                <w:sz w:val="18"/>
              </w:rPr>
            </w:r>
            <w:r>
              <w:rPr>
                <w:b w:val="0"/>
                <w:i w:val="0"/>
                <w:sz w:val="18"/>
              </w:rPr>
              <w:t>Explain how to use the prediction model.</w:t>
            </w:r>
          </w:p>
        </w:tc>
        <w:tc>
          <w:tcPr>
            <w:tcW w:type="dxa" w:w="1624"/>
          </w:tcPr>
          <w:p>
            <w:pPr>
              <w:jc w:val="center"/>
            </w:pPr>
            <w:r>
              <w:rPr>
                <w:sz w:val="18"/>
              </w:rPr>
            </w:r>
            <w:r>
              <w:rPr>
                <w:b w:val="0"/>
                <w:i w:val="0"/>
                <w:sz w:val="18"/>
              </w:rPr>
              <w:t>§2.3, §2.4 (within-cohort standardisation, then the frozen linear combination, then a median split); SM6 gives the complete absolute-risk algorithm (Breslow baseline × exp(lp)); §3.5 gives the 36-month risk translation actually used for the utility metrics</w:t>
            </w:r>
          </w:p>
        </w:tc>
        <w:tc>
          <w:tcPr>
            <w:tcW w:type="dxa" w:w="1624"/>
          </w:tcPr>
          <w:p>
            <w:pPr>
              <w:jc w:val="center"/>
            </w:pPr>
            <w:r>
              <w:rPr>
                <w:sz w:val="18"/>
              </w:rPr>
            </w:r>
            <w:r>
              <w:rPr>
                <w:b w:val="0"/>
                <w:i w:val="0"/>
                <w:sz w:val="18"/>
              </w:rPr>
              <w:t>Met</w:t>
            </w:r>
          </w:p>
        </w:tc>
      </w:tr>
      <w:tr>
        <w:tc>
          <w:tcPr>
            <w:tcW w:type="dxa" w:w="1624"/>
          </w:tcPr>
          <w:p>
            <w:pPr>
              <w:jc w:val="center"/>
            </w:pPr>
            <w:r>
              <w:rPr>
                <w:sz w:val="18"/>
              </w:rPr>
            </w:r>
            <w:r>
              <w:rPr>
                <w:b w:val="0"/>
                <w:i w:val="0"/>
                <w:sz w:val="18"/>
              </w:rPr>
              <w:t>Results — Model performance</w:t>
            </w:r>
          </w:p>
        </w:tc>
        <w:tc>
          <w:tcPr>
            <w:tcW w:type="dxa" w:w="1624"/>
          </w:tcPr>
          <w:p>
            <w:pPr>
              <w:jc w:val="center"/>
            </w:pPr>
            <w:r>
              <w:rPr>
                <w:sz w:val="18"/>
              </w:rPr>
            </w:r>
            <w:r>
              <w:rPr>
                <w:b w:val="0"/>
                <w:i w:val="0"/>
                <w:sz w:val="18"/>
              </w:rPr>
              <w:t>16</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Report performance measures (with CIs) for the prediction model.</w:t>
            </w:r>
          </w:p>
        </w:tc>
        <w:tc>
          <w:tcPr>
            <w:tcW w:type="dxa" w:w="1624"/>
          </w:tcPr>
          <w:p>
            <w:pPr>
              <w:jc w:val="center"/>
            </w:pPr>
            <w:r>
              <w:rPr>
                <w:sz w:val="18"/>
              </w:rPr>
            </w:r>
            <w:r>
              <w:rPr>
                <w:b w:val="0"/>
                <w:i w:val="0"/>
                <w:sz w:val="18"/>
              </w:rPr>
              <w:t>§3.3–§3.7; Table 2 Panel B (apparent C, cross-validated C, EPV, adjusted HR with 95% CI); Figure 4A–F; Table S9a–S9e; Table S24, S26, S28 (</w:t>
            </w:r>
            <w:r>
              <w:rPr>
                <w:b/>
                <w:i w:val="0"/>
                <w:sz w:val="18"/>
              </w:rPr>
              <w:t>the utility metrics with their bootstrapped CIs and their size-matched null</w:t>
            </w:r>
            <w:r>
              <w:rPr>
                <w:b w:val="0"/>
                <w:i w:val="0"/>
                <w:sz w:val="18"/>
              </w:rPr>
              <w:t>)</w:t>
            </w:r>
          </w:p>
        </w:tc>
        <w:tc>
          <w:tcPr>
            <w:tcW w:type="dxa" w:w="1624"/>
          </w:tcPr>
          <w:p>
            <w:pPr>
              <w:jc w:val="center"/>
            </w:pPr>
            <w:r>
              <w:rPr>
                <w:sz w:val="18"/>
              </w:rPr>
            </w:r>
            <w:r>
              <w:rPr>
                <w:b w:val="0"/>
                <w:i w:val="0"/>
                <w:sz w:val="18"/>
              </w:rPr>
              <w:t>Met</w:t>
            </w:r>
          </w:p>
        </w:tc>
      </w:tr>
      <w:tr>
        <w:tc>
          <w:tcPr>
            <w:tcW w:type="dxa" w:w="1624"/>
          </w:tcPr>
          <w:p>
            <w:pPr>
              <w:jc w:val="center"/>
            </w:pPr>
            <w:r>
              <w:rPr>
                <w:sz w:val="18"/>
              </w:rPr>
            </w:r>
            <w:r>
              <w:rPr>
                <w:b w:val="0"/>
                <w:i w:val="0"/>
                <w:sz w:val="18"/>
              </w:rPr>
              <w:t>Results — Model-updating</w:t>
            </w:r>
          </w:p>
        </w:tc>
        <w:tc>
          <w:tcPr>
            <w:tcW w:type="dxa" w:w="1624"/>
          </w:tcPr>
          <w:p>
            <w:pPr>
              <w:jc w:val="center"/>
            </w:pPr>
            <w:r>
              <w:rPr>
                <w:sz w:val="18"/>
              </w:rPr>
            </w:r>
            <w:r>
              <w:rPr>
                <w:b w:val="0"/>
                <w:i w:val="0"/>
                <w:sz w:val="18"/>
              </w:rPr>
              <w:t>17</w:t>
            </w:r>
          </w:p>
        </w:tc>
        <w:tc>
          <w:tcPr>
            <w:tcW w:type="dxa" w:w="1624"/>
          </w:tcPr>
          <w:p>
            <w:pPr>
              <w:jc w:val="center"/>
            </w:pPr>
            <w:r>
              <w:rPr>
                <w:sz w:val="18"/>
              </w:rPr>
            </w:r>
            <w:r>
              <w:rPr>
                <w:b w:val="0"/>
                <w:i w:val="0"/>
                <w:sz w:val="18"/>
              </w:rPr>
              <w:t>V</w:t>
            </w:r>
          </w:p>
        </w:tc>
        <w:tc>
          <w:tcPr>
            <w:tcW w:type="dxa" w:w="1624"/>
          </w:tcPr>
          <w:p>
            <w:pPr>
              <w:jc w:val="center"/>
            </w:pPr>
            <w:r>
              <w:rPr>
                <w:sz w:val="18"/>
              </w:rPr>
            </w:r>
            <w:r>
              <w:rPr>
                <w:b w:val="0"/>
                <w:i w:val="0"/>
                <w:sz w:val="18"/>
              </w:rPr>
              <w:t>If done, report the results from any model updating (i.e., model specification, model performance).</w:t>
            </w:r>
          </w:p>
        </w:tc>
        <w:tc>
          <w:tcPr>
            <w:tcW w:type="dxa" w:w="1624"/>
          </w:tcPr>
          <w:p>
            <w:pPr>
              <w:jc w:val="center"/>
            </w:pPr>
            <w:r>
              <w:rPr>
                <w:sz w:val="18"/>
              </w:rPr>
            </w:r>
            <w:r>
              <w:rPr>
                <w:b w:val="0"/>
                <w:i w:val="0"/>
                <w:sz w:val="18"/>
              </w:rPr>
              <w:t>§2.5 (no updating); §3.7 (</w:t>
            </w:r>
            <w:r>
              <w:rPr>
                <w:b/>
                <w:i w:val="0"/>
                <w:sz w:val="18"/>
              </w:rPr>
              <w:t>the absence of updating is the point</w:t>
            </w:r>
            <w:r>
              <w:rPr>
                <w:b w:val="0"/>
                <w:i w:val="0"/>
                <w:sz w:val="18"/>
              </w:rPr>
              <w:t>: recalibration could have rescued the failing cohort and was deliberately refused)</w:t>
            </w:r>
          </w:p>
        </w:tc>
        <w:tc>
          <w:tcPr>
            <w:tcW w:type="dxa" w:w="1624"/>
          </w:tcPr>
          <w:p>
            <w:pPr>
              <w:jc w:val="center"/>
            </w:pPr>
            <w:r>
              <w:rPr>
                <w:sz w:val="18"/>
              </w:rPr>
            </w:r>
            <w:r>
              <w:rPr>
                <w:b w:val="0"/>
                <w:i w:val="0"/>
                <w:sz w:val="18"/>
              </w:rPr>
              <w:t>Met (</w:t>
            </w:r>
            <w:r>
              <w:rPr>
                <w:b/>
                <w:i w:val="0"/>
                <w:sz w:val="18"/>
              </w:rPr>
              <w:t>reported as not done</w:t>
            </w:r>
            <w:r>
              <w:rPr>
                <w:b w:val="0"/>
                <w:i w:val="0"/>
                <w:sz w:val="18"/>
              </w:rPr>
              <w:t>)</w:t>
            </w:r>
          </w:p>
        </w:tc>
      </w:tr>
      <w:tr>
        <w:tc>
          <w:tcPr>
            <w:tcW w:type="dxa" w:w="1624"/>
          </w:tcPr>
          <w:p>
            <w:pPr>
              <w:jc w:val="center"/>
            </w:pPr>
            <w:r>
              <w:rPr>
                <w:sz w:val="18"/>
              </w:rPr>
            </w:r>
            <w:r>
              <w:rPr>
                <w:b w:val="0"/>
                <w:i w:val="0"/>
                <w:sz w:val="18"/>
              </w:rPr>
              <w:t>Discussion — Limitations</w:t>
            </w:r>
          </w:p>
        </w:tc>
        <w:tc>
          <w:tcPr>
            <w:tcW w:type="dxa" w:w="1624"/>
          </w:tcPr>
          <w:p>
            <w:pPr>
              <w:jc w:val="center"/>
            </w:pPr>
            <w:r>
              <w:rPr>
                <w:sz w:val="18"/>
              </w:rPr>
            </w:r>
            <w:r>
              <w:rPr>
                <w:b w:val="0"/>
                <w:i w:val="0"/>
                <w:sz w:val="18"/>
              </w:rPr>
              <w:t>18</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Discuss any limitations of the study (such as nonrepresentative sample, few events per predictor, missing data).</w:t>
            </w:r>
          </w:p>
        </w:tc>
        <w:tc>
          <w:tcPr>
            <w:tcW w:type="dxa" w:w="1624"/>
          </w:tcPr>
          <w:p>
            <w:pPr>
              <w:jc w:val="center"/>
            </w:pPr>
            <w:r>
              <w:rPr>
                <w:sz w:val="18"/>
              </w:rPr>
            </w:r>
            <w:r>
              <w:rPr>
                <w:b w:val="0"/>
                <w:i w:val="0"/>
                <w:sz w:val="18"/>
              </w:rPr>
              <w:t xml:space="preserve">Limitations paragraph, which is exhaustive in one block rather than itemised: one positive and one negative external validation; GDC not an independent cohort; a cohort added outside the pre-specified protocol; TIDE / IMvigor210 / GEPIA2 not run; equivalence rather than superiority; the third gene fails stability selection; </w:t>
            </w:r>
            <w:r>
              <w:rPr>
                <w:b/>
                <w:i w:val="0"/>
                <w:sz w:val="18"/>
              </w:rPr>
              <w:t>clinical utility measured at 36 months only, its NRI not beyond the size-matched null and its net-benefit gain including zero at every threshold</w:t>
            </w:r>
            <w:r>
              <w:rPr>
                <w:b w:val="0"/>
                <w:i w:val="0"/>
                <w:sz w:val="18"/>
              </w:rPr>
              <w:t>; purity assessed only at the genomic level; no comparison against other cell-death signatures; the mechanistic link untested; the z-score matrix metric; weak subtype separation; the recut cohort; missing-data and grade handling; 57.0-month follow-up; no treatment data</w:t>
            </w:r>
          </w:p>
        </w:tc>
        <w:tc>
          <w:tcPr>
            <w:tcW w:type="dxa" w:w="1624"/>
          </w:tcPr>
          <w:p>
            <w:pPr>
              <w:jc w:val="center"/>
            </w:pPr>
            <w:r>
              <w:rPr>
                <w:sz w:val="18"/>
              </w:rPr>
            </w:r>
            <w:r>
              <w:rPr>
                <w:b w:val="0"/>
                <w:i w:val="0"/>
                <w:sz w:val="18"/>
              </w:rPr>
              <w:t>Met</w:t>
            </w:r>
          </w:p>
        </w:tc>
      </w:tr>
      <w:tr>
        <w:tc>
          <w:tcPr>
            <w:tcW w:type="dxa" w:w="1624"/>
          </w:tcPr>
          <w:p>
            <w:pPr>
              <w:jc w:val="center"/>
            </w:pPr>
            <w:r>
              <w:rPr>
                <w:sz w:val="18"/>
              </w:rPr>
            </w:r>
            <w:r>
              <w:rPr>
                <w:b w:val="0"/>
                <w:i w:val="0"/>
                <w:sz w:val="18"/>
              </w:rPr>
              <w:t>Discussion — Interpretation</w:t>
            </w:r>
          </w:p>
        </w:tc>
        <w:tc>
          <w:tcPr>
            <w:tcW w:type="dxa" w:w="1624"/>
          </w:tcPr>
          <w:p>
            <w:pPr>
              <w:jc w:val="center"/>
            </w:pPr>
            <w:r>
              <w:rPr>
                <w:sz w:val="18"/>
              </w:rPr>
            </w:r>
            <w:r>
              <w:rPr>
                <w:b w:val="0"/>
                <w:i w:val="0"/>
                <w:sz w:val="18"/>
              </w:rPr>
              <w:t>19a</w:t>
            </w:r>
          </w:p>
        </w:tc>
        <w:tc>
          <w:tcPr>
            <w:tcW w:type="dxa" w:w="1624"/>
          </w:tcPr>
          <w:p>
            <w:pPr>
              <w:jc w:val="center"/>
            </w:pPr>
            <w:r>
              <w:rPr>
                <w:sz w:val="18"/>
              </w:rPr>
            </w:r>
            <w:r>
              <w:rPr>
                <w:b w:val="0"/>
                <w:i w:val="0"/>
                <w:sz w:val="18"/>
              </w:rPr>
              <w:t>V</w:t>
            </w:r>
          </w:p>
        </w:tc>
        <w:tc>
          <w:tcPr>
            <w:tcW w:type="dxa" w:w="1624"/>
          </w:tcPr>
          <w:p>
            <w:pPr>
              <w:jc w:val="center"/>
            </w:pPr>
            <w:r>
              <w:rPr>
                <w:sz w:val="18"/>
              </w:rPr>
            </w:r>
            <w:r>
              <w:rPr>
                <w:b w:val="0"/>
                <w:i w:val="0"/>
                <w:sz w:val="18"/>
              </w:rPr>
              <w:t>For validation, discuss the results with reference to performance in the development data, and any other validation data.</w:t>
            </w:r>
          </w:p>
        </w:tc>
        <w:tc>
          <w:tcPr>
            <w:tcW w:type="dxa" w:w="1624"/>
          </w:tcPr>
          <w:p>
            <w:pPr>
              <w:jc w:val="center"/>
            </w:pPr>
            <w:r>
              <w:rPr>
                <w:sz w:val="18"/>
              </w:rPr>
            </w:r>
            <w:r>
              <w:rPr>
                <w:b w:val="0"/>
                <w:i w:val="0"/>
                <w:sz w:val="18"/>
              </w:rPr>
              <w:t>§3.7; §4 paragraph 3 (one validation succeeded and one inverted, attributed through the matched diagnostic between the two cohorts)</w:t>
            </w:r>
          </w:p>
        </w:tc>
        <w:tc>
          <w:tcPr>
            <w:tcW w:type="dxa" w:w="1624"/>
          </w:tcPr>
          <w:p>
            <w:pPr>
              <w:jc w:val="center"/>
            </w:pPr>
            <w:r>
              <w:rPr>
                <w:sz w:val="18"/>
              </w:rPr>
            </w:r>
            <w:r>
              <w:rPr>
                <w:b w:val="0"/>
                <w:i w:val="0"/>
                <w:sz w:val="18"/>
              </w:rPr>
              <w:t>Met</w:t>
            </w:r>
          </w:p>
        </w:tc>
      </w:tr>
      <w:tr>
        <w:tc>
          <w:tcPr>
            <w:tcW w:type="dxa" w:w="1624"/>
          </w:tcPr>
          <w:p>
            <w:pPr>
              <w:jc w:val="center"/>
            </w:pPr>
            <w:r>
              <w:rPr>
                <w:sz w:val="18"/>
              </w:rPr>
            </w:r>
            <w:r>
              <w:rPr>
                <w:b w:val="0"/>
                <w:i w:val="0"/>
                <w:sz w:val="18"/>
              </w:rPr>
              <w:t>Discussion — Interpretation</w:t>
            </w:r>
          </w:p>
        </w:tc>
        <w:tc>
          <w:tcPr>
            <w:tcW w:type="dxa" w:w="1624"/>
          </w:tcPr>
          <w:p>
            <w:pPr>
              <w:jc w:val="center"/>
            </w:pPr>
            <w:r>
              <w:rPr>
                <w:sz w:val="18"/>
              </w:rPr>
            </w:r>
            <w:r>
              <w:rPr>
                <w:b w:val="0"/>
                <w:i w:val="0"/>
                <w:sz w:val="18"/>
              </w:rPr>
              <w:t>19b</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Give an overall interpretation of the results, considering objectives, limitations, and results from similar studies, and other relevant evidence.</w:t>
            </w:r>
          </w:p>
        </w:tc>
        <w:tc>
          <w:tcPr>
            <w:tcW w:type="dxa" w:w="1624"/>
          </w:tcPr>
          <w:p>
            <w:pPr>
              <w:jc w:val="center"/>
            </w:pPr>
            <w:r>
              <w:rPr>
                <w:sz w:val="18"/>
              </w:rPr>
            </w:r>
            <w:r>
              <w:rPr>
                <w:b w:val="0"/>
                <w:i w:val="0"/>
                <w:sz w:val="18"/>
              </w:rPr>
              <w:t>§4 paragraphs 1–3 and the Limitations paragraph (including the comparison with ccRCC cell-death signatures</w:t>
            </w:r>
            <w:r>
              <w:rPr>
                <w:b w:val="0"/>
                <w:i w:val="0"/>
                <w:sz w:val="18"/>
                <w:vertAlign w:val="superscript"/>
              </w:rPr>
              <w:t>6–8</w:t>
            </w:r>
            <w:r>
              <w:rPr>
                <w:b w:val="0"/>
                <w:i w:val="0"/>
                <w:sz w:val="18"/>
              </w:rPr>
              <w:t>); Conclusion (the methodological conclusion)</w:t>
            </w:r>
          </w:p>
        </w:tc>
        <w:tc>
          <w:tcPr>
            <w:tcW w:type="dxa" w:w="1624"/>
          </w:tcPr>
          <w:p>
            <w:pPr>
              <w:jc w:val="center"/>
            </w:pPr>
            <w:r>
              <w:rPr>
                <w:sz w:val="18"/>
              </w:rPr>
            </w:r>
            <w:r>
              <w:rPr>
                <w:b w:val="0"/>
                <w:i w:val="0"/>
                <w:sz w:val="18"/>
              </w:rPr>
              <w:t>Met</w:t>
            </w:r>
          </w:p>
        </w:tc>
      </w:tr>
      <w:tr>
        <w:tc>
          <w:tcPr>
            <w:tcW w:type="dxa" w:w="1624"/>
          </w:tcPr>
          <w:p>
            <w:pPr>
              <w:jc w:val="center"/>
            </w:pPr>
            <w:r>
              <w:rPr>
                <w:sz w:val="18"/>
              </w:rPr>
            </w:r>
            <w:r>
              <w:rPr>
                <w:b w:val="0"/>
                <w:i w:val="0"/>
                <w:sz w:val="18"/>
              </w:rPr>
              <w:t>Discussion — Implications</w:t>
            </w:r>
          </w:p>
        </w:tc>
        <w:tc>
          <w:tcPr>
            <w:tcW w:type="dxa" w:w="1624"/>
          </w:tcPr>
          <w:p>
            <w:pPr>
              <w:jc w:val="center"/>
            </w:pPr>
            <w:r>
              <w:rPr>
                <w:sz w:val="18"/>
              </w:rPr>
            </w:r>
            <w:r>
              <w:rPr>
                <w:b w:val="0"/>
                <w:i w:val="0"/>
                <w:sz w:val="18"/>
              </w:rPr>
              <w:t>20</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Discuss the potential clinical use of the model and implications for future research.</w:t>
            </w:r>
          </w:p>
        </w:tc>
        <w:tc>
          <w:tcPr>
            <w:tcW w:type="dxa" w:w="1624"/>
          </w:tcPr>
          <w:p>
            <w:pPr>
              <w:jc w:val="center"/>
            </w:pPr>
            <w:r>
              <w:rPr>
                <w:sz w:val="18"/>
              </w:rPr>
            </w:r>
            <w:r>
              <w:rPr>
                <w:b w:val="0"/>
                <w:i w:val="0"/>
                <w:sz w:val="18"/>
              </w:rPr>
              <w:t xml:space="preserve">§3.5 and §4 paragraph 2 (clinical utility </w:t>
            </w:r>
            <w:r>
              <w:rPr>
                <w:b/>
                <w:i w:val="0"/>
                <w:sz w:val="18"/>
              </w:rPr>
              <w:t>measured</w:t>
            </w:r>
            <w:r>
              <w:rPr>
                <w:b w:val="0"/>
                <w:i w:val="0"/>
                <w:sz w:val="18"/>
              </w:rPr>
              <w:t xml:space="preserve"> at 36 months: ΔC +0.026 and IDI +0.041 beyond a size-matched random-panel null, NRI +0.34 </w:t>
            </w:r>
            <w:r>
              <w:rPr>
                <w:b w:val="0"/>
                <w:i/>
                <w:sz w:val="18"/>
              </w:rPr>
              <w:t>not</w:t>
            </w:r>
            <w:r>
              <w:rPr>
                <w:b w:val="0"/>
                <w:i w:val="0"/>
                <w:sz w:val="18"/>
              </w:rPr>
              <w:t xml:space="preserve"> beyond it, decision curves above the clinical model across most of the plausible threshold range, net-benefit gain whose interval includes zero at every threshold); Conclusion (same, stated as modest)</w:t>
            </w:r>
          </w:p>
        </w:tc>
        <w:tc>
          <w:tcPr>
            <w:tcW w:type="dxa" w:w="1624"/>
          </w:tcPr>
          <w:p>
            <w:pPr>
              <w:jc w:val="center"/>
            </w:pPr>
            <w:r>
              <w:rPr>
                <w:sz w:val="18"/>
              </w:rPr>
            </w:r>
            <w:r>
              <w:rPr>
                <w:b w:val="0"/>
                <w:i w:val="0"/>
                <w:sz w:val="18"/>
              </w:rPr>
              <w:t>Met (the model's clinical use is now quantified rather than deferred; the honest statement is that the gain is small)</w:t>
            </w:r>
          </w:p>
        </w:tc>
      </w:tr>
      <w:tr>
        <w:tc>
          <w:tcPr>
            <w:tcW w:type="dxa" w:w="1624"/>
          </w:tcPr>
          <w:p>
            <w:pPr>
              <w:jc w:val="center"/>
            </w:pPr>
            <w:r>
              <w:rPr>
                <w:sz w:val="18"/>
              </w:rPr>
            </w:r>
            <w:r>
              <w:rPr>
                <w:b w:val="0"/>
                <w:i w:val="0"/>
                <w:sz w:val="18"/>
              </w:rPr>
              <w:t>Other information — Supplementary information</w:t>
            </w:r>
          </w:p>
        </w:tc>
        <w:tc>
          <w:tcPr>
            <w:tcW w:type="dxa" w:w="1624"/>
          </w:tcPr>
          <w:p>
            <w:pPr>
              <w:jc w:val="center"/>
            </w:pPr>
            <w:r>
              <w:rPr>
                <w:sz w:val="18"/>
              </w:rPr>
            </w:r>
            <w:r>
              <w:rPr>
                <w:b w:val="0"/>
                <w:i w:val="0"/>
                <w:sz w:val="18"/>
              </w:rPr>
              <w:t>21</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Provide information about the availability of supplementary resources, such as study protocol, web calculator, and datasets.</w:t>
            </w:r>
          </w:p>
        </w:tc>
        <w:tc>
          <w:tcPr>
            <w:tcW w:type="dxa" w:w="1624"/>
          </w:tcPr>
          <w:p>
            <w:pPr>
              <w:jc w:val="center"/>
            </w:pPr>
            <w:r>
              <w:rPr>
                <w:sz w:val="18"/>
              </w:rPr>
            </w:r>
            <w:r>
              <w:rPr>
                <w:b w:val="0"/>
                <w:i w:val="0"/>
                <w:sz w:val="18"/>
              </w:rPr>
              <w:t>§Availability of data and materials; Supplementary material — index (S1–S28 item by item); SM1–SM8; the analysis scripts are supplied</w:t>
            </w:r>
          </w:p>
        </w:tc>
        <w:tc>
          <w:tcPr>
            <w:tcW w:type="dxa" w:w="1624"/>
          </w:tcPr>
          <w:p>
            <w:pPr>
              <w:jc w:val="center"/>
            </w:pPr>
            <w:r>
              <w:rPr>
                <w:sz w:val="18"/>
              </w:rPr>
            </w:r>
            <w:r>
              <w:rPr>
                <w:b w:val="0"/>
                <w:i w:val="0"/>
                <w:sz w:val="18"/>
              </w:rPr>
              <w:t>Met</w:t>
            </w:r>
          </w:p>
        </w:tc>
      </w:tr>
      <w:tr>
        <w:tc>
          <w:tcPr>
            <w:tcW w:type="dxa" w:w="1624"/>
          </w:tcPr>
          <w:p>
            <w:pPr>
              <w:jc w:val="center"/>
            </w:pPr>
            <w:r>
              <w:rPr>
                <w:sz w:val="18"/>
              </w:rPr>
            </w:r>
            <w:r>
              <w:rPr>
                <w:b w:val="0"/>
                <w:i w:val="0"/>
                <w:sz w:val="18"/>
              </w:rPr>
              <w:t>Other information — Funding</w:t>
            </w:r>
          </w:p>
        </w:tc>
        <w:tc>
          <w:tcPr>
            <w:tcW w:type="dxa" w:w="1624"/>
          </w:tcPr>
          <w:p>
            <w:pPr>
              <w:jc w:val="center"/>
            </w:pPr>
            <w:r>
              <w:rPr>
                <w:sz w:val="18"/>
              </w:rPr>
            </w:r>
            <w:r>
              <w:rPr>
                <w:b w:val="0"/>
                <w:i w:val="0"/>
                <w:sz w:val="18"/>
              </w:rPr>
              <w:t>22</w:t>
            </w:r>
          </w:p>
        </w:tc>
        <w:tc>
          <w:tcPr>
            <w:tcW w:type="dxa" w:w="1624"/>
          </w:tcPr>
          <w:p>
            <w:pPr>
              <w:jc w:val="center"/>
            </w:pPr>
            <w:r>
              <w:rPr>
                <w:sz w:val="18"/>
              </w:rPr>
            </w:r>
            <w:r>
              <w:rPr>
                <w:b w:val="0"/>
                <w:i w:val="0"/>
                <w:sz w:val="18"/>
              </w:rPr>
              <w:t>D;V</w:t>
            </w:r>
          </w:p>
        </w:tc>
        <w:tc>
          <w:tcPr>
            <w:tcW w:type="dxa" w:w="1624"/>
          </w:tcPr>
          <w:p>
            <w:pPr>
              <w:jc w:val="center"/>
            </w:pPr>
            <w:r>
              <w:rPr>
                <w:sz w:val="18"/>
              </w:rPr>
            </w:r>
            <w:r>
              <w:rPr>
                <w:b w:val="0"/>
                <w:i w:val="0"/>
                <w:sz w:val="18"/>
              </w:rPr>
              <w:t>Give the source of funding and the role of the funders for the present study.</w:t>
            </w:r>
          </w:p>
        </w:tc>
        <w:tc>
          <w:tcPr>
            <w:tcW w:type="dxa" w:w="1624"/>
          </w:tcPr>
          <w:p>
            <w:pPr>
              <w:jc w:val="center"/>
            </w:pPr>
            <w:r>
              <w:rPr>
                <w:sz w:val="18"/>
              </w:rPr>
            </w:r>
            <w:r>
              <w:rPr>
                <w:b w:val="0"/>
                <w:i w:val="0"/>
                <w:sz w:val="18"/>
              </w:rPr>
              <w:t xml:space="preserve">Declarations "Funding": </w:t>
            </w:r>
            <w:r>
              <w:rPr>
                <w:rFonts w:ascii="Consolas" w:hAnsi="Consolas" w:eastAsia="Consolas"/>
                <w:b w:val="0"/>
                <w:i w:val="0"/>
                <w:sz w:val="18"/>
              </w:rPr>
              <w:t>No specific grant was received from any funding agency in the public, commercial or not-for-profit sectors.</w:t>
            </w:r>
          </w:p>
        </w:tc>
        <w:tc>
          <w:tcPr>
            <w:tcW w:type="dxa" w:w="1624"/>
          </w:tcPr>
          <w:p>
            <w:pPr>
              <w:jc w:val="center"/>
            </w:pPr>
            <w:r>
              <w:rPr>
                <w:sz w:val="18"/>
              </w:rPr>
            </w:r>
            <w:r>
              <w:rPr>
                <w:b w:val="0"/>
                <w:i w:val="0"/>
                <w:sz w:val="18"/>
              </w:rPr>
              <w:t>Met (there is no funder, so no funder role exists; the manuscript does not add a separate sentence stating that the funder had no involvement — see known gap 3 below)</w:t>
            </w:r>
          </w:p>
        </w:tc>
      </w:tr>
    </w:tbl>
    <w:p/>
    <w:p>
      <w:pPr>
        <w:spacing w:before="40" w:after="120"/>
        <w:pBdr>
          <w:bottom w:val="single" w:sz="6" w:color="999999"/>
        </w:pBdr>
      </w:pPr>
    </w:p>
    <w:p>
      <w:pPr>
        <w:pStyle w:val="Heading2"/>
      </w:pPr>
      <w:r>
        <w:rPr>
          <w:b w:val="0"/>
          <w:i w:val="0"/>
        </w:rPr>
        <w:t>Known gaps (listed item by item, none concealed)</w:t>
      </w:r>
    </w:p>
    <w:p>
      <w:pPr>
        <w:spacing w:after="60"/>
        <w:ind w:left="425" w:hanging="425"/>
      </w:pPr>
      <w:r>
        <w:rPr>
          <w:b w:val="0"/>
          <w:i w:val="0"/>
        </w:rPr>
        <w:t xml:space="preserve">1. </w:t>
      </w:r>
      <w:r>
        <w:rPr>
          <w:b/>
          <w:i w:val="0"/>
        </w:rPr>
        <w:t>Item 1 (title).</w:t>
      </w:r>
      <w:r>
        <w:rPr>
          <w:b w:val="0"/>
          <w:i w:val="0"/>
        </w:rPr>
        <w:t xml:space="preserve"> The official requirement is that the title identify the study as developing and/or validating a multivariable prediction model. This manuscript's title says "independent prognostic factor" and does not use the phrase "prediction model"; the design is stated in the Abstract and in the closing paragraph of Introduction §1. Whether to change the title is for the corresponding author to decide (changing it would also affect the running title, the submission-system entries and the delivered documentation already on file).</w:t>
      </w:r>
    </w:p>
    <w:p>
      <w:pPr>
        <w:spacing w:after="60"/>
        <w:ind w:left="425" w:hanging="425"/>
      </w:pPr>
      <w:r>
        <w:rPr>
          <w:b w:val="0"/>
          <w:i w:val="0"/>
        </w:rPr>
        <w:t xml:space="preserve">2. </w:t>
      </w:r>
      <w:r>
        <w:rPr>
          <w:b/>
          <w:i w:val="0"/>
        </w:rPr>
        <w:t>Item 4b (key dates).</w:t>
      </w:r>
      <w:r>
        <w:rPr>
          <w:b w:val="0"/>
          <w:i w:val="0"/>
        </w:rPr>
        <w:t xml:space="preserve"> The manuscript gives the data-access date (October 2026) and the follow-up length but does not repeat the accrual start and end dates of TCGA-KIRC — that information sits within the original study</w:t>
      </w:r>
      <w:r>
        <w:rPr>
          <w:b w:val="0"/>
          <w:i w:val="0"/>
          <w:vertAlign w:val="superscript"/>
        </w:rPr>
        <w:t>2</w:t>
      </w:r>
      <w:r>
        <w:rPr>
          <w:b w:val="0"/>
          <w:i w:val="0"/>
        </w:rPr>
        <w:t>, and secondary analyses of public data conventionally do not copy it.</w:t>
      </w:r>
    </w:p>
    <w:p>
      <w:pPr>
        <w:spacing w:after="60"/>
        <w:ind w:left="425" w:hanging="425"/>
      </w:pPr>
      <w:r>
        <w:rPr>
          <w:b w:val="0"/>
          <w:i w:val="0"/>
        </w:rPr>
        <w:t xml:space="preserve">3. </w:t>
      </w:r>
      <w:r>
        <w:rPr>
          <w:b/>
          <w:i w:val="0"/>
        </w:rPr>
        <w:t>Item 22 (funder role).</w:t>
      </w:r>
      <w:r>
        <w:rPr>
          <w:b w:val="0"/>
          <w:i w:val="0"/>
        </w:rPr>
        <w:t xml:space="preserve"> The Funding statement says only that no funding was received; it does not add the official template sentence that the funder had no role in study design, data collection, analysis or interpretation, or in the decision to submit. </w:t>
      </w:r>
      <w:r>
        <w:rPr>
          <w:b/>
          <w:i w:val="0"/>
        </w:rPr>
        <w:t>There is no funder here, so that sentence is automatically true</w:t>
      </w:r>
      <w:r>
        <w:rPr>
          <w:b w:val="0"/>
          <w:i w:val="0"/>
        </w:rPr>
        <w:t>, but some journals require it verbatim; whether to add it is for the corresponding author to decide.</w:t>
      </w:r>
    </w:p>
    <w:p>
      <w:pPr>
        <w:pStyle w:val="Heading2"/>
      </w:pPr>
      <w:r>
        <w:rPr>
          <w:b w:val="0"/>
          <w:i w:val="0"/>
        </w:rPr>
        <w:t>Items newly met in this revision</w:t>
      </w:r>
    </w:p>
    <w:p>
      <w:pPr>
        <w:pStyle w:val="ListBullet"/>
      </w:pPr>
      <w:r>
        <w:rPr>
          <w:b/>
          <w:i w:val="0"/>
        </w:rPr>
        <w:t>Item 15a (the model can predict for an individual).</w:t>
      </w:r>
      <w:r>
        <w:rPr>
          <w:b w:val="0"/>
          <w:i w:val="0"/>
        </w:rPr>
        <w:t xml:space="preserve"> The deposited materials before v1.7 contained only the linear predictor and no baseline cumulative hazard H0(t), so </w:t>
      </w:r>
      <w:r>
        <w:rPr>
          <w:b/>
          <w:i w:val="0"/>
        </w:rPr>
        <w:t>the score could not be converted into an absolute risk</w:t>
      </w:r>
      <w:r>
        <w:rPr>
          <w:b w:val="0"/>
          <w:i w:val="0"/>
        </w:rPr>
        <w:t xml:space="preserve"> and the "baseline survival at a given time point" element of 15a did not hold. The calibration analysis added in v1.7 deposited H0(36) = 0.2504 (Model A) / 0.2228 (four-gene and three-gene), so the item now holds.</w:t>
      </w:r>
    </w:p>
    <w:p>
      <w:pPr>
        <w:pStyle w:val="ListBullet"/>
      </w:pPr>
      <w:r>
        <w:rPr>
          <w:b/>
          <w:i w:val="0"/>
        </w:rPr>
        <w:t>Item 10d (performance measures).</w:t>
      </w:r>
      <w:r>
        <w:rPr>
          <w:b w:val="0"/>
          <w:i w:val="0"/>
        </w:rPr>
        <w:t xml:space="preserve"> v1.7 added 36-month calibration (calibration-in-the-large and calibration slope), so performance assessment is no longer limited to discrimination and time-dependent AUC; v1.10 adds </w:t>
      </w:r>
      <w:r>
        <w:rPr>
          <w:b/>
          <w:i w:val="0"/>
        </w:rPr>
        <w:t>category-free NRI, IDI and survival-formulation decision curves</w:t>
      </w:r>
      <w:r>
        <w:rPr>
          <w:b w:val="0"/>
          <w:i w:val="0"/>
        </w:rPr>
        <w:t>, each benchmarked against a size-matched random-panel null — the metric family is now complete and, as importantly, every metric in it has a reference against which "any added variable looks good" can be tested.</w:t>
      </w:r>
    </w:p>
    <w:p>
      <w:pPr>
        <w:pStyle w:val="ListBullet"/>
      </w:pPr>
      <w:r>
        <w:rPr>
          <w:b/>
          <w:i w:val="0"/>
        </w:rPr>
        <w:t>Item 20 (clinical use).</w:t>
      </w:r>
      <w:r>
        <w:rPr>
          <w:b w:val="0"/>
          <w:i w:val="0"/>
        </w:rPr>
        <w:t xml:space="preserve"> Before v1.10 this item was satisfied only by a statement that clinical utility was untested. It is now satisfied by a measured result, reported with its negative half intact: the ΔC (+0.026) and the IDI (+0.041) lie beyond a size-matched random three-gene null, </w:t>
      </w:r>
      <w:r>
        <w:rPr>
          <w:b/>
          <w:i w:val="0"/>
        </w:rPr>
        <w:t>the NRI (+0.34) does not</w:t>
      </w:r>
      <w:r>
        <w:rPr>
          <w:b w:val="0"/>
          <w:i w:val="0"/>
        </w:rPr>
        <w:t xml:space="preserve"> (84th percentile of 500 draws), and the bootstrapped net-benefit gain includes zero at every threshold examined.</w:t>
      </w:r>
    </w:p>
    <w:p>
      <w:pPr>
        <w:pStyle w:val="ListBullet"/>
      </w:pPr>
      <w:r>
        <w:rPr>
          <w:b/>
          <w:i w:val="0"/>
        </w:rPr>
        <w:t>Item 21 (supplementary resources).</w:t>
      </w:r>
      <w:r>
        <w:rPr>
          <w:b w:val="0"/>
          <w:i w:val="0"/>
        </w:rPr>
        <w:t xml:space="preserve"> Extended from S1–S23 / SM1–SM7 to </w:t>
      </w:r>
      <w:r>
        <w:rPr>
          <w:b/>
          <w:i w:val="0"/>
        </w:rPr>
        <w:t>S1–S28 / SM1–SM8</w:t>
      </w:r>
      <w:r>
        <w:rPr>
          <w:b w:val="0"/>
          <w:i w:val="0"/>
        </w:rPr>
        <w:t>, the additions being the five clinical-utility tables (S24–S28) and the clinical-utility protocol (SM8).</w:t>
      </w:r>
    </w:p>
    <w:p>
      <w:pPr>
        <w:pStyle w:val="Heading2"/>
      </w:pPr>
      <w:r>
        <w:rPr>
          <w:b w:val="0"/>
          <w:i w:val="0"/>
        </w:rPr>
        <w:t>Note on the CTO display-item reduction</w:t>
      </w:r>
    </w:p>
    <w:p>
      <w:pPr>
        <w:spacing w:after="120"/>
        <w:jc w:val="both"/>
      </w:pPr>
      <w:r>
        <w:rPr>
          <w:b w:val="0"/>
          <w:i w:val="0"/>
        </w:rPr>
        <w:t xml:space="preserve">The submission is prepared as a CTO Research Article: </w:t>
      </w:r>
      <w:r>
        <w:rPr>
          <w:b/>
          <w:i w:val="0"/>
        </w:rPr>
        <w:t>6 figures and 2 display tables</w:t>
      </w:r>
      <w:r>
        <w:rPr>
          <w:b w:val="0"/>
          <w:i w:val="0"/>
        </w:rPr>
        <w:t xml:space="preserve"> in the main text (6 figures and 11 tables in the original full report). The manuscript also carries a plain item-by-item supplementary-index table (Item / Content / Origin) at its end; it is a file list, not a display item, and is not counted above. The reduction is a relocation, not a deletion — every retired table survives as a numbered supplementary table, and the retirement mapping is written out at the end of the manuscript's supplementary index (full report Table 2 → S2, Table 3 → S3, Table 4 → S4a, Table 5 → S19, Table 6 → S20, Table 7 → S9a–S9e, Table 8 → S8a–S8c, Table 9a → S11a/S16a, Table 9b → S11b/S16d, Table 10 → S12/S13, Table 11 → S22; full-report Table 1 remains main-text Table 1). No value changed in the move.</w:t>
      </w:r>
    </w:p>
    <w:sectPr w:rsidR="00FC693F" w:rsidRPr="0006063C" w:rsidSect="00034616">
      <w:pgSz w:w="12240" w:h="15840"/>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宋体"/>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宋体"/>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eastAsia="宋体"/>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宋体"/>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