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b w:val="0"/>
          <w:i w:val="0"/>
        </w:rPr>
        <w:t>Supplementary Methods</w:t>
      </w:r>
    </w:p>
    <w:p>
      <w:pPr>
        <w:spacing w:after="120"/>
        <w:jc w:val="both"/>
      </w:pPr>
      <w:r>
        <w:rPr>
          <w:b/>
          <w:i w:val="0"/>
        </w:rPr>
        <w:t>A three-gene expression score is equivalent to a 25-gene panel as an independent prognostic factor in clear cell renal cell carcinoma</w:t>
      </w:r>
    </w:p>
    <w:p>
      <w:pPr>
        <w:spacing w:after="120"/>
        <w:jc w:val="both"/>
      </w:pPr>
      <w:r>
        <w:rPr>
          <w:b w:val="0"/>
          <w:i w:val="0"/>
        </w:rPr>
        <w:t>This document carries the procedural detail referenced from Section 2 of the main text. It contains no results.</w:t>
      </w:r>
    </w:p>
    <w:p>
      <w:pPr>
        <w:spacing w:before="40" w:after="120"/>
        <w:pBdr>
          <w:bottom w:val="single" w:sz="6" w:color="999999"/>
        </w:pBdr>
      </w:pPr>
    </w:p>
    <w:p>
      <w:pPr>
        <w:pStyle w:val="Heading2"/>
      </w:pPr>
      <w:r>
        <w:rPr>
          <w:b w:val="0"/>
          <w:i w:val="0"/>
        </w:rPr>
        <w:t>SM1. Data sources, cohort assembly and the excluded-patient accounting</w:t>
      </w:r>
    </w:p>
    <w:p>
      <w:pPr>
        <w:spacing w:after="120"/>
        <w:jc w:val="both"/>
      </w:pPr>
      <w:r>
        <w:rPr>
          <w:b w:val="0"/>
          <w:i w:val="0"/>
        </w:rPr>
        <w:t xml:space="preserve">Gene-level expression, clinical and somatic mutation data for TCGA-KIRC were retrieved from the cBioPortal public API on 4 October 2026 against study </w:t>
      </w:r>
      <w:r>
        <w:rPr>
          <w:rFonts w:ascii="Consolas" w:hAnsi="Consolas" w:eastAsia="Consolas"/>
          <w:b w:val="0"/>
          <w:i w:val="0"/>
        </w:rPr>
        <w:t>kirc_tcga_pan_can_atlas_2018</w:t>
      </w:r>
      <w:r>
        <w:rPr>
          <w:b w:val="0"/>
          <w:i w:val="0"/>
        </w:rPr>
        <w:t xml:space="preserve">, with the parallel GDC re-derivation retrieved from study </w:t>
      </w:r>
      <w:r>
        <w:rPr>
          <w:rFonts w:ascii="Consolas" w:hAnsi="Consolas" w:eastAsia="Consolas"/>
          <w:b w:val="0"/>
          <w:i w:val="0"/>
        </w:rPr>
        <w:t>ccrcc_tcga_gdc</w:t>
      </w:r>
      <w:r>
        <w:rPr>
          <w:b w:val="0"/>
          <w:i w:val="0"/>
        </w:rPr>
        <w:t xml:space="preserve">. Expression values are the RNA-Seq V2 median all-sample </w:t>
      </w:r>
      <w:r>
        <w:rPr>
          <w:b w:val="0"/>
          <w:i/>
        </w:rPr>
        <w:t>z</w:t>
      </w:r>
      <w:r>
        <w:rPr>
          <w:b w:val="0"/>
          <w:i w:val="0"/>
        </w:rPr>
        <w:t>-score profile, which the portal standardises per gene across samples; no further transformation was applied before modelling. Mutation calls were taken from the non-synonymous mutation file of the same study.</w:t>
      </w:r>
    </w:p>
    <w:p>
      <w:pPr>
        <w:spacing w:after="120"/>
        <w:jc w:val="both"/>
      </w:pPr>
      <w:r>
        <w:rPr>
          <w:b/>
          <w:i w:val="0"/>
        </w:rPr>
        <w:t>Cohort-definition error and its correction.</w:t>
      </w:r>
      <w:r>
        <w:rPr>
          <w:b w:val="0"/>
          <w:i w:val="0"/>
        </w:rPr>
        <w:t xml:space="preserve"> The inherited pipeline built its sample set from the study's </w:t>
      </w:r>
      <w:r>
        <w:rPr>
          <w:rFonts w:ascii="Consolas" w:hAnsi="Consolas" w:eastAsia="Consolas"/>
          <w:b w:val="0"/>
          <w:i w:val="0"/>
        </w:rPr>
        <w:t>_sequenced</w:t>
      </w:r>
      <w:r>
        <w:rPr>
          <w:b w:val="0"/>
          <w:i w:val="0"/>
        </w:rPr>
        <w:t xml:space="preserve"> sample list. That list enumerates samples for which mutation data exist and is not the RNA-seq sample list. Intersecting it with the clinical record produced 398 patients with 121 deaths. Rebuilding the expression matrix from the RNA-seq V2 profile and applying only the inclusion criteria of the main text (primary tumour barcode suffix </w:t>
      </w:r>
      <w:r>
        <w:rPr>
          <w:rFonts w:ascii="Consolas" w:hAnsi="Consolas" w:eastAsia="Consolas"/>
          <w:b w:val="0"/>
          <w:i w:val="0"/>
        </w:rPr>
        <w:t>-01</w:t>
      </w:r>
      <w:r>
        <w:rPr>
          <w:b w:val="0"/>
          <w:i w:val="0"/>
        </w:rPr>
        <w:t xml:space="preserve">, non-missing OS time and status, non-missing expression for all 87 panel genes) yielded 510 patients; two of those (TCGA-AK-3430 and TCGA-CJ-4913) are present in the clinical record but absent from the expression profile, leaving 508 patients with 168 deaths. The correction therefore recovered 110 evaluable patients, 21.7% of the corrected cohort. The 110 are exactly the patients with no mutation data, which is why they were removed by the </w:t>
      </w:r>
      <w:r>
        <w:rPr>
          <w:rFonts w:ascii="Consolas" w:hAnsi="Consolas" w:eastAsia="Consolas"/>
          <w:b w:val="0"/>
          <w:i w:val="0"/>
        </w:rPr>
        <w:t>_sequenced</w:t>
      </w:r>
      <w:r>
        <w:rPr>
          <w:b w:val="0"/>
          <w:i w:val="0"/>
        </w:rPr>
        <w:t xml:space="preserve"> restriction; they were more advanced than the retained set (stage III–IV 46.4% vs 39.2%; death rate 42.7% vs 30.4%).</w:t>
      </w:r>
    </w:p>
    <w:p>
      <w:pPr>
        <w:spacing w:after="120"/>
        <w:jc w:val="both"/>
      </w:pPr>
      <w:r>
        <w:rPr>
          <w:b/>
          <w:i w:val="0"/>
        </w:rPr>
        <w:t>Covariates.</w:t>
      </w:r>
      <w:r>
        <w:rPr>
          <w:b w:val="0"/>
          <w:i w:val="0"/>
        </w:rPr>
        <w:t xml:space="preserve"> Age in years; sex; stage collapsed to I–II versus III–IV; grade collapsed to G1–G2 versus G3–G4. Five samples annotated GX and three with a missing grade field were coded as not high-grade. No covariate was imputed; all 508 patients had complete covariate data.</w:t>
      </w:r>
    </w:p>
    <w:p>
      <w:pPr>
        <w:spacing w:after="120"/>
        <w:jc w:val="both"/>
      </w:pPr>
      <w:r>
        <w:rPr>
          <w:b/>
          <w:i w:val="0"/>
        </w:rPr>
        <w:t>Follow-up.</w:t>
      </w:r>
      <w:r>
        <w:rPr>
          <w:b w:val="0"/>
          <w:i w:val="0"/>
        </w:rPr>
        <w:t xml:space="preserve"> Median follow-up was estimated by reverse Kaplan–Meier (Schemper–Smith), which treats death as the event and censoring as the event of interest. The naive median of censored times was also computed for comparison and is reported in the main text because it is the figure the inherited pipeline carried.</w:t>
      </w:r>
    </w:p>
    <w:p>
      <w:pPr>
        <w:spacing w:before="40" w:after="120"/>
        <w:pBdr>
          <w:bottom w:val="single" w:sz="6" w:color="999999"/>
        </w:pBdr>
      </w:pPr>
    </w:p>
    <w:p>
      <w:pPr>
        <w:pStyle w:val="Heading2"/>
      </w:pPr>
      <w:r>
        <w:rPr>
          <w:b w:val="0"/>
          <w:i w:val="0"/>
        </w:rPr>
        <w:t>SM2. Panel construction, mapping chain and anchor audit</w:t>
      </w:r>
    </w:p>
    <w:p>
      <w:pPr>
        <w:spacing w:after="120"/>
        <w:jc w:val="both"/>
      </w:pPr>
      <w:r>
        <w:rPr>
          <w:b w:val="0"/>
          <w:i w:val="0"/>
        </w:rPr>
        <w:t xml:space="preserve">The panel derives from GSE235046, in which mouse macrophages were exposed to dual-signal stimulation (lipopolysaccharide plus carbon starvation) with and without the mTOR inhibitor Torin. A gene entered the panel only if it responded to dual stimulation and that response was reversed by Torin. The screen produced </w:t>
      </w:r>
      <w:r>
        <w:rPr>
          <w:b/>
          <w:i w:val="0"/>
        </w:rPr>
        <w:t>101 mouse genes</w:t>
      </w:r>
      <w:r>
        <w:rPr>
          <w:b w:val="0"/>
          <w:i w:val="0"/>
        </w:rPr>
        <w:t>, listed with their mouse identifiers in Supplementary Table S1.</w:t>
      </w:r>
    </w:p>
    <w:p>
      <w:pPr>
        <w:spacing w:after="120"/>
        <w:jc w:val="both"/>
      </w:pPr>
      <w:r>
        <w:rPr>
          <w:b w:val="0"/>
          <w:i w:val="0"/>
        </w:rPr>
        <w:t xml:space="preserve">Human orthologs were resolved by gene symbol through the mygene.info v3 API. Twenty-seven mouse genes had no unambiguous one-to-one human ortholog and no human symbol match in the API; mapping left </w:t>
      </w:r>
      <w:r>
        <w:rPr>
          <w:b/>
          <w:i w:val="0"/>
        </w:rPr>
        <w:t>92 human genes</w:t>
      </w:r>
      <w:r>
        <w:rPr>
          <w:b w:val="0"/>
          <w:i w:val="0"/>
        </w:rPr>
        <w:t xml:space="preserve">. Of these, </w:t>
      </w:r>
      <w:r>
        <w:rPr>
          <w:b/>
          <w:i w:val="0"/>
        </w:rPr>
        <w:t>87 were present and non-missing</w:t>
      </w:r>
      <w:r>
        <w:rPr>
          <w:b w:val="0"/>
          <w:i w:val="0"/>
        </w:rPr>
        <w:t xml:space="preserve"> in the TCGA-KIRC RNA-seq V2 matrix; the five non-evaluable orthologs are named in Supplementary Table S1.</w:t>
      </w:r>
    </w:p>
    <w:p>
      <w:pPr>
        <w:spacing w:after="120"/>
        <w:jc w:val="both"/>
      </w:pPr>
      <w:r>
        <w:rPr>
          <w:b/>
          <w:i w:val="0"/>
        </w:rPr>
        <w:t>Anchor audit.</w:t>
      </w:r>
      <w:r>
        <w:rPr>
          <w:b w:val="0"/>
          <w:i w:val="0"/>
        </w:rPr>
        <w:t xml:space="preserve"> The project framework describes the panel as a "91-gene" set containing 15 mechanistic anchor genes and names twelve of them: BAX, BAK1, BID, MTOR, RICTOR, RHOA, RAC1, CDC42, SOD2, TXNRD1, OSGIN2 and SLC7A1. Each name was tested for membership directly against the 87-gene panel rather than against the framework's description. Present: </w:t>
      </w:r>
      <w:r>
        <w:rPr>
          <w:b/>
          <w:i w:val="0"/>
        </w:rPr>
        <w:t>TXNRD1, OSGIN2, SLC7A1</w:t>
      </w:r>
      <w:r>
        <w:rPr>
          <w:b w:val="0"/>
          <w:i w:val="0"/>
        </w:rPr>
        <w:t xml:space="preserve"> (three of twelve). Absent: BAX, BAK1, BID, MTOR, RICTOR, RHOA, RAC1, CDC42, SOD2 (nine of twelve). No stage of the mapping chain — 101, 92 or 87 — contains 91 genes. The full per-gene audit, including the functional category assigned to each of the 87 genes, is in Supplementary Table S1b.</w:t>
      </w:r>
    </w:p>
    <w:p>
      <w:pPr>
        <w:spacing w:before="40" w:after="120"/>
        <w:pBdr>
          <w:bottom w:val="single" w:sz="6" w:color="999999"/>
        </w:pBdr>
      </w:pPr>
    </w:p>
    <w:p>
      <w:pPr>
        <w:pStyle w:val="Heading2"/>
      </w:pPr>
      <w:r>
        <w:rPr>
          <w:b w:val="0"/>
          <w:i w:val="0"/>
        </w:rPr>
        <w:t>SM3. Model fitting, selection and scaling conventions</w:t>
      </w:r>
    </w:p>
    <w:p>
      <w:pPr>
        <w:spacing w:after="120"/>
        <w:jc w:val="both"/>
      </w:pPr>
      <w:r>
        <w:rPr>
          <w:b w:val="0"/>
          <w:i w:val="0"/>
        </w:rPr>
        <w:t xml:space="preserve">All modelling was performed on within-cohort </w:t>
      </w:r>
      <w:r>
        <w:rPr>
          <w:b w:val="0"/>
          <w:i/>
        </w:rPr>
        <w:t>z</w:t>
      </w:r>
      <w:r>
        <w:rPr>
          <w:b w:val="0"/>
          <w:i w:val="0"/>
        </w:rPr>
        <w:t>-scores (mean 0, SD 1) computed separately in each cohort in which a model was evaluated.</w:t>
      </w:r>
    </w:p>
    <w:p>
      <w:pPr>
        <w:spacing w:after="120"/>
        <w:jc w:val="both"/>
      </w:pPr>
      <w:r>
        <w:rPr>
          <w:b/>
          <w:i w:val="0"/>
        </w:rPr>
        <w:t>Univariate screen.</w:t>
      </w:r>
      <w:r>
        <w:rPr>
          <w:b w:val="0"/>
          <w:i w:val="0"/>
        </w:rPr>
        <w:t xml:space="preserve"> Cox proportional-hazards models were fitted one gene at a time with the lifelines </w:t>
      </w:r>
      <w:r>
        <w:rPr>
          <w:rFonts w:ascii="Consolas" w:hAnsi="Consolas" w:eastAsia="Consolas"/>
          <w:b w:val="0"/>
          <w:i w:val="0"/>
        </w:rPr>
        <w:t>CoxPHFitter</w:t>
      </w:r>
      <w:r>
        <w:rPr>
          <w:b w:val="0"/>
          <w:i w:val="0"/>
        </w:rPr>
        <w:t>. Benjamini–Hochberg control was applied across the 87 tests. The screen was then repeated with stage III–IV and grade G3–G4 forced into every gene's model, with the correction re-applied across the 87 adjusted tests.</w:t>
      </w:r>
    </w:p>
    <w:p>
      <w:pPr>
        <w:spacing w:after="120"/>
        <w:jc w:val="both"/>
      </w:pPr>
      <w:r>
        <w:rPr>
          <w:b/>
          <w:i w:val="0"/>
        </w:rPr>
        <w:t>Model A.</w:t>
      </w:r>
      <w:r>
        <w:rPr>
          <w:b w:val="0"/>
          <w:i w:val="0"/>
        </w:rPr>
        <w:t xml:space="preserve"> The 25 genes with the smallest univariate </w:t>
      </w:r>
      <w:r>
        <w:rPr>
          <w:b w:val="0"/>
          <w:i/>
        </w:rPr>
        <w:t>P</w:t>
      </w:r>
      <w:r>
        <w:rPr>
          <w:b w:val="0"/>
          <w:i w:val="0"/>
        </w:rPr>
        <w:t xml:space="preserve"> values were entered into a single multivariable Cox model with an L2 (ridge) penalty of λ = 1.0. The penalty was chosen to keep a 25-term fit numerically stable in a cohort with 168 events rather than to maximise discrimination; no penalty value was tuned. The median of the fitted linear predictor defined the risk split.</w:t>
      </w:r>
    </w:p>
    <w:p>
      <w:pPr>
        <w:spacing w:after="120"/>
        <w:jc w:val="both"/>
      </w:pPr>
      <w:r>
        <w:rPr>
          <w:b/>
          <w:i w:val="0"/>
        </w:rPr>
        <w:t>Model B.</w:t>
      </w:r>
      <w:r>
        <w:rPr>
          <w:b w:val="0"/>
          <w:i w:val="0"/>
        </w:rPr>
        <w:t xml:space="preserve"> A LASSO-Cox path with </w:t>
      </w:r>
      <w:r>
        <w:rPr>
          <w:rFonts w:ascii="Consolas" w:hAnsi="Consolas" w:eastAsia="Consolas"/>
          <w:b w:val="0"/>
          <w:i w:val="0"/>
        </w:rPr>
        <w:t>l1_ratio = 1.0</w:t>
      </w:r>
      <w:r>
        <w:rPr>
          <w:b w:val="0"/>
          <w:i w:val="0"/>
        </w:rPr>
        <w:t xml:space="preserve"> was fitted over 80 penalty values spanning the full regularisation range. Model size along the path is not monotone in a useful way, so size was not chosen by eye. For every distinct number of non-zero coefficients appearing anywhere on the path, the best 10-fold cross-validated C-index obtainable at that size was recorded, producing the parsimony profile. The 1-SE rule was applied as pre-specified: the maximum of the profile minus one standard error defines a threshold band, and the </w:t>
      </w:r>
      <w:r>
        <w:rPr>
          <w:b/>
          <w:i w:val="0"/>
        </w:rPr>
        <w:t>smallest</w:t>
      </w:r>
      <w:r>
        <w:rPr>
          <w:b w:val="0"/>
          <w:i w:val="0"/>
        </w:rPr>
        <w:t xml:space="preserve"> model whose cross-validated C-index lies inside the band is preferred. The selected λ was 0.12009. Fractions along the path whose mean coefficient magnitude fell below 1 × 10⁻⁸, and models retaining fewer than two genes, were excluded as degenerate before the profile was computed.</w:t>
      </w:r>
    </w:p>
    <w:p>
      <w:pPr>
        <w:spacing w:after="120"/>
        <w:jc w:val="both"/>
      </w:pPr>
      <w:r>
        <w:rPr>
          <w:b/>
          <w:i w:val="0"/>
        </w:rPr>
        <w:t>Scaling convention, and a defect it exposed.</w:t>
      </w:r>
      <w:r>
        <w:rPr>
          <w:b w:val="0"/>
          <w:i w:val="0"/>
        </w:rPr>
        <w:t xml:space="preserve"> LASSO-penalised coefficients were used only to </w:t>
      </w:r>
      <w:r>
        <w:rPr>
          <w:b w:val="0"/>
          <w:i/>
        </w:rPr>
        <w:t>select</w:t>
      </w:r>
      <w:r>
        <w:rPr>
          <w:b w:val="0"/>
          <w:i w:val="0"/>
        </w:rPr>
        <w:t xml:space="preserve"> genes. The retained genes were refitted unpenalised in a standard Cox model, and those unpenalised coefficients are the frozen weights applied in every cohort reported in the paper. Applying the penalised coefficients instead to cohort-standardised expression implies a per-SD hazard ratio for SPTBN1 above 46, which is not a defensible quantity; penalised coefficients are therefore never reported as effect sizes. An earlier version of the analysis used an inherited expression matrix on a raw intensity scale rather than the portal </w:t>
      </w:r>
      <w:r>
        <w:rPr>
          <w:b w:val="0"/>
          <w:i/>
        </w:rPr>
        <w:t>z</w:t>
      </w:r>
      <w:r>
        <w:rPr>
          <w:b w:val="0"/>
          <w:i w:val="0"/>
        </w:rPr>
        <w:t>-score matrix, which inflated every hazard ratio in the same direction. Both defects belong to the inherited pipeline.</w:t>
      </w:r>
    </w:p>
    <w:p>
      <w:pPr>
        <w:spacing w:after="120"/>
        <w:jc w:val="both"/>
      </w:pPr>
      <w:r>
        <w:rPr>
          <w:b/>
          <w:i w:val="0"/>
        </w:rPr>
        <w:t>Stability selection.</w:t>
      </w:r>
      <w:r>
        <w:rPr>
          <w:b w:val="0"/>
          <w:i w:val="0"/>
        </w:rPr>
        <w:t xml:space="preserve"> The entire selection procedure (LASSO path, parsimony profile, 1-SE rule) was repeated in 200 bootstrap resamples of the 508 patients at the 1-SE penalty. Each gene's selection frequency π is the proportion of resamples in which it was retained. The pre-specified threshold was π ≥ 0.75.</w:t>
      </w:r>
    </w:p>
    <w:p>
      <w:pPr>
        <w:spacing w:before="40" w:after="120"/>
        <w:pBdr>
          <w:bottom w:val="single" w:sz="6" w:color="999999"/>
        </w:pBdr>
      </w:pPr>
    </w:p>
    <w:p>
      <w:pPr>
        <w:pStyle w:val="Heading2"/>
      </w:pPr>
      <w:r>
        <w:rPr>
          <w:b w:val="0"/>
          <w:i w:val="0"/>
        </w:rPr>
        <w:t>SM4. Benchmarks, molecular analyses and gene lists</w:t>
      </w:r>
    </w:p>
    <w:p>
      <w:pPr>
        <w:spacing w:after="120"/>
        <w:jc w:val="both"/>
      </w:pPr>
      <w:r>
        <w:rPr>
          <w:b/>
          <w:i w:val="0"/>
        </w:rPr>
        <w:t>Proliferation score (20 genes).</w:t>
      </w:r>
      <w:r>
        <w:rPr>
          <w:b w:val="0"/>
          <w:i w:val="0"/>
        </w:rPr>
        <w:t xml:space="preserve"> MKI67, PCNA, CCNB1, CCNB2, CDK1, BUB1, BUB1B, AURKA, AURKB, TOP2A, MCM2, MCM3, MCM4, MCM6, MCM7, CDKN3, RACGAP1, ASPM, CENPE, TTK. The score is the mean within-cohort </w:t>
      </w:r>
      <w:r>
        <w:rPr>
          <w:b w:val="0"/>
          <w:i/>
        </w:rPr>
        <w:t>z</w:t>
      </w:r>
      <w:r>
        <w:rPr>
          <w:b w:val="0"/>
          <w:i w:val="0"/>
        </w:rPr>
        <w:t>-score of the 20 genes.</w:t>
      </w:r>
    </w:p>
    <w:p>
      <w:pPr>
        <w:spacing w:after="120"/>
        <w:jc w:val="both"/>
      </w:pPr>
      <w:r>
        <w:rPr>
          <w:b/>
          <w:i w:val="0"/>
        </w:rPr>
        <w:t>Immune features (11) and their marker genes.</w:t>
      </w:r>
      <w:r>
        <w:rPr>
          <w:b w:val="0"/>
          <w:i w:val="0"/>
        </w:rPr>
        <w:t xml:space="preserve"> CD8⁺ T cells (CD8A, CD8B, GZMK, PRF1, NKG7); CD4⁺ T cells (CD4, IL7R, CD40LG, TRAT1, CD28); regulatory T cells (FOXP3, IL2RA, CTLA4, IKZF2, TNFRSF18); NK cells (KLRD1, NKG7, GNLY, KLRF1, NCR1); B cells (MS4A1, CD79A, CD79B, CD19, TCL1A); M1 macrophages (NOS2, CXCL9, CXCL10, CXCL11, IDO1, IL12B); M2 macrophages (CD163, MSR1, MRC1, CD209, VSIG4); dendritic cells (CD1C, CLEC9A, LAMP3, ITGAX, BATF3); neutrophils (FCGR3B, CSF3R, S100A8, S100A9, CXCR2); checkpoint molecules (PDCD1, CD274, CTLA4, LAG3, HAVCR2, TIGIT); interferon-stimulated genes (STAT1, IFIT1, IFIT3, ISG15, MX1). Each feature is the mean within-cohort </w:t>
      </w:r>
      <w:r>
        <w:rPr>
          <w:b w:val="0"/>
          <w:i/>
        </w:rPr>
        <w:t>z</w:t>
      </w:r>
      <w:r>
        <w:rPr>
          <w:b w:val="0"/>
          <w:i w:val="0"/>
        </w:rPr>
        <w:t>-score of its markers. This is a marker-average proxy rather than a deconvolution and cannot separate tumour-intrinsic from infiltrating-cell expression. The marker genes behind every feature are deposited verbatim in Supplementary Table S14b, which is the reference for this list.</w:t>
      </w:r>
    </w:p>
    <w:p>
      <w:pPr>
        <w:spacing w:after="120"/>
        <w:jc w:val="both"/>
      </w:pPr>
      <w:r>
        <w:rPr>
          <w:b/>
          <w:i w:val="0"/>
        </w:rPr>
        <w:t>Adjustment of the immune comparison.</w:t>
      </w:r>
      <w:r>
        <w:rPr>
          <w:b w:val="0"/>
          <w:i w:val="0"/>
        </w:rPr>
        <w:t xml:space="preserve"> Three comparisons were made per feature. (i) Unadjusted two-sided Mann–Whitney test on the marker mean </w:t>
      </w:r>
      <w:r>
        <w:rPr>
          <w:b w:val="0"/>
          <w:i/>
        </w:rPr>
        <w:t>z</w:t>
      </w:r>
      <w:r>
        <w:rPr>
          <w:b w:val="0"/>
          <w:i w:val="0"/>
        </w:rPr>
        <w:t xml:space="preserve">-score between risk groups. (ii) The same test within the stage I–II and stage III–IV strata separately. (iii) The risk-group term of an OLS linear model with the marker mean </w:t>
      </w:r>
      <w:r>
        <w:rPr>
          <w:b w:val="0"/>
          <w:i/>
        </w:rPr>
        <w:t>z</w:t>
      </w:r>
      <w:r>
        <w:rPr>
          <w:b w:val="0"/>
          <w:i w:val="0"/>
        </w:rPr>
        <w:t xml:space="preserve">-score as outcome and stage III–IV, age, sex and risk group as predictors, using heteroskedasticity-consistent (HC3) standard errors. A feature is counted as surviving adjustment only if term (iii) reaches </w:t>
      </w:r>
      <w:r>
        <w:rPr>
          <w:b w:val="0"/>
          <w:i/>
        </w:rPr>
        <w:t>P</w:t>
      </w:r>
      <w:r>
        <w:rPr>
          <w:b w:val="0"/>
          <w:i w:val="0"/>
        </w:rPr>
        <w:t xml:space="preserve"> &lt; 0.05.</w:t>
      </w:r>
    </w:p>
    <w:p>
      <w:pPr>
        <w:spacing w:after="120"/>
        <w:jc w:val="both"/>
      </w:pPr>
      <w:r>
        <w:rPr>
          <w:b/>
          <w:i w:val="0"/>
        </w:rPr>
        <w:t>Mutation analysis (14 genes).</w:t>
      </w:r>
      <w:r>
        <w:rPr>
          <w:b w:val="0"/>
          <w:i w:val="0"/>
        </w:rPr>
        <w:t xml:space="preserve"> VHL, PBRM1, SETD2, BAP1, KDM5C, MTOR, PTEN, TP53, PIK3CA, ATM, BIRC6, TSC2, ARID1A, SMARCA4. Non-synonymous calls only, retrieved over the </w:t>
      </w:r>
      <w:r>
        <w:rPr>
          <w:rFonts w:ascii="Consolas" w:hAnsi="Consolas" w:eastAsia="Consolas"/>
          <w:b w:val="0"/>
          <w:i w:val="0"/>
        </w:rPr>
        <w:t>_sequenced</w:t>
      </w:r>
      <w:r>
        <w:rPr>
          <w:b w:val="0"/>
          <w:i w:val="0"/>
        </w:rPr>
        <w:t xml:space="preserve"> sample list. Each gene was compared between risk groups by two-sided Fisher exact test under the model's own median split, with Benjamini–Hochberg control across the 14 genes. The comparison was repeated under the three-gene score's own split. An earlier version tested ATRX, PTEN, NF1, TP53 and PIK3CA in 52 patients; ATRX and NF1 are not recurrently mutated in ccRCC, and the 52-patient set was an artefact of the </w:t>
      </w:r>
      <w:r>
        <w:rPr>
          <w:rFonts w:ascii="Consolas" w:hAnsi="Consolas" w:eastAsia="Consolas"/>
          <w:b w:val="0"/>
          <w:i w:val="0"/>
        </w:rPr>
        <w:t>_sequenced</w:t>
      </w:r>
      <w:r>
        <w:rPr>
          <w:b w:val="0"/>
          <w:i w:val="0"/>
        </w:rPr>
        <w:t xml:space="preserve"> restriction.</w:t>
      </w:r>
    </w:p>
    <w:p>
      <w:pPr>
        <w:spacing w:after="120"/>
        <w:jc w:val="both"/>
      </w:pPr>
      <w:r>
        <w:rPr>
          <w:b/>
          <w:i w:val="0"/>
        </w:rPr>
        <w:t>Tumour purity.</w:t>
      </w:r>
      <w:r>
        <w:rPr>
          <w:b w:val="0"/>
          <w:i w:val="0"/>
        </w:rPr>
        <w:t xml:space="preserve"> The TCGA Pan-Cancer Atlas ABSOLUTE consensus purity table (10,786 rows) was matched to the cohort on the 12-character patient barcode. Where a patient had more than one array call, the primary-tumour (</w:t>
      </w:r>
      <w:r>
        <w:rPr>
          <w:rFonts w:ascii="Consolas" w:hAnsi="Consolas" w:eastAsia="Consolas"/>
          <w:b w:val="0"/>
          <w:i w:val="0"/>
        </w:rPr>
        <w:t>-01</w:t>
      </w:r>
      <w:r>
        <w:rPr>
          <w:b w:val="0"/>
          <w:i w:val="0"/>
        </w:rPr>
        <w:t xml:space="preserve">) call was preferred. This matched 479 of 508 patients; the 29 unmatched patients are listed in Supplementary Table S21. Purity was standardised within the matched analysis set and entered as an additional covariate in the adjusted Cox model for each of the three scores. The addition was assessed by a nested likelihood-ratio test on one degree of freedom comparing the model with and without the purity term — that is, a test of the two nested fits produced here, not the lifelines </w:t>
      </w:r>
      <w:r>
        <w:rPr>
          <w:rFonts w:ascii="Consolas" w:hAnsi="Consolas" w:eastAsia="Consolas"/>
          <w:b w:val="0"/>
          <w:i w:val="0"/>
        </w:rPr>
        <w:t>log_likelihood_ratio_test()</w:t>
      </w:r>
      <w:r>
        <w:rPr>
          <w:b w:val="0"/>
          <w:i w:val="0"/>
        </w:rPr>
        <w:t>, which compares a fitted model against the intercept-only null and would be uninformative for this purpose.</w:t>
      </w:r>
    </w:p>
    <w:p>
      <w:pPr>
        <w:spacing w:before="40" w:after="120"/>
        <w:pBdr>
          <w:bottom w:val="single" w:sz="6" w:color="999999"/>
        </w:pBdr>
      </w:pPr>
    </w:p>
    <w:p>
      <w:pPr>
        <w:pStyle w:val="Heading2"/>
      </w:pPr>
      <w:r>
        <w:rPr>
          <w:b w:val="0"/>
          <w:i w:val="0"/>
        </w:rPr>
        <w:t>SM5. External cohort provenance and probe mapping</w:t>
      </w:r>
    </w:p>
    <w:p>
      <w:pPr>
        <w:spacing w:after="120"/>
        <w:jc w:val="both"/>
      </w:pPr>
      <w:r>
        <w:rPr>
          <w:b/>
          <w:i w:val="0"/>
        </w:rPr>
        <w:t>E-MTAB-1980.</w:t>
      </w:r>
      <w:r>
        <w:rPr>
          <w:b w:val="0"/>
          <w:i w:val="0"/>
        </w:rPr>
        <w:t xml:space="preserve"> Expression: ArrayExpress matrix E-MTAB-1980, 101 samples, log quantile-normalised, Agilent platform; the ArrayExpress record names PMID 23797736 as its associated publication. Survival: cBioPortal study </w:t>
      </w:r>
      <w:r>
        <w:rPr>
          <w:rFonts w:ascii="Consolas" w:hAnsi="Consolas" w:eastAsia="Consolas"/>
          <w:b w:val="0"/>
          <w:i w:val="0"/>
        </w:rPr>
        <w:t>ccrcc_utokyo_2013</w:t>
      </w:r>
      <w:r>
        <w:rPr>
          <w:b w:val="0"/>
          <w:i w:val="0"/>
        </w:rPr>
        <w:t xml:space="preserve">, which carries clinical and mutation data but no mRNA profile, and which therefore has to be joined to the expression matrix. The join is on sample label, </w:t>
      </w:r>
      <w:r>
        <w:rPr>
          <w:rFonts w:ascii="Consolas" w:hAnsi="Consolas" w:eastAsia="Consolas"/>
          <w:b w:val="0"/>
          <w:i w:val="0"/>
        </w:rPr>
        <w:t>ccRCC-{i}</w:t>
      </w:r>
      <w:r>
        <w:rPr>
          <w:b w:val="0"/>
          <w:i w:val="0"/>
        </w:rPr>
        <w:t xml:space="preserve"> in the clinical record against </w:t>
      </w:r>
      <w:r>
        <w:rPr>
          <w:rFonts w:ascii="Consolas" w:hAnsi="Consolas" w:eastAsia="Consolas"/>
          <w:b w:val="0"/>
          <w:i w:val="0"/>
        </w:rPr>
        <w:t>ccRCC_{i}</w:t>
      </w:r>
      <w:r>
        <w:rPr>
          <w:b w:val="0"/>
          <w:i w:val="0"/>
        </w:rPr>
        <w:t xml:space="preserve"> in the expression matrix, giving 101 matched patients with 23 deaths and a median follow-up of 67.0 months by reverse Kaplan–Meier (against a naive median of the observed times of 51.0 months). The cBioPortal record contains 106 patients with follow-up time and vital status both complete; five of them have no expression sample, which is what fixes the matched set at 101. The cohort's clinical record carries follow-up time, vital status, age and sex but no tumour grade, so the grade-based form of the per-gene direction diagnostic could not be run in this cohort; the per-gene direction test is the only form both independent cohorts can bear, and it is the form used. Gene symbols were taken directly from the matrix annotation; DAB2 is the single Model A gene that could not be mapped in this cohort, and BICRA is the single one not mappable in GSE29609, so the two together fix the matched diagnostic set at 23 genes (25 Model A genes minus DAB2 and BICRA).</w:t>
      </w:r>
    </w:p>
    <w:p>
      <w:pPr>
        <w:spacing w:after="120"/>
        <w:jc w:val="both"/>
      </w:pPr>
      <w:r>
        <w:rPr>
          <w:b w:val="0"/>
          <w:i w:val="0"/>
        </w:rPr>
        <w:t xml:space="preserve">Two descriptive quantities are recorded here because the main text no longer states them. Under the cohort-internal median split of the frozen three-gene score, the two groups held 51 and 50 patients with 6 and 17 deaths respectively; median overall survival was not reached in either group, with 23 events in all. The frozen coefficients, applied without refitting, gave per-SD Cox coefficients of </w:t>
      </w:r>
      <w:r>
        <w:rPr>
          <w:b/>
          <w:i w:val="0"/>
        </w:rPr>
        <w:t>+0.788</w:t>
      </w:r>
      <w:r>
        <w:rPr>
          <w:b w:val="0"/>
          <w:i w:val="0"/>
        </w:rPr>
        <w:t xml:space="preserve"> for the 25-gene index, </w:t>
      </w:r>
      <w:r>
        <w:rPr>
          <w:b/>
          <w:i w:val="0"/>
        </w:rPr>
        <w:t>+0.538</w:t>
      </w:r>
      <w:r>
        <w:rPr>
          <w:b w:val="0"/>
          <w:i w:val="0"/>
        </w:rPr>
        <w:t xml:space="preserve"> for the four-gene score and </w:t>
      </w:r>
      <w:r>
        <w:rPr>
          <w:b/>
          <w:i w:val="0"/>
        </w:rPr>
        <w:t>+0.530</w:t>
      </w:r>
      <w:r>
        <w:rPr>
          <w:b w:val="0"/>
          <w:i w:val="0"/>
        </w:rPr>
        <w:t xml:space="preserve"> for the three-gene score — the logarithms of the hazard ratios quoted in the main text, and the quantities deposited in Supplementary Table S16a.</w:t>
      </w:r>
    </w:p>
    <w:p>
      <w:pPr>
        <w:spacing w:after="120"/>
        <w:jc w:val="both"/>
      </w:pPr>
      <w:r>
        <w:rPr>
          <w:b/>
          <w:i w:val="0"/>
        </w:rPr>
        <w:t>GSE29609.</w:t>
      </w:r>
      <w:r>
        <w:rPr>
          <w:b w:val="0"/>
          <w:i w:val="0"/>
        </w:rPr>
        <w:t xml:space="preserve"> Downloaded from GEO with its GPL1708 annotation; probes were mapped to gene symbols by taking, for each symbol, the probe with the highest mean expression across samples. The series contributes 39 patients with survival data and 17 deaths, with a median follow-up of 40.0 months. Fuhrman grade 1/2/3/4 is recorded in 1/12/11/15 of those patients and T stage 1/2/3/4 in 11/5/22/1. The GSE29609 scale diagnostic correlated each mappable panel or proliferation gene with Fuhrman grade within this cohort; 44 of the panel and proliferation genes could be mapped and graded.</w:t>
      </w:r>
    </w:p>
    <w:p>
      <w:pPr>
        <w:spacing w:after="120"/>
        <w:jc w:val="both"/>
      </w:pPr>
      <w:r>
        <w:rPr>
          <w:b/>
          <w:i w:val="0"/>
        </w:rPr>
        <w:t>GDC re-derivation.</w:t>
      </w:r>
      <w:r>
        <w:rPr>
          <w:b w:val="0"/>
          <w:i w:val="0"/>
        </w:rPr>
        <w:t xml:space="preserve"> Study </w:t>
      </w:r>
      <w:r>
        <w:rPr>
          <w:rFonts w:ascii="Consolas" w:hAnsi="Consolas" w:eastAsia="Consolas"/>
          <w:b w:val="0"/>
          <w:i w:val="0"/>
        </w:rPr>
        <w:t>ccrcc_tcga_gdc</w:t>
      </w:r>
      <w:r>
        <w:rPr>
          <w:b w:val="0"/>
          <w:i w:val="0"/>
        </w:rPr>
        <w:t xml:space="preserve"> re-processes the same TCGA-KIRC patients from the raw sequence data through the GDC pipeline. It supplies 368 patients with usable data and 94 deaths. Because the patients are identical to the discovery cohort, this analysis is labelled a technical replication throughout and is not counted as external validation.</w:t>
      </w:r>
    </w:p>
    <w:p>
      <w:pPr>
        <w:spacing w:after="120"/>
        <w:jc w:val="both"/>
      </w:pPr>
      <w:r>
        <w:rPr>
          <w:b/>
          <w:i w:val="0"/>
        </w:rPr>
        <w:t>GSE22541.</w:t>
      </w:r>
      <w:r>
        <w:rPr>
          <w:b w:val="0"/>
          <w:i w:val="0"/>
        </w:rPr>
        <w:t xml:space="preserve"> Downloaded with its GPL570 annotation. It contains 68 samples and mixes pulmonary metastases with primary tumours, and its annotation carries disease-free survival with no overall survival field. It was rejected on these design grounds and no C-index computed on it is reported.</w:t>
      </w:r>
    </w:p>
    <w:p>
      <w:pPr>
        <w:spacing w:after="120"/>
        <w:jc w:val="both"/>
      </w:pPr>
      <w:r>
        <w:rPr>
          <w:b/>
          <w:i w:val="0"/>
        </w:rPr>
        <w:t>Application of the frozen models.</w:t>
      </w:r>
      <w:r>
        <w:rPr>
          <w:b w:val="0"/>
          <w:i w:val="0"/>
        </w:rPr>
        <w:t xml:space="preserve"> In every external cohort, expression was standardised within that cohort before the frozen weights were applied. No coefficient was refitted, no gene was reselected, and no threshold was re-tuned. Risk groups were defined by the cohort-internal median of the frozen linear predictor.</w:t>
      </w:r>
    </w:p>
    <w:p>
      <w:pPr>
        <w:spacing w:before="40" w:after="120"/>
        <w:pBdr>
          <w:bottom w:val="single" w:sz="6" w:color="999999"/>
        </w:pBdr>
      </w:pPr>
    </w:p>
    <w:p>
      <w:pPr>
        <w:pStyle w:val="Heading2"/>
      </w:pPr>
      <w:r>
        <w:rPr>
          <w:b w:val="0"/>
          <w:i w:val="0"/>
        </w:rPr>
        <w:t>SM6. Internal validation protocol</w:t>
      </w:r>
    </w:p>
    <w:p>
      <w:pPr>
        <w:spacing w:after="120"/>
        <w:jc w:val="both"/>
      </w:pPr>
      <w:r>
        <w:rPr>
          <w:b w:val="0"/>
          <w:i w:val="0"/>
        </w:rPr>
        <w:t>Three estimates were produced on the same ten outer folds with a fixed random seed.</w:t>
      </w:r>
    </w:p>
    <w:p>
      <w:pPr>
        <w:spacing w:after="60"/>
        <w:ind w:left="425" w:hanging="425"/>
      </w:pPr>
      <w:r>
        <w:rPr>
          <w:b w:val="0"/>
          <w:i w:val="0"/>
        </w:rPr>
        <w:t xml:space="preserve">1. </w:t>
      </w:r>
      <w:r>
        <w:rPr>
          <w:b/>
          <w:i w:val="0"/>
        </w:rPr>
        <w:t>Apparent</w:t>
      </w:r>
      <w:r>
        <w:rPr>
          <w:b w:val="0"/>
          <w:i w:val="0"/>
        </w:rPr>
        <w:t>: the model fitted on all 508 patients and evaluated on the same 508.</w:t>
      </w:r>
    </w:p>
    <w:p>
      <w:pPr>
        <w:spacing w:after="60"/>
        <w:ind w:left="425" w:hanging="425"/>
      </w:pPr>
      <w:r>
        <w:rPr>
          <w:b w:val="0"/>
          <w:i w:val="0"/>
        </w:rPr>
        <w:t xml:space="preserve">2. </w:t>
      </w:r>
      <w:r>
        <w:rPr>
          <w:b/>
          <w:i w:val="0"/>
        </w:rPr>
        <w:t>Coefficients refitted inside folds</w:t>
      </w:r>
      <w:r>
        <w:rPr>
          <w:b w:val="0"/>
          <w:i w:val="0"/>
        </w:rPr>
        <w:t>: the gene set is held fixed at the frozen one and only the Cox coefficients are re-estimated on the training part of each fold.</w:t>
      </w:r>
    </w:p>
    <w:p>
      <w:pPr>
        <w:spacing w:after="60"/>
        <w:ind w:left="425" w:hanging="425"/>
      </w:pPr>
      <w:r>
        <w:rPr>
          <w:b w:val="0"/>
          <w:i w:val="0"/>
        </w:rPr>
        <w:t xml:space="preserve">3. </w:t>
      </w:r>
      <w:r>
        <w:rPr>
          <w:b/>
          <w:i w:val="0"/>
        </w:rPr>
        <w:t>Whole procedure repeated inside folds</w:t>
      </w:r>
      <w:r>
        <w:rPr>
          <w:b w:val="0"/>
          <w:i w:val="0"/>
        </w:rPr>
        <w:t xml:space="preserve">: the selection procedure itself is re-run on the training part of each fold. For the parsimony pipeline this means the LASSO path, the parsimony profile, the 1-SE rule and the unpenalised refit. For the Model A pipeline this means its own univariate screen, its </w:t>
      </w:r>
      <w:r>
        <w:rPr>
          <w:b w:val="0"/>
          <w:i/>
        </w:rPr>
        <w:t>P</w:t>
      </w:r>
      <w:r>
        <w:rPr>
          <w:b w:val="0"/>
          <w:i w:val="0"/>
        </w:rPr>
        <w:t xml:space="preserve"> &lt; 0.05 filter, its top-25 cut and its L2 fit. Both pipelines are therefore measured at the same level, and the paired difference between them is computed fold-by-fold rather than model-by-model.</w:t>
      </w:r>
    </w:p>
    <w:p>
      <w:pPr>
        <w:spacing w:after="120"/>
        <w:jc w:val="both"/>
      </w:pPr>
      <w:r>
        <w:rPr>
          <w:b w:val="0"/>
          <w:i w:val="0"/>
        </w:rPr>
        <w:t xml:space="preserve">Folds containing fewer than six patients or fewer than two events were excluded from the C-index average. The paired comparison of the two procedure-level curves used a paired </w:t>
      </w:r>
      <w:r>
        <w:rPr>
          <w:b w:val="0"/>
          <w:i/>
        </w:rPr>
        <w:t>t</w:t>
      </w:r>
      <w:r>
        <w:rPr>
          <w:b w:val="0"/>
          <w:i w:val="0"/>
        </w:rPr>
        <w:t xml:space="preserve"> test and a Wilcoxon signed-rank test across folds.</w:t>
      </w:r>
    </w:p>
    <w:p>
      <w:pPr>
        <w:spacing w:after="120"/>
        <w:jc w:val="both"/>
      </w:pPr>
      <w:r>
        <w:rPr>
          <w:b/>
          <w:i w:val="0"/>
        </w:rPr>
        <w:t>Randomised-panel benchmark.</w:t>
      </w:r>
      <w:r>
        <w:rPr>
          <w:b w:val="0"/>
          <w:i w:val="0"/>
        </w:rPr>
        <w:t xml:space="preserve"> For k = 3, 500 random gene sets of size 3 were drawn without replacement from the 87 panel genes and fitted unpenalised, matching the three-gene score. For k = 25, 500 random sets were drawn and fitted twice: once with the L2 penalty of λ = 1.0 used by Model A, and once unpenalised. In every arm the coefficients were refitted inside the same ten folds used for the observed models, and the cross-validated C-index was recorded. The normalised excess is the observed C-index minus the null mean, divided by 1 − null mean.</w:t>
      </w:r>
    </w:p>
    <w:p>
      <w:pPr>
        <w:spacing w:after="120"/>
        <w:jc w:val="both"/>
      </w:pPr>
      <w:r>
        <w:rPr>
          <w:b/>
          <w:i w:val="0"/>
        </w:rPr>
        <w:t>Time-dependent AUC</w:t>
      </w:r>
      <w:r>
        <w:rPr>
          <w:b w:val="0"/>
          <w:i w:val="0"/>
        </w:rPr>
        <w:t xml:space="preserve"> was computed out of fold with coefficients refitted inside the folds, at 12, 36 and 60 months. The paired bootstrap on the apparent C-index used 2,000 resamples over patients.</w:t>
      </w:r>
    </w:p>
    <w:p>
      <w:pPr>
        <w:spacing w:after="120"/>
        <w:jc w:val="both"/>
      </w:pPr>
      <w:r>
        <w:rPr>
          <w:b/>
          <w:i w:val="0"/>
        </w:rPr>
        <w:t>Calibration (new in this revision).</w:t>
      </w:r>
      <w:r>
        <w:rPr>
          <w:b w:val="0"/>
          <w:i w:val="0"/>
        </w:rPr>
        <w:t xml:space="preserve"> Calibration was assessed at one fixed horizon, 36 months, for all three frozen models. Each model's linear predictor was used exactly as deposited — no coefficient was refitted and no gene reselected. The only quantity estimated was the Breslow baseline cumulative hazard at 36 months, H</w:t>
      </w:r>
      <w:r>
        <w:rPr>
          <w:b w:val="0"/>
          <w:i w:val="0"/>
          <w:vertAlign w:val="subscript"/>
        </w:rPr>
        <w:t>0</w:t>
      </w:r>
      <w:r>
        <w:rPr>
          <w:b w:val="0"/>
          <w:i w:val="0"/>
        </w:rPr>
        <w:t>(36) = Σ d</w:t>
      </w:r>
      <w:r>
        <w:rPr>
          <w:b w:val="0"/>
          <w:i w:val="0"/>
          <w:vertAlign w:val="subscript"/>
        </w:rPr>
        <w:t>j</w:t>
      </w:r>
      <w:r>
        <w:rPr>
          <w:b w:val="0"/>
          <w:i w:val="0"/>
        </w:rPr>
        <w:t xml:space="preserve"> / Σ exp(lp</w:t>
      </w:r>
      <w:r>
        <w:rPr>
          <w:b w:val="0"/>
          <w:i w:val="0"/>
          <w:vertAlign w:val="subscript"/>
        </w:rPr>
        <w:t>i</w:t>
      </w:r>
      <w:r>
        <w:rPr>
          <w:b w:val="0"/>
          <w:i w:val="0"/>
        </w:rPr>
        <w:t>), where the leading sum runs over every event time t</w:t>
      </w:r>
      <w:r>
        <w:rPr>
          <w:b w:val="0"/>
          <w:i w:val="0"/>
          <w:vertAlign w:val="subscript"/>
        </w:rPr>
        <w:t>j</w:t>
      </w:r>
      <w:r>
        <w:rPr>
          <w:b w:val="0"/>
          <w:i w:val="0"/>
        </w:rPr>
        <w:t xml:space="preserve"> at or before 36 months and the divisor over the matching risk set R</w:t>
      </w:r>
      <w:r>
        <w:rPr>
          <w:b w:val="0"/>
          <w:i w:val="0"/>
          <w:vertAlign w:val="subscript"/>
        </w:rPr>
        <w:t>j</w:t>
      </w:r>
      <w:r>
        <w:rPr>
          <w:b w:val="0"/>
          <w:i w:val="0"/>
        </w:rPr>
        <w:t>, with d</w:t>
      </w:r>
      <w:r>
        <w:rPr>
          <w:b w:val="0"/>
          <w:i w:val="0"/>
          <w:vertAlign w:val="subscript"/>
        </w:rPr>
        <w:t>j</w:t>
      </w:r>
      <w:r>
        <w:rPr>
          <w:b w:val="0"/>
          <w:i w:val="0"/>
        </w:rPr>
        <w:t xml:space="preserve"> the number of deaths at t</w:t>
      </w:r>
      <w:r>
        <w:rPr>
          <w:b w:val="0"/>
          <w:i w:val="0"/>
          <w:vertAlign w:val="subscript"/>
        </w:rPr>
        <w:t>j</w:t>
      </w:r>
      <w:r>
        <w:rPr>
          <w:b w:val="0"/>
          <w:i w:val="0"/>
        </w:rPr>
        <w:t xml:space="preserve"> and lp</w:t>
      </w:r>
      <w:r>
        <w:rPr>
          <w:b w:val="0"/>
          <w:i w:val="0"/>
          <w:vertAlign w:val="subscript"/>
        </w:rPr>
        <w:t>i</w:t>
      </w:r>
      <w:r>
        <w:rPr>
          <w:b w:val="0"/>
          <w:i w:val="0"/>
        </w:rPr>
        <w:t xml:space="preserve"> the frozen linear predictor of patient i. Baseline survival at 36 months is S</w:t>
      </w:r>
      <w:r>
        <w:rPr>
          <w:b w:val="0"/>
          <w:i w:val="0"/>
          <w:vertAlign w:val="subscript"/>
        </w:rPr>
        <w:t>0</w:t>
      </w:r>
      <w:r>
        <w:rPr>
          <w:b w:val="0"/>
          <w:i w:val="0"/>
        </w:rPr>
        <w:t>(36) = exp(−H</w:t>
      </w:r>
      <w:r>
        <w:rPr>
          <w:b w:val="0"/>
          <w:i w:val="0"/>
          <w:vertAlign w:val="subscript"/>
        </w:rPr>
        <w:t>0</w:t>
      </w:r>
      <w:r>
        <w:rPr>
          <w:b w:val="0"/>
          <w:i w:val="0"/>
        </w:rPr>
        <w:t>(36)). The predicted 36-month survival of patient i is then S</w:t>
      </w:r>
      <w:r>
        <w:rPr>
          <w:b w:val="0"/>
          <w:i w:val="0"/>
          <w:vertAlign w:val="subscript"/>
        </w:rPr>
        <w:t>i</w:t>
      </w:r>
      <w:r>
        <w:rPr>
          <w:b w:val="0"/>
          <w:i w:val="0"/>
        </w:rPr>
        <w:t>(36) = S</w:t>
      </w:r>
      <w:r>
        <w:rPr>
          <w:b w:val="0"/>
          <w:i w:val="0"/>
          <w:vertAlign w:val="subscript"/>
        </w:rPr>
        <w:t>0</w:t>
      </w:r>
      <w:r>
        <w:rPr>
          <w:b w:val="0"/>
          <w:i w:val="0"/>
        </w:rPr>
        <w:t>(36)</w:t>
      </w:r>
      <w:r>
        <w:rPr>
          <w:b w:val="0"/>
          <w:i w:val="0"/>
          <w:vertAlign w:val="superscript"/>
        </w:rPr>
        <w:t>exp(lp)</w:t>
      </w:r>
      <w:r>
        <w:rPr>
          <w:b w:val="0"/>
          <w:i w:val="0"/>
        </w:rPr>
        <w:t>, taking lp as that patient's own linear predictor, and predicted mortality is 1 − S</w:t>
      </w:r>
      <w:r>
        <w:rPr>
          <w:b w:val="0"/>
          <w:i w:val="0"/>
          <w:vertAlign w:val="subscript"/>
        </w:rPr>
        <w:t>i</w:t>
      </w:r>
      <w:r>
        <w:rPr>
          <w:b w:val="0"/>
          <w:i w:val="0"/>
        </w:rPr>
        <w:t>(36). Patients were split into quintiles of predicted mortality; within each quintile the mean predicted mortality is plotted against the Kaplan–Meier observed mortality at 36 months, and a model is perfectly calibrated when the points lie on the diagonal. Two summaries accompany the plot: calibration-in-the-large (overall predicted against overall observed mortality) and the calibration slope, defined as the Cox coefficient obtained when the linear predictor is the model's only covariate and equal to 1 for a perfectly calibrated model. The results are 0.238 (Model A), 0.228 (four-gene) and 0.228 (three-gene) predicted against 0.239 observed, with calibration slopes of 1.39, 1.00 and 1.00 — the slope above 1 for Model A being the expected signature of an L2-penalised index, whose fitted linear predictor is compressed relative to the unpenalised one. Per-quintile values are in Supplementary Table S23.</w:t>
      </w:r>
    </w:p>
    <w:p>
      <w:pPr>
        <w:spacing w:before="40" w:after="120"/>
        <w:pBdr>
          <w:bottom w:val="single" w:sz="6" w:color="999999"/>
        </w:pBdr>
      </w:pPr>
    </w:p>
    <w:p>
      <w:pPr>
        <w:pStyle w:val="Heading2"/>
      </w:pPr>
      <w:r>
        <w:rPr>
          <w:b w:val="0"/>
          <w:i w:val="0"/>
        </w:rPr>
        <w:t>SM7. Software</w:t>
      </w:r>
    </w:p>
    <w:p>
      <w:pPr>
        <w:spacing w:after="120"/>
        <w:jc w:val="both"/>
      </w:pPr>
      <w:r>
        <w:rPr>
          <w:b w:val="0"/>
          <w:i w:val="0"/>
        </w:rPr>
        <w:t>Python 3.13; numpy, pandas and scipy for data handling and tests; lifelines 0.30.3 for Cox models, the LASSO-Cox path and the concordance index; scikit-survival 0.28.0 for time-dependent AUC; scikit-learn for cross-validation splitting, k-means and silhouette scores; matplotlib for all figures (vector output). Random seeds were fixed for every resampling procedure and are recorded with the deposited result files. Every quantity quoted in the main text was written to a machine-readable file before the text was drafted.</w:t>
      </w:r>
    </w:p>
    <w:p>
      <w:pPr>
        <w:pStyle w:val="Heading2"/>
      </w:pPr>
      <w:r>
        <w:rPr>
          <w:b w:val="0"/>
          <w:i w:val="0"/>
        </w:rPr>
        <w:t>SM8. Clinical-utility protocol at 36 months (new analysis)</w:t>
      </w:r>
    </w:p>
    <w:p>
      <w:pPr>
        <w:spacing w:after="120"/>
        <w:jc w:val="both"/>
      </w:pPr>
      <w:r>
        <w:rPr>
          <w:b/>
          <w:i w:val="0"/>
        </w:rPr>
        <w:t>Horizon and event accounting.</w:t>
      </w:r>
      <w:r>
        <w:rPr>
          <w:b w:val="0"/>
          <w:i w:val="0"/>
        </w:rPr>
        <w:t xml:space="preserve"> All utility metrics are computed at 36 months, the horizon already used for calibration (SM6) and for the middle time-dependent AUC. Of the 508 patients, 106 had died by 36 months, 280 were alive with follow-up beyond the horizon and 122 were censored before it, giving an estimated censoring survival of 0.725 at the horizon (reverse Kaplan–Meier). Whole-cohort Kaplan–Meier mortality at 36 months is 0.239.</w:t>
      </w:r>
    </w:p>
    <w:p>
      <w:pPr>
        <w:spacing w:after="120"/>
        <w:jc w:val="both"/>
      </w:pPr>
      <w:r>
        <w:rPr>
          <w:b/>
          <w:i w:val="0"/>
        </w:rPr>
        <w:t>Models compared.</w:t>
      </w:r>
      <w:r>
        <w:rPr>
          <w:b w:val="0"/>
          <w:i w:val="0"/>
        </w:rPr>
        <w:t xml:space="preserve"> The reference model is a Cox model containing age, sex, stage III–IV and grade G3–G4. Each score is standardised within the cohort and added to it as a single term, so that the comparison adds exactly one covariate in every case; the frozen coefficients of the score are not re-estimated in this step. Patients whose 36-month status is unknown (those censored before the horizon) contribute to the weighted metrics through inverse-probability-of-censoring weighting (IPCW) but are excluded from the unweighted, known-status version.</w:t>
      </w:r>
    </w:p>
    <w:p>
      <w:pPr>
        <w:spacing w:after="120"/>
        <w:jc w:val="both"/>
      </w:pPr>
      <w:r>
        <w:rPr>
          <w:b/>
          <w:i w:val="0"/>
        </w:rPr>
        <w:t>Category-free NRI.</w:t>
      </w:r>
      <w:r>
        <w:rPr>
          <w:b w:val="0"/>
          <w:i w:val="0"/>
        </w:rPr>
        <w:t xml:space="preserve"> For each patient the predicted 36-month mortality risk is computed from the reference model and from the reference model plus the score, and the direction of change is recorded. The IPCW-weighted NRI is the weighted proportion of patients who died by 36 months whose risk rose, minus the weighted proportion whose risk fell, plus the mirror-image quantity among patients alive at the horizon; weights are the inverse of the estimated censoring survival at each patient's last known status time. No categorical risk strata were pre-specified, so only the continuous (category-free) form is reported. An unweighted version restricted to the 386 patients whose 36-month status is known is reported alongside it as a sensitivity check.</w:t>
      </w:r>
    </w:p>
    <w:p>
      <w:pPr>
        <w:spacing w:after="120"/>
        <w:jc w:val="both"/>
      </w:pPr>
      <w:r>
        <w:rPr>
          <w:b/>
          <w:i w:val="0"/>
        </w:rPr>
        <w:t>IDI.</w:t>
      </w:r>
      <w:r>
        <w:rPr>
          <w:b w:val="0"/>
          <w:i w:val="0"/>
        </w:rPr>
        <w:t xml:space="preserve"> The discrimination slope is the IPCW-weighted mean predicted risk among patients who died by 36 months minus the corresponding mean among those who did not. The IDI is the difference in slope between the augmented and the reference model. A known-status version is computed on the same 386 patients.</w:t>
      </w:r>
    </w:p>
    <w:p>
      <w:pPr>
        <w:spacing w:after="120"/>
        <w:jc w:val="both"/>
      </w:pPr>
      <w:r>
        <w:rPr>
          <w:b/>
          <w:i w:val="0"/>
        </w:rPr>
        <w:t>Decision curves.</w:t>
      </w:r>
      <w:r>
        <w:rPr>
          <w:b w:val="0"/>
          <w:i w:val="0"/>
        </w:rPr>
        <w:t xml:space="preserve"> Net benefit is computed in the survival formulation, in which the event probability inside the subgroup whose predicted risk exceeds the threshold is estimated by Kaplan–Meier at 36 months rather than by the observed event proportion. Thresholds run from 0.05 to 0.60 in steps of 0.01 (56 thresholds); treat-all and treat-none reference curves are drawn on the same grid. The plotted anchor is the threshold of </w:t>
      </w:r>
      <w:r>
        <w:rPr>
          <w:b/>
          <w:i w:val="0"/>
        </w:rPr>
        <w:t>maximum gain over the clinical model</w:t>
      </w:r>
      <w:r>
        <w:rPr>
          <w:b w:val="0"/>
          <w:i w:val="0"/>
        </w:rPr>
        <w:t xml:space="preserve"> (+0.033 at p_t = 0.47), not the threshold of maximum net benefit, because net benefit is mechanically largest at low thresholds and the maximum there is uninformative.</w:t>
      </w:r>
    </w:p>
    <w:p>
      <w:pPr>
        <w:spacing w:after="120"/>
        <w:jc w:val="both"/>
      </w:pPr>
      <w:r>
        <w:rPr>
          <w:b/>
          <w:i w:val="0"/>
        </w:rPr>
        <w:t>Size-matched null benchmark for the utility metrics.</w:t>
      </w:r>
      <w:r>
        <w:rPr>
          <w:b w:val="0"/>
          <w:i w:val="0"/>
        </w:rPr>
        <w:t xml:space="preserve"> Because NRI and IDI increase whenever any variable is added, all three metrics are recomputed for 500 random panels handled exactly as the score is: </w:t>
      </w:r>
      <w:r>
        <w:rPr>
          <w:b w:val="0"/>
          <w:i/>
        </w:rPr>
        <w:t>k</w:t>
      </w:r>
      <w:r>
        <w:rPr>
          <w:b w:val="0"/>
          <w:i w:val="0"/>
        </w:rPr>
        <w:t xml:space="preserve"> genes (</w:t>
      </w:r>
      <w:r>
        <w:rPr>
          <w:b w:val="0"/>
          <w:i/>
        </w:rPr>
        <w:t>k</w:t>
      </w:r>
      <w:r>
        <w:rPr>
          <w:b w:val="0"/>
          <w:i w:val="0"/>
        </w:rPr>
        <w:t xml:space="preserve"> = 3 and </w:t>
      </w:r>
      <w:r>
        <w:rPr>
          <w:b w:val="0"/>
          <w:i/>
        </w:rPr>
        <w:t>k</w:t>
      </w:r>
      <w:r>
        <w:rPr>
          <w:b w:val="0"/>
          <w:i w:val="0"/>
        </w:rPr>
        <w:t xml:space="preserve"> = 25) are entered individually into the same clinical model and fitted freely, and the metrics are evaluated on the same cohort. Both arms are </w:t>
      </w:r>
      <w:r>
        <w:rPr>
          <w:b/>
          <w:i w:val="0"/>
        </w:rPr>
        <w:t>unpenalised</w:t>
      </w:r>
      <w:r>
        <w:rPr>
          <w:b w:val="0"/>
          <w:i w:val="0"/>
        </w:rPr>
        <w:t>; penalising the random arm alone was found to shrink the clinical covariates as well and to produce spurious negative null means, and the defect is recorded in the generating script. The observed values are reported as percentiles of the null distribution. The observed value used for the panel-size comparison is the freely fitted arm (matching the null protocol), not the frozen-score arm.</w:t>
      </w:r>
    </w:p>
    <w:p>
      <w:pPr>
        <w:spacing w:after="120"/>
        <w:jc w:val="both"/>
      </w:pPr>
      <w:r>
        <w:rPr>
          <w:b/>
          <w:i w:val="0"/>
        </w:rPr>
        <w:t>Uncertainty.</w:t>
      </w:r>
      <w:r>
        <w:rPr>
          <w:b w:val="0"/>
          <w:i w:val="0"/>
        </w:rPr>
        <w:t xml:space="preserve"> Confidence intervals for the frozen-score models come from 1,000 patient-level bootstrap resamples in which </w:t>
      </w:r>
      <w:r>
        <w:rPr>
          <w:b/>
          <w:i w:val="0"/>
        </w:rPr>
        <w:t>both</w:t>
      </w:r>
      <w:r>
        <w:rPr>
          <w:b w:val="0"/>
          <w:i w:val="0"/>
        </w:rPr>
        <w:t xml:space="preserve"> the reference and the augmented model are refitted at every draw, so that the interval reflects refitting as well as resampling; the seed is fixed.</w:t>
      </w:r>
    </w:p>
    <w:p>
      <w:pPr>
        <w:spacing w:after="120"/>
        <w:jc w:val="both"/>
      </w:pPr>
      <w:r>
        <w:rPr>
          <w:b/>
          <w:i w:val="0"/>
        </w:rPr>
        <w:t>Self-checks run by the generating script</w:t>
      </w:r>
      <w:r>
        <w:rPr>
          <w:b w:val="0"/>
          <w:i w:val="0"/>
        </w:rPr>
        <w:t xml:space="preserve"> (</w:t>
      </w:r>
      <w:r>
        <w:rPr>
          <w:rFonts w:ascii="Consolas" w:hAnsi="Consolas" w:eastAsia="Consolas"/>
          <w:b w:val="0"/>
          <w:i w:val="0"/>
        </w:rPr>
        <w:t>kirc_clinical_utility_508.py</w:t>
      </w:r>
      <w:r>
        <w:rPr>
          <w:b w:val="0"/>
          <w:i w:val="0"/>
        </w:rPr>
        <w:t xml:space="preserve">): the cohort must be exactly n = 508 with 168 events; the apparent C-index of the three models must reproduce 0.711, 0.697 and 0.697 to within 5 × 10⁻⁴; the per-SD hazard ratios must reproduce 1.956, 1.936 and 1.939; and the clinical-only C-index must be 0.750. Any mismatch aborts the run. All values are written to </w:t>
      </w:r>
      <w:r>
        <w:rPr>
          <w:rFonts w:ascii="Consolas" w:hAnsi="Consolas" w:eastAsia="Consolas"/>
          <w:b w:val="0"/>
          <w:i w:val="0"/>
        </w:rPr>
        <w:t>KIRC_临床效用_508.json</w:t>
      </w:r>
      <w:r>
        <w:rPr>
          <w:b w:val="0"/>
          <w:i w:val="0"/>
        </w:rPr>
        <w:t xml:space="preserve"> and to Supplementary Tables S24–S28 before the text was drafted.</w:t>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宋体"/>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宋体"/>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宋体"/>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宋体"/>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