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107D2" w14:textId="2572DA44" w:rsidR="001716A7" w:rsidRDefault="001716A7">
      <w:pPr>
        <w:rPr>
          <w:rFonts w:ascii="Arial" w:hAnsi="Arial" w:cs="Arial"/>
          <w:b/>
          <w:bCs/>
        </w:rPr>
      </w:pPr>
      <w:r w:rsidRPr="001716A7">
        <w:rPr>
          <w:rFonts w:ascii="Arial" w:hAnsi="Arial" w:cs="Arial"/>
          <w:b/>
          <w:bCs/>
        </w:rPr>
        <w:t>Supplementary tables and figures</w:t>
      </w:r>
    </w:p>
    <w:p w14:paraId="65237283" w14:textId="77777777" w:rsidR="001716A7" w:rsidRPr="001716A7" w:rsidRDefault="001716A7">
      <w:pPr>
        <w:rPr>
          <w:rFonts w:ascii="Arial" w:hAnsi="Arial" w:cs="Arial"/>
          <w:b/>
          <w:bCs/>
        </w:rPr>
      </w:pPr>
    </w:p>
    <w:tbl>
      <w:tblPr>
        <w:tblW w:w="7900" w:type="dxa"/>
        <w:tblLook w:val="04A0" w:firstRow="1" w:lastRow="0" w:firstColumn="1" w:lastColumn="0" w:noHBand="0" w:noVBand="1"/>
      </w:tblPr>
      <w:tblGrid>
        <w:gridCol w:w="3329"/>
        <w:gridCol w:w="2315"/>
        <w:gridCol w:w="2256"/>
      </w:tblGrid>
      <w:tr w:rsidR="00D11CA1" w:rsidRPr="00D11CA1" w14:paraId="7E8BCF04" w14:textId="77777777" w:rsidTr="00D11CA1">
        <w:trPr>
          <w:trHeight w:val="290"/>
        </w:trPr>
        <w:tc>
          <w:tcPr>
            <w:tcW w:w="790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1D18945" w14:textId="77777777" w:rsidR="00D11CA1" w:rsidRPr="00D11CA1" w:rsidRDefault="00D11CA1" w:rsidP="00D11CA1">
            <w:pPr>
              <w:widowControl/>
              <w:spacing w:after="0" w:line="240" w:lineRule="auto"/>
              <w:rPr>
                <w:rFonts w:ascii="Arial" w:eastAsia="宋体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Table S1 Cardiac abnormalities among patients with SICM</w:t>
            </w:r>
          </w:p>
        </w:tc>
      </w:tr>
      <w:tr w:rsidR="00D11CA1" w:rsidRPr="00D11CA1" w14:paraId="2FBA32A3" w14:textId="77777777" w:rsidTr="00D11CA1">
        <w:trPr>
          <w:trHeight w:val="300"/>
        </w:trPr>
        <w:tc>
          <w:tcPr>
            <w:tcW w:w="332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91BA13" w14:textId="77777777" w:rsidR="00D11CA1" w:rsidRPr="00D11CA1" w:rsidRDefault="00D11CA1" w:rsidP="00D11CA1">
            <w:pPr>
              <w:widowControl/>
              <w:spacing w:after="0" w:line="240" w:lineRule="auto"/>
              <w:rPr>
                <w:rFonts w:ascii="Arial" w:eastAsia="宋体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Characteristic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9C3AD9" w14:textId="77777777" w:rsidR="00D11CA1" w:rsidRPr="00D11CA1" w:rsidRDefault="00D11CA1" w:rsidP="00D11CA1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SICM (n = 305)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8A8FC5" w14:textId="77777777" w:rsidR="00D11CA1" w:rsidRPr="00D11CA1" w:rsidRDefault="00D11CA1" w:rsidP="00D11CA1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Abnormal, n/N (%)</w:t>
            </w:r>
          </w:p>
        </w:tc>
      </w:tr>
      <w:tr w:rsidR="00D11CA1" w:rsidRPr="00D11CA1" w14:paraId="5534B926" w14:textId="77777777" w:rsidTr="00D11CA1">
        <w:trPr>
          <w:trHeight w:val="280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5684A" w14:textId="77777777" w:rsidR="00D11CA1" w:rsidRPr="00D11CA1" w:rsidRDefault="00D11CA1" w:rsidP="00D11CA1">
            <w:pPr>
              <w:widowControl/>
              <w:spacing w:after="0" w:line="240" w:lineRule="auto"/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  <w:t>LVEF, %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EA6E4" w14:textId="77777777" w:rsidR="00D11CA1" w:rsidRPr="00D11CA1" w:rsidRDefault="00D11CA1" w:rsidP="00D11CA1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  <w:t>41.60 [29.30, 53.50]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541A9" w14:textId="77777777" w:rsidR="00D11CA1" w:rsidRPr="00D11CA1" w:rsidRDefault="00D11CA1" w:rsidP="00D11CA1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  <w:t>176 (58.5%)</w:t>
            </w:r>
          </w:p>
        </w:tc>
      </w:tr>
      <w:tr w:rsidR="00D11CA1" w:rsidRPr="00D11CA1" w14:paraId="0C0BBD8E" w14:textId="77777777" w:rsidTr="00D11CA1">
        <w:trPr>
          <w:trHeight w:val="280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FCEF4" w14:textId="77777777" w:rsidR="00D11CA1" w:rsidRPr="00D11CA1" w:rsidRDefault="00D11CA1" w:rsidP="00D11CA1">
            <w:pPr>
              <w:widowControl/>
              <w:spacing w:after="0" w:line="240" w:lineRule="auto"/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  <w:t>TAPSE, mm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352EA" w14:textId="77777777" w:rsidR="00D11CA1" w:rsidRPr="00D11CA1" w:rsidRDefault="00D11CA1" w:rsidP="00D11CA1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  <w:t>16.85 ± 3.74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0A08A" w14:textId="77777777" w:rsidR="00D11CA1" w:rsidRPr="00D11CA1" w:rsidRDefault="00D11CA1" w:rsidP="00D11CA1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  <w:t>128 (44.0%)</w:t>
            </w:r>
          </w:p>
        </w:tc>
      </w:tr>
      <w:tr w:rsidR="00D11CA1" w:rsidRPr="00D11CA1" w14:paraId="01B745DD" w14:textId="77777777" w:rsidTr="00D11CA1">
        <w:trPr>
          <w:trHeight w:val="280"/>
        </w:trPr>
        <w:tc>
          <w:tcPr>
            <w:tcW w:w="5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3A7E2" w14:textId="77777777" w:rsidR="00D11CA1" w:rsidRPr="00D11CA1" w:rsidRDefault="00D11CA1" w:rsidP="00D11CA1">
            <w:pPr>
              <w:widowControl/>
              <w:spacing w:after="0" w:line="240" w:lineRule="auto"/>
              <w:rPr>
                <w:rFonts w:ascii="Arial" w:eastAsia="宋体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Left ventricular diastolic dysfunction, n (%)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C64E4" w14:textId="77777777" w:rsidR="00D11CA1" w:rsidRPr="00D11CA1" w:rsidRDefault="00D11CA1" w:rsidP="00D11CA1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  <w:t>231 (78.8%)</w:t>
            </w:r>
          </w:p>
        </w:tc>
      </w:tr>
      <w:tr w:rsidR="00D11CA1" w:rsidRPr="00D11CA1" w14:paraId="4252ADEE" w14:textId="77777777" w:rsidTr="00D11CA1">
        <w:trPr>
          <w:trHeight w:val="280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FEA40" w14:textId="77777777" w:rsidR="00D11CA1" w:rsidRPr="00D11CA1" w:rsidRDefault="00D11CA1" w:rsidP="00D11CA1">
            <w:pPr>
              <w:widowControl/>
              <w:spacing w:after="0" w:line="240" w:lineRule="auto"/>
              <w:ind w:firstLineChars="100" w:firstLine="220"/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  <w:t>Septal e', cm/s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A9794" w14:textId="77777777" w:rsidR="00D11CA1" w:rsidRPr="00D11CA1" w:rsidRDefault="00D11CA1" w:rsidP="00D11CA1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  <w:t>6.50 ± 1.62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6031F" w14:textId="77777777" w:rsidR="00D11CA1" w:rsidRPr="00D11CA1" w:rsidRDefault="00D11CA1" w:rsidP="00D11CA1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  <w:t>168 (57.3%)</w:t>
            </w:r>
          </w:p>
        </w:tc>
      </w:tr>
      <w:tr w:rsidR="00D11CA1" w:rsidRPr="00D11CA1" w14:paraId="7F7D2777" w14:textId="77777777" w:rsidTr="00D11CA1">
        <w:trPr>
          <w:trHeight w:val="280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74C10" w14:textId="77777777" w:rsidR="00D11CA1" w:rsidRPr="00D11CA1" w:rsidRDefault="00D11CA1" w:rsidP="00D11CA1">
            <w:pPr>
              <w:widowControl/>
              <w:spacing w:after="0" w:line="240" w:lineRule="auto"/>
              <w:ind w:firstLineChars="100" w:firstLine="220"/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  <w:t>Lateral e', cm/s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E0263" w14:textId="77777777" w:rsidR="00D11CA1" w:rsidRPr="00D11CA1" w:rsidRDefault="00D11CA1" w:rsidP="00D11CA1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  <w:t>8.62 ± 2.27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E847B" w14:textId="77777777" w:rsidR="00D11CA1" w:rsidRPr="00D11CA1" w:rsidRDefault="00D11CA1" w:rsidP="00D11CA1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  <w:t>196 (68.1%)</w:t>
            </w:r>
          </w:p>
        </w:tc>
      </w:tr>
      <w:tr w:rsidR="00D11CA1" w:rsidRPr="00D11CA1" w14:paraId="2469852C" w14:textId="77777777" w:rsidTr="00D11CA1">
        <w:trPr>
          <w:trHeight w:val="280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FF6B0" w14:textId="77777777" w:rsidR="00D11CA1" w:rsidRPr="00D11CA1" w:rsidRDefault="00D11CA1" w:rsidP="00D11CA1">
            <w:pPr>
              <w:widowControl/>
              <w:spacing w:after="0" w:line="240" w:lineRule="auto"/>
              <w:ind w:firstLineChars="100" w:firstLine="220"/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  <w:t>Average E/e'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7C4E3" w14:textId="77777777" w:rsidR="00D11CA1" w:rsidRPr="00D11CA1" w:rsidRDefault="00D11CA1" w:rsidP="00D11CA1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  <w:t>11.10 [8.50, 15.10]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8F130" w14:textId="77777777" w:rsidR="00D11CA1" w:rsidRPr="00D11CA1" w:rsidRDefault="00D11CA1" w:rsidP="00D11CA1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  <w:t>77 (28.6%)</w:t>
            </w:r>
          </w:p>
        </w:tc>
      </w:tr>
      <w:tr w:rsidR="00D11CA1" w:rsidRPr="00D11CA1" w14:paraId="10FD6A50" w14:textId="77777777" w:rsidTr="00D11CA1">
        <w:trPr>
          <w:trHeight w:val="280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6AE70" w14:textId="77777777" w:rsidR="00D11CA1" w:rsidRPr="00D11CA1" w:rsidRDefault="00D11CA1" w:rsidP="00D11CA1">
            <w:pPr>
              <w:widowControl/>
              <w:spacing w:after="0" w:line="240" w:lineRule="auto"/>
              <w:ind w:firstLineChars="100" w:firstLine="220"/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  <w:t>Peak TR velocity, m/s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F0D81" w14:textId="77777777" w:rsidR="00D11CA1" w:rsidRPr="00D11CA1" w:rsidRDefault="00D11CA1" w:rsidP="00D11CA1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  <w:t>3.13 ± 0.51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5C96F" w14:textId="77777777" w:rsidR="00D11CA1" w:rsidRPr="00D11CA1" w:rsidRDefault="00D11CA1" w:rsidP="00D11CA1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  <w:t>190 (72.2%)</w:t>
            </w:r>
          </w:p>
        </w:tc>
      </w:tr>
      <w:tr w:rsidR="00D11CA1" w:rsidRPr="00D11CA1" w14:paraId="42E21071" w14:textId="77777777" w:rsidTr="00D11CA1">
        <w:trPr>
          <w:trHeight w:val="280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4415F" w14:textId="77777777" w:rsidR="00D11CA1" w:rsidRPr="00D11CA1" w:rsidRDefault="00D11CA1" w:rsidP="00D11CA1">
            <w:pPr>
              <w:widowControl/>
              <w:spacing w:after="0" w:line="240" w:lineRule="auto"/>
              <w:ind w:firstLineChars="100" w:firstLine="220"/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  <w:t>LAVI, mL/m²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CD033" w14:textId="77777777" w:rsidR="00D11CA1" w:rsidRPr="00D11CA1" w:rsidRDefault="00D11CA1" w:rsidP="00D11CA1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  <w:t>41.48 ± 9.88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C0394" w14:textId="77777777" w:rsidR="00D11CA1" w:rsidRPr="00D11CA1" w:rsidRDefault="00D11CA1" w:rsidP="00D11CA1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  <w:t>219 (77.7%)</w:t>
            </w:r>
          </w:p>
        </w:tc>
      </w:tr>
      <w:tr w:rsidR="00D11CA1" w:rsidRPr="00D11CA1" w14:paraId="7960A77F" w14:textId="77777777" w:rsidTr="00D11CA1">
        <w:trPr>
          <w:trHeight w:val="290"/>
        </w:trPr>
        <w:tc>
          <w:tcPr>
            <w:tcW w:w="332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59DAA6C" w14:textId="77777777" w:rsidR="00D11CA1" w:rsidRPr="00D11CA1" w:rsidRDefault="00D11CA1" w:rsidP="00D11CA1">
            <w:pPr>
              <w:widowControl/>
              <w:spacing w:after="0" w:line="240" w:lineRule="auto"/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D11CA1"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  <w:t>hs-cTnT</w:t>
            </w:r>
            <w:proofErr w:type="spellEnd"/>
            <w:r w:rsidRPr="00D11CA1"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  <w:t>, ng/L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C9FD63D" w14:textId="77777777" w:rsidR="00D11CA1" w:rsidRPr="00D11CA1" w:rsidRDefault="00D11CA1" w:rsidP="00D11CA1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  <w:t>12.01 [6.39, 53.91]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AEAB64E" w14:textId="77777777" w:rsidR="00D11CA1" w:rsidRPr="00D11CA1" w:rsidRDefault="00D11CA1" w:rsidP="00D11CA1">
            <w:pPr>
              <w:widowControl/>
              <w:spacing w:after="0" w:line="240" w:lineRule="auto"/>
              <w:jc w:val="center"/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  <w:t>129 (42.3%)</w:t>
            </w:r>
          </w:p>
        </w:tc>
      </w:tr>
      <w:tr w:rsidR="00D11CA1" w:rsidRPr="00D11CA1" w14:paraId="78FB1843" w14:textId="77777777" w:rsidTr="00D11CA1">
        <w:trPr>
          <w:trHeight w:val="1430"/>
        </w:trPr>
        <w:tc>
          <w:tcPr>
            <w:tcW w:w="790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06B930" w14:textId="03BE8AFF" w:rsidR="00D11CA1" w:rsidRPr="00D11CA1" w:rsidRDefault="00D11CA1" w:rsidP="00D11CA1">
            <w:pPr>
              <w:widowControl/>
              <w:spacing w:after="0" w:line="240" w:lineRule="auto"/>
              <w:rPr>
                <w:rFonts w:ascii="Arial" w:eastAsia="宋体" w:hAnsi="Arial" w:cs="Arial" w:hint="eastAsia"/>
                <w:color w:val="000000"/>
                <w:kern w:val="0"/>
                <w:szCs w:val="22"/>
                <w14:ligatures w14:val="none"/>
              </w:rPr>
            </w:pPr>
            <w:r w:rsidRPr="00D11CA1"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  <w:t>Continuous variables are presented as mean ± standard deviation or median [interquartile range], as appropriate. Abnormal values are presented as n/N (%), where N represents the number of patients with an available measurement. LVEF, left ventricular ejection fraction; TAPSE, tricuspid annular plane systolic excursion; TR, tricuspid regurgitation</w:t>
            </w:r>
            <w:r w:rsidR="006E3E03">
              <w:rPr>
                <w:rFonts w:ascii="Arial" w:eastAsia="宋体" w:hAnsi="Arial" w:cs="Arial" w:hint="eastAsia"/>
                <w:color w:val="000000"/>
                <w:kern w:val="0"/>
                <w:szCs w:val="22"/>
                <w14:ligatures w14:val="none"/>
              </w:rPr>
              <w:t>;</w:t>
            </w:r>
            <w:r w:rsidR="006E3E03" w:rsidRPr="006E3E03">
              <w:rPr>
                <w:rFonts w:ascii="Arial" w:eastAsia="宋体" w:hAnsi="Arial" w:cs="Arial" w:hint="eastAsia"/>
                <w:color w:val="000000"/>
                <w:kern w:val="0"/>
                <w:szCs w:val="22"/>
                <w14:ligatures w14:val="none"/>
              </w:rPr>
              <w:t xml:space="preserve"> LAVI, </w:t>
            </w:r>
            <w:r w:rsidR="006E3E03" w:rsidRPr="006E3E03">
              <w:rPr>
                <w:rFonts w:ascii="Arial" w:eastAsia="宋体" w:hAnsi="Arial" w:cs="Arial"/>
                <w:color w:val="000000"/>
                <w:kern w:val="0"/>
                <w:szCs w:val="22"/>
                <w14:ligatures w14:val="none"/>
              </w:rPr>
              <w:t>left atrial volume index</w:t>
            </w:r>
          </w:p>
        </w:tc>
      </w:tr>
    </w:tbl>
    <w:p w14:paraId="22C144FF" w14:textId="77777777" w:rsidR="00D11CA1" w:rsidRDefault="00D11CA1">
      <w:pPr>
        <w:rPr>
          <w:rFonts w:hint="eastAsia"/>
        </w:rPr>
      </w:pPr>
    </w:p>
    <w:tbl>
      <w:tblPr>
        <w:tblW w:w="10421" w:type="dxa"/>
        <w:tblInd w:w="-1051" w:type="dxa"/>
        <w:tblLook w:val="04A0" w:firstRow="1" w:lastRow="0" w:firstColumn="1" w:lastColumn="0" w:noHBand="0" w:noVBand="1"/>
      </w:tblPr>
      <w:tblGrid>
        <w:gridCol w:w="2078"/>
        <w:gridCol w:w="1919"/>
        <w:gridCol w:w="1969"/>
        <w:gridCol w:w="1485"/>
        <w:gridCol w:w="1485"/>
        <w:gridCol w:w="1485"/>
      </w:tblGrid>
      <w:tr w:rsidR="0042179D" w:rsidRPr="0042179D" w14:paraId="7B6DB912" w14:textId="77777777" w:rsidTr="0042179D">
        <w:trPr>
          <w:trHeight w:val="420"/>
        </w:trPr>
        <w:tc>
          <w:tcPr>
            <w:tcW w:w="10421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CD7BCAA" w14:textId="77777777" w:rsidR="0042179D" w:rsidRPr="0042179D" w:rsidRDefault="0042179D" w:rsidP="0042179D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Table S2. Patient-level fivefold cross-validation performance in the development cohort</w:t>
            </w:r>
          </w:p>
        </w:tc>
      </w:tr>
      <w:tr w:rsidR="0042179D" w:rsidRPr="0042179D" w14:paraId="0FFB28E0" w14:textId="77777777" w:rsidTr="0042179D">
        <w:trPr>
          <w:trHeight w:val="560"/>
        </w:trPr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61D65C" w14:textId="77777777" w:rsidR="0042179D" w:rsidRPr="0042179D" w:rsidRDefault="0042179D" w:rsidP="0042179D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Fold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6953C6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Held-out fold, n (SICM/sepsis-only)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BFB04A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AUROC (95% CI)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DAED29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Sensitivity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C9156A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Specificity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473CFA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Brier score</w:t>
            </w:r>
          </w:p>
        </w:tc>
      </w:tr>
      <w:tr w:rsidR="0042179D" w:rsidRPr="0042179D" w14:paraId="34699C84" w14:textId="77777777" w:rsidTr="0042179D">
        <w:trPr>
          <w:trHeight w:val="56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BDBFD" w14:textId="77777777" w:rsidR="0042179D" w:rsidRPr="0042179D" w:rsidRDefault="0042179D" w:rsidP="0042179D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33EBF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106</w:t>
            </w: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br/>
              <w:t>(61/45)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5AE3F3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0.939</w:t>
            </w: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br/>
              <w:t>(0.886–0.977)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7D4D1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0.934 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C335D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0.889 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B3DAB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0.088 </w:t>
            </w:r>
          </w:p>
        </w:tc>
      </w:tr>
      <w:tr w:rsidR="0042179D" w:rsidRPr="0042179D" w14:paraId="69A05E32" w14:textId="77777777" w:rsidTr="0042179D">
        <w:trPr>
          <w:trHeight w:val="56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65429" w14:textId="77777777" w:rsidR="0042179D" w:rsidRPr="0042179D" w:rsidRDefault="0042179D" w:rsidP="0042179D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F78B6D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106</w:t>
            </w: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br/>
              <w:t>(61/45)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CA8F8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0.927</w:t>
            </w: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br/>
              <w:t>(0.869–0.975)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AF9CD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0.918 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E00CB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0.889 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144FC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0.097 </w:t>
            </w:r>
          </w:p>
        </w:tc>
      </w:tr>
      <w:tr w:rsidR="0042179D" w:rsidRPr="0042179D" w14:paraId="14EC03A7" w14:textId="77777777" w:rsidTr="0042179D">
        <w:trPr>
          <w:trHeight w:val="56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A9EAC" w14:textId="77777777" w:rsidR="0042179D" w:rsidRPr="0042179D" w:rsidRDefault="0042179D" w:rsidP="0042179D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B605A5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106</w:t>
            </w: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br/>
              <w:t>(61/45)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0390FC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0.920</w:t>
            </w: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br/>
              <w:t>(0.853–0.974)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E1219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0.902 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94158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0.844 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C94FA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0.115 </w:t>
            </w:r>
          </w:p>
        </w:tc>
      </w:tr>
      <w:tr w:rsidR="0042179D" w:rsidRPr="0042179D" w14:paraId="459400ED" w14:textId="77777777" w:rsidTr="0042179D">
        <w:trPr>
          <w:trHeight w:val="56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4E66D" w14:textId="77777777" w:rsidR="0042179D" w:rsidRPr="0042179D" w:rsidRDefault="0042179D" w:rsidP="0042179D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8A562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106</w:t>
            </w: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br/>
              <w:t>(61/45)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8D8CE0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0.932</w:t>
            </w: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br/>
              <w:t>(0.882–0.973)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232FD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0.869 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ABD92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0.911 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76394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0.115 </w:t>
            </w:r>
          </w:p>
        </w:tc>
      </w:tr>
      <w:tr w:rsidR="0042179D" w:rsidRPr="0042179D" w14:paraId="720EB59B" w14:textId="77777777" w:rsidTr="0042179D">
        <w:trPr>
          <w:trHeight w:val="56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46DF8" w14:textId="77777777" w:rsidR="0042179D" w:rsidRPr="0042179D" w:rsidRDefault="0042179D" w:rsidP="0042179D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BB630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106</w:t>
            </w: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br/>
              <w:t>(61/45)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F902EA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0.970</w:t>
            </w: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br/>
              <w:t>(0.937–0.994)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19CAD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0.885 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4989A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0.956 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F1A3E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0.076 </w:t>
            </w:r>
          </w:p>
        </w:tc>
      </w:tr>
      <w:tr w:rsidR="0042179D" w:rsidRPr="0042179D" w14:paraId="55F825F3" w14:textId="77777777" w:rsidTr="0042179D">
        <w:trPr>
          <w:trHeight w:val="56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9E987" w14:textId="77777777" w:rsidR="0042179D" w:rsidRPr="0042179D" w:rsidRDefault="0042179D" w:rsidP="0042179D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Mean ± SD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0C160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—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757D8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0.938 ± 0.019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1B664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0.902 ± 0.026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EC14A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0.898 ± 0.040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A1F1A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0.098 ± 0.017</w:t>
            </w:r>
          </w:p>
        </w:tc>
      </w:tr>
      <w:tr w:rsidR="0042179D" w:rsidRPr="0042179D" w14:paraId="56A26BCA" w14:textId="77777777" w:rsidTr="0042179D">
        <w:trPr>
          <w:trHeight w:val="560"/>
        </w:trPr>
        <w:tc>
          <w:tcPr>
            <w:tcW w:w="207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BD4BEA2" w14:textId="77777777" w:rsidR="0042179D" w:rsidRPr="0042179D" w:rsidRDefault="0042179D" w:rsidP="0042179D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Pooled out-of-fold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BA22126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530</w:t>
            </w: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br/>
              <w:t>(305/225)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5DE6F8B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0.933</w:t>
            </w: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br/>
              <w:t>(0.910–0.954)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169FEF0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0.902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A66160D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0.898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968DAE5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0.098 </w:t>
            </w:r>
          </w:p>
        </w:tc>
      </w:tr>
      <w:tr w:rsidR="0042179D" w:rsidRPr="0042179D" w14:paraId="2725FC9E" w14:textId="77777777" w:rsidTr="0042179D">
        <w:trPr>
          <w:trHeight w:val="1400"/>
        </w:trPr>
        <w:tc>
          <w:tcPr>
            <w:tcW w:w="10421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00E141A" w14:textId="77777777" w:rsidR="0042179D" w:rsidRPr="0042179D" w:rsidRDefault="0042179D" w:rsidP="0042179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Data are presented for each held-out fold, as mean ± SD across the five folds, and for the pooled out-of-fold predictions. Each patient contributed to the pooled analysis only once, when assigned to the held-out fold. AUROC 95% CIs were estimated using 2,000 bootstrap resamples. Sensitivity and specificity were calculated using a probability threshold of 0.5. AUROC, area under the receiver operating characteristic curve; CI, confidence interval; OOF, out-of-fold; SD, standard deviation.</w:t>
            </w:r>
          </w:p>
        </w:tc>
      </w:tr>
    </w:tbl>
    <w:p w14:paraId="0C5546E9" w14:textId="77777777" w:rsidR="00915A8D" w:rsidRPr="0042179D" w:rsidRDefault="00915A8D">
      <w:pPr>
        <w:rPr>
          <w:rFonts w:hint="eastAsia"/>
        </w:rPr>
      </w:pPr>
    </w:p>
    <w:p w14:paraId="6A23568D" w14:textId="77777777" w:rsidR="00915A8D" w:rsidRPr="00915A8D" w:rsidRDefault="00915A8D">
      <w:pPr>
        <w:rPr>
          <w:rFonts w:hint="eastAsia"/>
        </w:rPr>
      </w:pPr>
    </w:p>
    <w:tbl>
      <w:tblPr>
        <w:tblW w:w="9960" w:type="dxa"/>
        <w:tblInd w:w="-823" w:type="dxa"/>
        <w:tblLook w:val="04A0" w:firstRow="1" w:lastRow="0" w:firstColumn="1" w:lastColumn="0" w:noHBand="0" w:noVBand="1"/>
      </w:tblPr>
      <w:tblGrid>
        <w:gridCol w:w="2383"/>
        <w:gridCol w:w="1494"/>
        <w:gridCol w:w="2412"/>
        <w:gridCol w:w="1544"/>
        <w:gridCol w:w="2127"/>
      </w:tblGrid>
      <w:tr w:rsidR="0042179D" w:rsidRPr="0042179D" w14:paraId="15902A60" w14:textId="77777777" w:rsidTr="0042179D">
        <w:trPr>
          <w:trHeight w:val="420"/>
        </w:trPr>
        <w:tc>
          <w:tcPr>
            <w:tcW w:w="9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47E8A65" w14:textId="77777777" w:rsidR="0042179D" w:rsidRPr="0042179D" w:rsidRDefault="0042179D" w:rsidP="0042179D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 xml:space="preserve">Table S3 Sensitivity analyses of alternative </w:t>
            </w:r>
            <w:proofErr w:type="spellStart"/>
            <w:r w:rsidRPr="0042179D"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cTnT</w:t>
            </w:r>
            <w:proofErr w:type="spellEnd"/>
            <w:r w:rsidRPr="0042179D"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 xml:space="preserve"> definitions</w:t>
            </w:r>
          </w:p>
        </w:tc>
      </w:tr>
      <w:tr w:rsidR="0042179D" w:rsidRPr="0042179D" w14:paraId="65CD5835" w14:textId="77777777" w:rsidTr="0042179D">
        <w:trPr>
          <w:trHeight w:val="420"/>
        </w:trPr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B65BA6" w14:textId="77777777" w:rsidR="0042179D" w:rsidRPr="0042179D" w:rsidRDefault="0042179D" w:rsidP="0042179D">
            <w:pPr>
              <w:widowControl/>
              <w:spacing w:after="0" w:line="240" w:lineRule="auto"/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Analysis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E6C0AE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42179D"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cTnT</w:t>
            </w:r>
            <w:proofErr w:type="spellEnd"/>
            <w:r w:rsidRPr="0042179D"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 xml:space="preserve"> definition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7A90BB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Additional restriction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0F0E48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SICM, n/N (%)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A3AA6A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AUROC (95% CI)</w:t>
            </w:r>
          </w:p>
        </w:tc>
      </w:tr>
      <w:tr w:rsidR="0042179D" w:rsidRPr="0042179D" w14:paraId="6B87A051" w14:textId="77777777" w:rsidTr="0042179D">
        <w:trPr>
          <w:trHeight w:val="420"/>
        </w:trPr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DCFD5" w14:textId="77777777" w:rsidR="0042179D" w:rsidRPr="0042179D" w:rsidRDefault="0042179D" w:rsidP="0042179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Primary analysis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AEB68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&gt;0.10 ng/mL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5C422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None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20D8B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39/93 (41.9%)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2B610" w14:textId="77777777" w:rsid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0.929</w:t>
            </w:r>
          </w:p>
          <w:p w14:paraId="0B8E4206" w14:textId="69CF4A2B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(0.864–0.980)</w:t>
            </w:r>
          </w:p>
        </w:tc>
      </w:tr>
      <w:tr w:rsidR="0042179D" w:rsidRPr="0042179D" w14:paraId="31A4A520" w14:textId="77777777" w:rsidTr="0042179D">
        <w:trPr>
          <w:trHeight w:val="420"/>
        </w:trPr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E2FD9" w14:textId="77777777" w:rsidR="0042179D" w:rsidRPr="0042179D" w:rsidRDefault="0042179D" w:rsidP="0042179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Sensitivity analysis 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E6B61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&gt;0.20 ng/mL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A3006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None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10A1B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22/93 (23.7%)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81325" w14:textId="77777777" w:rsid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0.808</w:t>
            </w:r>
          </w:p>
          <w:p w14:paraId="4D4D82ED" w14:textId="24DED46D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(0.715–0.889)</w:t>
            </w:r>
          </w:p>
        </w:tc>
      </w:tr>
      <w:tr w:rsidR="0042179D" w:rsidRPr="0042179D" w14:paraId="0E4CF9DF" w14:textId="77777777" w:rsidTr="0042179D">
        <w:trPr>
          <w:trHeight w:val="660"/>
        </w:trPr>
        <w:tc>
          <w:tcPr>
            <w:tcW w:w="238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45F8D1A" w14:textId="77777777" w:rsidR="0042179D" w:rsidRPr="0042179D" w:rsidRDefault="0042179D" w:rsidP="0042179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Sensitivity analysis 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0B4D512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&gt;0.10 ng/mL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45ED6FA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Excluded </w:t>
            </w:r>
            <w:proofErr w:type="spellStart"/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cTnT</w:t>
            </w:r>
            <w:proofErr w:type="spellEnd"/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br/>
              <w:t>0.08–0.12 ng/mL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569FA94" w14:textId="77777777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33/84 (39.3%)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7DAB565" w14:textId="77777777" w:rsid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0.923</w:t>
            </w:r>
          </w:p>
          <w:p w14:paraId="2DBEDDBA" w14:textId="21C258F0" w:rsidR="0042179D" w:rsidRPr="0042179D" w:rsidRDefault="0042179D" w:rsidP="0042179D">
            <w:pPr>
              <w:widowControl/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(0.853–0.979)</w:t>
            </w:r>
          </w:p>
        </w:tc>
      </w:tr>
      <w:tr w:rsidR="0042179D" w:rsidRPr="0042179D" w14:paraId="290ECEC8" w14:textId="77777777" w:rsidTr="0042179D">
        <w:trPr>
          <w:trHeight w:val="1210"/>
        </w:trPr>
        <w:tc>
          <w:tcPr>
            <w:tcW w:w="9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1A968F" w14:textId="77777777" w:rsidR="0042179D" w:rsidRPr="0042179D" w:rsidRDefault="0042179D" w:rsidP="0042179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All analyses used the same model predictions; only the reference classification changed. SICM status was based on conventional </w:t>
            </w:r>
            <w:proofErr w:type="spellStart"/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cTnT</w:t>
            </w:r>
            <w:proofErr w:type="spellEnd"/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 measured during the septic episode. 95% CIs were estimated by bootstrap resampling. AUROC, area under the receiver operating characteristic curve; CI, confidence interval; </w:t>
            </w:r>
            <w:proofErr w:type="spellStart"/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cTnT</w:t>
            </w:r>
            <w:proofErr w:type="spellEnd"/>
            <w:r w:rsidRPr="0042179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, cardiac troponin T; SICM, sepsis-induced cardiomyopathy.</w:t>
            </w:r>
          </w:p>
        </w:tc>
      </w:tr>
    </w:tbl>
    <w:p w14:paraId="61065FCF" w14:textId="77777777" w:rsidR="004C3618" w:rsidRPr="0042179D" w:rsidRDefault="004C3618">
      <w:pPr>
        <w:rPr>
          <w:rFonts w:hint="eastAsia"/>
        </w:rPr>
      </w:pPr>
    </w:p>
    <w:p w14:paraId="3AC96C18" w14:textId="77777777" w:rsidR="001147DA" w:rsidRDefault="001147DA">
      <w:pPr>
        <w:rPr>
          <w:rFonts w:hint="eastAsia"/>
          <w:noProof/>
        </w:rPr>
      </w:pPr>
    </w:p>
    <w:p w14:paraId="212076FE" w14:textId="35528BC9" w:rsidR="004C3618" w:rsidRDefault="001147DA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67938135" wp14:editId="45A78795">
            <wp:extent cx="4787900" cy="5950108"/>
            <wp:effectExtent l="0" t="0" r="0" b="0"/>
            <wp:docPr id="109295630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6396" cy="5960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BE621" w14:textId="46615C75" w:rsidR="001147DA" w:rsidRDefault="001147DA">
      <w:pPr>
        <w:rPr>
          <w:rFonts w:ascii="Arial" w:eastAsia="等线" w:hAnsi="Arial" w:cs="Arial"/>
          <w:color w:val="000000"/>
          <w:kern w:val="0"/>
          <w:szCs w:val="22"/>
          <w14:ligatures w14:val="none"/>
        </w:rPr>
      </w:pPr>
      <w:r w:rsidRPr="001147DA">
        <w:rPr>
          <w:rFonts w:ascii="Arial" w:eastAsia="等线" w:hAnsi="Arial" w:cs="Arial"/>
          <w:b/>
          <w:bCs/>
          <w:color w:val="000000"/>
          <w:kern w:val="0"/>
          <w:szCs w:val="22"/>
          <w14:ligatures w14:val="none"/>
        </w:rPr>
        <w:t>Fig. S1 Temporal-attention patterns and model discrimination across attention-defined subgroups.</w:t>
      </w:r>
      <w:r w:rsidRPr="001147DA">
        <w:rPr>
          <w:rFonts w:ascii="Arial" w:eastAsia="等线" w:hAnsi="Arial" w:cs="Arial"/>
          <w:color w:val="000000"/>
          <w:kern w:val="0"/>
          <w:szCs w:val="22"/>
          <w14:ligatures w14:val="none"/>
        </w:rPr>
        <w:t xml:space="preserve"> a Mean normalized attention share across ED, systole, ES, and diastole in five temporal-attention subgroups. Shaded regions indicate the standard error of the mean. A dominant pattern required a maximum phase-specific attention share ≥0.30 and a margin ≥0.08 over the next-highest phase; otherwise, the pattern was classified as mixed/distributed. b AUROC and 95% confidence intervals for SICM identification within each attention-defined subgroup. Subgroup AUROCs were calculated from development-cohort predictions. AUROC, area under the receiver operating characteristic curve; CI, confidence interval; ED, end diastole; ES, end systole; SICM, sepsis-induced cardiomyopathy.</w:t>
      </w:r>
    </w:p>
    <w:p w14:paraId="124EE33F" w14:textId="77777777" w:rsidR="001147DA" w:rsidRDefault="001147DA">
      <w:pPr>
        <w:rPr>
          <w:rFonts w:ascii="Arial" w:eastAsia="等线" w:hAnsi="Arial" w:cs="Arial"/>
          <w:color w:val="000000"/>
          <w:kern w:val="0"/>
          <w:szCs w:val="22"/>
          <w14:ligatures w14:val="none"/>
        </w:rPr>
      </w:pPr>
    </w:p>
    <w:p w14:paraId="36FC4556" w14:textId="499B68F2" w:rsidR="001147DA" w:rsidRDefault="001147DA">
      <w:pPr>
        <w:rPr>
          <w:rFonts w:ascii="Arial" w:eastAsia="等线" w:hAnsi="Arial" w:cs="Arial"/>
          <w:color w:val="000000"/>
          <w:kern w:val="0"/>
          <w:szCs w:val="22"/>
          <w14:ligatures w14:val="none"/>
        </w:rPr>
      </w:pPr>
      <w:r>
        <w:rPr>
          <w:rFonts w:ascii="Arial" w:eastAsia="等线" w:hAnsi="Arial" w:cs="Arial"/>
          <w:noProof/>
          <w:color w:val="000000"/>
          <w:kern w:val="0"/>
          <w:szCs w:val="22"/>
          <w14:ligatures w14:val="none"/>
        </w:rPr>
        <w:lastRenderedPageBreak/>
        <w:drawing>
          <wp:inline distT="0" distB="0" distL="0" distR="0" wp14:anchorId="2AE1B9A0" wp14:editId="27676C03">
            <wp:extent cx="5270500" cy="5905500"/>
            <wp:effectExtent l="0" t="0" r="6350" b="0"/>
            <wp:docPr id="64883034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590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6257E" w14:textId="77777777" w:rsidR="001147DA" w:rsidRDefault="001147DA">
      <w:pPr>
        <w:rPr>
          <w:rFonts w:ascii="Arial" w:eastAsia="等线" w:hAnsi="Arial" w:cs="Arial"/>
          <w:color w:val="000000"/>
          <w:kern w:val="0"/>
          <w:szCs w:val="22"/>
          <w14:ligatures w14:val="none"/>
        </w:rPr>
      </w:pPr>
    </w:p>
    <w:p w14:paraId="0B3D4C52" w14:textId="6410330B" w:rsidR="001147DA" w:rsidRPr="001147DA" w:rsidRDefault="001147DA">
      <w:pPr>
        <w:rPr>
          <w:rFonts w:ascii="Arial" w:eastAsia="等线" w:hAnsi="Arial" w:cs="Arial"/>
          <w:color w:val="000000"/>
          <w:kern w:val="0"/>
          <w:szCs w:val="22"/>
          <w14:ligatures w14:val="none"/>
        </w:rPr>
      </w:pPr>
      <w:r w:rsidRPr="001147DA">
        <w:rPr>
          <w:rFonts w:ascii="Arial" w:eastAsia="等线" w:hAnsi="Arial" w:cs="Arial"/>
          <w:b/>
          <w:bCs/>
          <w:color w:val="000000"/>
          <w:kern w:val="0"/>
          <w:szCs w:val="22"/>
          <w14:ligatures w14:val="none"/>
        </w:rPr>
        <w:t>Fig. S2 Representative spatial-attention patterns across temporal-attention subgroups.</w:t>
      </w:r>
      <w:r w:rsidRPr="001147DA">
        <w:rPr>
          <w:rFonts w:ascii="Arial" w:eastAsia="等线" w:hAnsi="Arial" w:cs="Arial"/>
          <w:color w:val="000000"/>
          <w:kern w:val="0"/>
          <w:szCs w:val="22"/>
          <w14:ligatures w14:val="none"/>
        </w:rPr>
        <w:t xml:space="preserve"> Representative SICM examinations from the ED-dominant, systolic-dominant, ES-dominant, diastolic-dominant, and mixed/distributed subgroups are shown by row. Columns show ED, mid-systole, ES, and mid-diastole from a representative standardized cardiac cycle. Spatial-attention maps are overlaid on the corresponding A4C frames. For each examination, the cycle with the highest MIL attention weight was selected. All spatial-attention maps use a common normalization scale. A4C, apical four-chamber; ED, end diastole; ES, end systole; MIL, multiple-instance learning; SICM, sepsis-induced cardiomyopathy.</w:t>
      </w:r>
    </w:p>
    <w:sectPr w:rsidR="001147DA" w:rsidRPr="001147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9C8D3" w14:textId="77777777" w:rsidR="00FA3414" w:rsidRDefault="00FA3414" w:rsidP="00390BB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4468A64" w14:textId="77777777" w:rsidR="00FA3414" w:rsidRDefault="00FA3414" w:rsidP="00390BB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1A711" w14:textId="77777777" w:rsidR="00FA3414" w:rsidRDefault="00FA3414" w:rsidP="00390BB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BAAAEC6" w14:textId="77777777" w:rsidR="00FA3414" w:rsidRDefault="00FA3414" w:rsidP="00390BB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230"/>
    <w:rsid w:val="000D39A9"/>
    <w:rsid w:val="001147DA"/>
    <w:rsid w:val="00133D03"/>
    <w:rsid w:val="001716A7"/>
    <w:rsid w:val="00271902"/>
    <w:rsid w:val="0029090B"/>
    <w:rsid w:val="00390BB7"/>
    <w:rsid w:val="0042179D"/>
    <w:rsid w:val="00497230"/>
    <w:rsid w:val="004C3618"/>
    <w:rsid w:val="004F3AF2"/>
    <w:rsid w:val="006E3E03"/>
    <w:rsid w:val="007E2307"/>
    <w:rsid w:val="008D0F3A"/>
    <w:rsid w:val="00915A8D"/>
    <w:rsid w:val="00AA0B46"/>
    <w:rsid w:val="00D11CA1"/>
    <w:rsid w:val="00DA0D76"/>
    <w:rsid w:val="00FA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F111F4"/>
  <w15:chartTrackingRefBased/>
  <w15:docId w15:val="{D2BD21E6-1F0C-49DE-8963-CE0DCE5C0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9723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72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723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723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723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7230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723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723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723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9723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972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972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9723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9723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9723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9723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9723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9723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9723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972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723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972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72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972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723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9723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972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9723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9723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90BB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90BB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90BB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90B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633</Words>
  <Characters>3614</Characters>
  <Application>Microsoft Office Word</Application>
  <DocSecurity>0</DocSecurity>
  <Lines>30</Lines>
  <Paragraphs>8</Paragraphs>
  <ScaleCrop>false</ScaleCrop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yuhan zhao</dc:creator>
  <cp:keywords/>
  <dc:description/>
  <cp:lastModifiedBy>yuhan zhao</cp:lastModifiedBy>
  <cp:revision>7</cp:revision>
  <dcterms:created xsi:type="dcterms:W3CDTF">2026-09-21T17:11:00Z</dcterms:created>
  <dcterms:modified xsi:type="dcterms:W3CDTF">2026-10-09T09:22:00Z</dcterms:modified>
</cp:coreProperties>
</file>