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tiff" ContentType="image/tif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28982">
      <w:pPr>
        <w:jc w:val="center"/>
        <w:rPr>
          <w:rFonts w:hint="default" w:ascii="Times New Roman Regular" w:hAnsi="Times New Roman Regular" w:cs="Times New Roman Regular"/>
          <w:sz w:val="36"/>
          <w:szCs w:val="36"/>
        </w:rPr>
      </w:pPr>
      <w:r>
        <w:rPr>
          <w:rFonts w:hint="default" w:ascii="Times New Roman Regular" w:hAnsi="Times New Roman Regular" w:cs="Times New Roman Regular"/>
          <w:sz w:val="36"/>
          <w:szCs w:val="36"/>
        </w:rPr>
        <w:t>Supplementary Materials for</w:t>
      </w:r>
    </w:p>
    <w:p w14:paraId="35DB657D">
      <w:pPr>
        <w:jc w:val="center"/>
        <w:rPr>
          <w:rFonts w:hint="default" w:ascii="Times New Roman Regular" w:hAnsi="Times New Roman Regular" w:cs="Times New Roman Regular"/>
          <w:b/>
          <w:bCs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bCs/>
          <w:i/>
          <w:iCs/>
          <w:sz w:val="28"/>
          <w:szCs w:val="28"/>
        </w:rPr>
        <w:t>H2-Ab1</w:t>
      </w:r>
      <w:r>
        <w:rPr>
          <w:rFonts w:hint="default" w:ascii="Times New Roman Regular" w:hAnsi="Times New Roman Regular" w:cs="Times New Roman Regular"/>
          <w:b/>
          <w:bCs/>
          <w:sz w:val="28"/>
          <w:szCs w:val="28"/>
        </w:rPr>
        <w:t xml:space="preserve"> deficiency in macrophages ameliorates spinal cord injury by regulating phagocytosis processing</w:t>
      </w:r>
    </w:p>
    <w:p w14:paraId="416529AB">
      <w:pPr>
        <w:jc w:val="center"/>
        <w:rPr>
          <w:rFonts w:hint="default" w:ascii="Times New Roman Regular" w:hAnsi="Times New Roman Regular" w:cs="Times New Roman Regular"/>
          <w:sz w:val="40"/>
          <w:szCs w:val="40"/>
        </w:rPr>
      </w:pPr>
    </w:p>
    <w:p w14:paraId="6D887304">
      <w:pPr>
        <w:jc w:val="center"/>
        <w:rPr>
          <w:rFonts w:hint="default" w:ascii="Times New Roman Regular" w:hAnsi="Times New Roman Regular" w:cs="Times New Roman Regular"/>
          <w:i/>
          <w:iCs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Tianlun Zhao </w:t>
      </w:r>
      <w:r>
        <w:rPr>
          <w:rFonts w:hint="default" w:ascii="Times New Roman Regular" w:hAnsi="Times New Roman Regular" w:cs="Times New Roman Regular"/>
          <w:i/>
          <w:iCs/>
          <w:sz w:val="28"/>
          <w:szCs w:val="28"/>
        </w:rPr>
        <w:t>et al.</w:t>
      </w:r>
    </w:p>
    <w:p w14:paraId="26B14F0D">
      <w:pPr>
        <w:pStyle w:val="10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* Limin Rong: ronglm@mail.sysu.edu.cn</w:t>
      </w:r>
    </w:p>
    <w:p w14:paraId="0A508EFC">
      <w:pPr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56AE50C1">
      <w:pPr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This PDF file includes:</w:t>
      </w:r>
    </w:p>
    <w:p w14:paraId="785CDABF">
      <w:pPr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1D40BB0A">
      <w:pPr>
        <w:ind w:left="720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Supplementary Text</w:t>
      </w:r>
    </w:p>
    <w:p w14:paraId="5754269A">
      <w:pPr>
        <w:ind w:left="720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Figs. S1 to S9</w:t>
      </w:r>
    </w:p>
    <w:p w14:paraId="5259D615">
      <w:pPr>
        <w:ind w:left="720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sz w:val="28"/>
          <w:szCs w:val="28"/>
        </w:rPr>
        <w:t>Tables S1 to S3</w:t>
      </w:r>
    </w:p>
    <w:p w14:paraId="444D97F1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br w:type="page"/>
      </w:r>
    </w:p>
    <w:p w14:paraId="720539EB">
      <w:pPr>
        <w:pStyle w:val="4"/>
        <w:rPr>
          <w:rFonts w:hint="default" w:ascii="Times New Roman Regular" w:hAnsi="Times New Roman Regular" w:cs="Times New Roman Regular"/>
          <w:color w:val="111111"/>
          <w:sz w:val="20"/>
          <w:szCs w:val="20"/>
        </w:rPr>
      </w:pPr>
      <w:r>
        <w:rPr>
          <w:rFonts w:hint="default" w:ascii="Times New Roman Regular" w:hAnsi="Times New Roman Regular" w:cs="Times New Roman Regular"/>
          <w:color w:val="111111"/>
          <w:sz w:val="20"/>
          <w:szCs w:val="20"/>
        </w:rPr>
        <w:drawing>
          <wp:inline distT="0" distB="0" distL="0" distR="0">
            <wp:extent cx="5274310" cy="8553450"/>
            <wp:effectExtent l="0" t="0" r="0" b="6350"/>
            <wp:docPr id="525338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338339" name="图片 1"/>
                    <pic:cNvPicPr>
                      <a:picLocks noChangeAspect="1"/>
                    </pic:cNvPicPr>
                  </pic:nvPicPr>
                  <pic:blipFill>
                    <a:blip r:embed="rId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BED52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Figure S1: KEGG enrichment analysis showing the association of </w:t>
      </w:r>
      <w:r>
        <w:rPr>
          <w:rFonts w:hint="default" w:ascii="Times New Roman Regular" w:hAnsi="Times New Roman Regular" w:eastAsia="微软雅黑" w:cs="Times New Roman Regular"/>
          <w:b/>
          <w:bCs/>
          <w:i/>
          <w:iCs/>
          <w:color w:val="333333"/>
          <w:sz w:val="21"/>
          <w:szCs w:val="21"/>
          <w:shd w:val="clear" w:color="auto" w:fill="FFFFFF"/>
        </w:rPr>
        <w:t>H2-Ab1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 with phagosomes after SCI.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A-C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KEGG enrichment analysis showing significant pathophysiological processes associated with H2-Ab1 at days 3, 5, and 7 after SCI.</w:t>
      </w:r>
    </w:p>
    <w:p w14:paraId="6BB57309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</w:p>
    <w:p w14:paraId="2B0B1815">
      <w:pPr>
        <w:shd w:val="clear" w:color="auto" w:fill="FFFFFF"/>
        <w:spacing w:line="360" w:lineRule="auto"/>
        <w:jc w:val="both"/>
        <w:rPr>
          <w:rFonts w:hint="default" w:ascii="Times New Roman Regular" w:hAnsi="Times New Roman Regular" w:eastAsia="微软雅黑" w:cs="Times New Roman Regular"/>
          <w:color w:val="333333"/>
        </w:rPr>
      </w:pPr>
      <w:r>
        <w:rPr>
          <w:rFonts w:hint="default" w:ascii="Times New Roman Regular" w:hAnsi="Times New Roman Regular" w:eastAsia="微软雅黑" w:cs="Times New Roman Regular"/>
          <w:color w:val="333333"/>
        </w:rPr>
        <w:drawing>
          <wp:inline distT="0" distB="0" distL="0" distR="0">
            <wp:extent cx="5274310" cy="7400290"/>
            <wp:effectExtent l="0" t="0" r="0" b="3810"/>
            <wp:docPr id="13323594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59494" name="图片 2"/>
                    <pic:cNvPicPr>
                      <a:picLocks noChangeAspect="1"/>
                    </pic:cNvPicPr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3A7B91D">
      <w:pPr>
        <w:spacing w:line="360" w:lineRule="auto"/>
        <w:jc w:val="both"/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</w:t>
      </w: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>. S2: MHC Class II is localized in macrophages and microglia.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</w:t>
      </w:r>
    </w:p>
    <w:p w14:paraId="3475856C">
      <w:pPr>
        <w:spacing w:line="360" w:lineRule="auto"/>
        <w:jc w:val="both"/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</w:pP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>A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Reclustered tSNE plots depicting WT cell populations. </w:t>
      </w: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>B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Expression of </w:t>
      </w:r>
      <w:r>
        <w:rPr>
          <w:rStyle w:val="14"/>
          <w:rFonts w:hint="default" w:ascii="Times New Roman Regular" w:hAnsi="Times New Roman Regular" w:eastAsia="微软雅黑" w:cs="Times New Roman Regular"/>
          <w:i/>
          <w:iCs/>
          <w:color w:val="333333"/>
          <w:sz w:val="21"/>
          <w:szCs w:val="21"/>
        </w:rPr>
        <w:t>H2-Ab1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transcripts in cell clusters from WT mice in sham and SCI conditions (1, 3, 7, 14, and 38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days post-SCI). </w:t>
      </w: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>C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tSNE plots showing expression of </w:t>
      </w:r>
      <w:r>
        <w:rPr>
          <w:rStyle w:val="14"/>
          <w:rFonts w:hint="default" w:ascii="Times New Roman Regular" w:hAnsi="Times New Roman Regular" w:eastAsia="微软雅黑" w:cs="Times New Roman Regular"/>
          <w:i/>
          <w:iCs/>
          <w:color w:val="333333"/>
          <w:sz w:val="21"/>
          <w:szCs w:val="21"/>
        </w:rPr>
        <w:t>H2-Ab1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at different time points before and after SCI. </w:t>
      </w: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>D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 MHC Class II (red) expression in macrophages/microglia (green), astrocytes (cyan), oligodendrocytes (yellow), and neurons (magenta) of WT mice 7 days following SCI. Scale bar: 100 </w:t>
      </w:r>
      <w:r>
        <w:rPr>
          <w:rStyle w:val="14"/>
          <w:rFonts w:hint="default" w:ascii="Times New Roman Regular" w:hAnsi="Times New Roman Regular" w:eastAsia="微软雅黑" w:cs="Times New Roman Regular"/>
          <w:sz w:val="21"/>
          <w:szCs w:val="21"/>
        </w:rPr>
        <w:t>μ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 xml:space="preserve">m. </w:t>
      </w:r>
      <w:r>
        <w:rPr>
          <w:rStyle w:val="14"/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</w:rPr>
        <w:t xml:space="preserve">E-H </w:t>
      </w:r>
      <w:r>
        <w:rPr>
          <w:rStyle w:val="14"/>
          <w:rFonts w:hint="default" w:ascii="Times New Roman Regular" w:hAnsi="Times New Roman Regular" w:eastAsia="微软雅黑" w:cs="Times New Roman Regular"/>
          <w:color w:val="333333"/>
          <w:sz w:val="21"/>
          <w:szCs w:val="21"/>
        </w:rPr>
        <w:t>Analysis of colocalization between MHC Class II and Iba1, GFAP, MBP, and NeuN at 7 days post-spinal cord injury.</w:t>
      </w:r>
    </w:p>
    <w:p w14:paraId="0C1C53DC">
      <w:pPr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</w:p>
    <w:p w14:paraId="35C9D612">
      <w:pPr>
        <w:pStyle w:val="4"/>
        <w:rPr>
          <w:rFonts w:hint="default" w:ascii="Times New Roman Regular" w:hAnsi="Times New Roman Regular" w:eastAsia="宋体" w:cs="Times New Roman Regular"/>
          <w:color w:val="111111"/>
          <w:sz w:val="20"/>
          <w:szCs w:val="20"/>
          <w:lang w:eastAsia="zh-CN"/>
        </w:rPr>
      </w:pPr>
      <w:r>
        <w:rPr>
          <w:rFonts w:hint="default" w:ascii="Times New Roman Regular" w:hAnsi="Times New Roman Regular" w:eastAsia="宋体" w:cs="Times New Roman Regular"/>
          <w:color w:val="111111"/>
          <w:sz w:val="20"/>
          <w:szCs w:val="20"/>
          <w:lang w:eastAsia="zh-CN"/>
        </w:rPr>
        <w:drawing>
          <wp:inline distT="0" distB="0" distL="114300" distR="114300">
            <wp:extent cx="5267960" cy="7339330"/>
            <wp:effectExtent l="0" t="0" r="15240" b="1270"/>
            <wp:docPr id="1" name="图片 1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33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3E64">
      <w:pPr>
        <w:jc w:val="both"/>
        <w:rPr>
          <w:rFonts w:hint="default" w:ascii="Times New Roman Regular" w:hAnsi="Times New Roman Regular" w:eastAsia="微软雅黑" w:cs="Times New Roman Regular"/>
          <w:color w:val="FF0000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S3: Mouse strains and knockouts used in the study.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Schematic representation of the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experimental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set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-up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for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 xml:space="preserve">fl/fl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mice.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B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Images of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,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,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 R26-TdTomato,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R26-TdTomato reporter mice showing the genotyping of DNA from mouse tail samples (lyz2-116bp, Cx3cr1-350bp, 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-199bp and TdTomato-196bp).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C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Schematic representation of the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experimental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set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-up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for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mice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. </w:t>
      </w:r>
      <w:r>
        <w:rPr>
          <w:rFonts w:hint="default" w:ascii="Times New Roman Regular" w:hAnsi="Times New Roman Regular" w:eastAsia="微软雅黑" w:cs="Times New Roman Regular"/>
          <w:b/>
          <w:bCs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Quantitative analysis of the body weights of 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, Cx3cr1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:lang w:val="en-US"/>
          <w14:textFill>
            <w14:solidFill>
              <w14:schemeClr w14:val="tx1"/>
            </w14:solidFill>
          </w14:textFill>
        </w:rPr>
        <w:t>CreERT2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:H2-Ab1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, and Lyz2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Cre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:H2-Ab1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mice at different developmental stages (n = 5 per group). </w:t>
      </w:r>
      <w:r>
        <w:rPr>
          <w:rFonts w:hint="default" w:ascii="Times New Roman Regular" w:hAnsi="Times New Roman Regular" w:eastAsia="微软雅黑" w:cs="Times New Roman Regular"/>
          <w:b/>
          <w:bCs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Representative images of MHC II expression in the Sham, 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, Cx3cr1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:lang w:val="en-US"/>
          <w14:textFill>
            <w14:solidFill>
              <w14:schemeClr w14:val="tx1"/>
            </w14:solidFill>
          </w14:textFill>
        </w:rPr>
        <w:t>CreERT2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:H2-Ab1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, and Lyz2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Cre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:H2-Ab1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:vertAlign w:val="superscript"/>
          <w14:textFill>
            <w14:solidFill>
              <w14:schemeClr w14:val="tx1"/>
            </w14:solidFill>
          </w14:textFill>
        </w:rPr>
        <w:t>fl/fl</w:t>
      </w:r>
      <w:r>
        <w:rPr>
          <w:rFonts w:hint="default" w:ascii="Times New Roman Regular" w:hAnsi="Times New Roman Regular" w:eastAsia="微软雅黑" w:cs="Times New Roman Regular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groups at 7 days after SCI. Scale bar: 200 μm.</w:t>
      </w:r>
    </w:p>
    <w:p w14:paraId="2534519B">
      <w:pPr>
        <w:pStyle w:val="4"/>
        <w:rPr>
          <w:rFonts w:hint="default" w:ascii="Times New Roman Regular" w:hAnsi="Times New Roman Regular" w:cs="Times New Roman Regular"/>
          <w:color w:val="111111"/>
          <w:sz w:val="20"/>
          <w:szCs w:val="20"/>
        </w:rPr>
      </w:pPr>
      <w:r>
        <w:rPr>
          <w:rFonts w:hint="default" w:ascii="Times New Roman Regular" w:hAnsi="Times New Roman Regular" w:cs="Times New Roman Regular"/>
          <w:color w:val="111111"/>
          <w:sz w:val="20"/>
          <w:szCs w:val="20"/>
        </w:rPr>
        <w:drawing>
          <wp:inline distT="0" distB="0" distL="0" distR="0">
            <wp:extent cx="5274310" cy="7354570"/>
            <wp:effectExtent l="0" t="0" r="0" b="0"/>
            <wp:docPr id="8122140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214095" name="图片 1"/>
                    <pic:cNvPicPr>
                      <a:picLocks noChangeAspect="1"/>
                    </pic:cNvPicPr>
                  </pic:nvPicPr>
                  <pic:blipFill>
                    <a:blip r:embed="rId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B6187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S4: Representative images of immunofluorescence, Oil Red O, and BODIPY staining in the sham and Cx3cr1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 groups.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Transmission electron micrograph of foamy macrophages in the lesion sites of Sham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mice on day 7 after SCI. The red arrow indicates lipid droplets in foamy macrophages.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B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Representative immunostaining from the Sham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 at day 7 following SCI; microglia and macrophages are indicated by Iba1 and myelin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debris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are indicated by MBP. Scale bar: 200 μm.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C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Micrographs of Oil Red O staining of the lesion sites from the Sham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 at day 7 following SCI.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D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Representative immunostaining of the Sham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 at day 7 following SCI; microglia and macrophages are indicated by Iba1, and lipid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droplets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by BODIPY. Scale bar: 50 μm.</w:t>
      </w:r>
    </w:p>
    <w:p w14:paraId="201478A5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</w:p>
    <w:p w14:paraId="28358777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5274310" cy="2467610"/>
            <wp:effectExtent l="0" t="0" r="0" b="0"/>
            <wp:docPr id="1790680783" name="图片 1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680783" name="图片 1" descr="图片包含 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1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AA7C">
      <w:pPr>
        <w:jc w:val="both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b/>
          <w:bCs/>
          <w:sz w:val="21"/>
          <w:szCs w:val="21"/>
        </w:rPr>
        <w:t xml:space="preserve">Figure S5: Identification of the silencing efficiency of </w:t>
      </w:r>
      <w:r>
        <w:rPr>
          <w:rFonts w:hint="default" w:ascii="Times New Roman Regular" w:hAnsi="Times New Roman Regular" w:cs="Times New Roman Regular"/>
          <w:b/>
          <w:bCs/>
          <w:i/>
          <w:iCs/>
          <w:sz w:val="21"/>
          <w:szCs w:val="21"/>
        </w:rPr>
        <w:t>H2-Ab1</w:t>
      </w:r>
      <w:r>
        <w:rPr>
          <w:rFonts w:hint="default" w:ascii="Times New Roman Regular" w:hAnsi="Times New Roman Regular" w:cs="Times New Roman Regular"/>
          <w:b/>
          <w:bCs/>
          <w:sz w:val="21"/>
          <w:szCs w:val="21"/>
        </w:rPr>
        <w:t xml:space="preserve"> in Raw264.7 cells. A 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Protein levels of MHC Class II in different groups (Raw264.7 group, Raw264.7+Vector group, Raw264.7+sh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i/>
          <w:iCs/>
          <w:sz w:val="21"/>
          <w:szCs w:val="21"/>
        </w:rPr>
        <w:t>H2-Ab1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-1 group, Raw264.7+sh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i/>
          <w:iCs/>
          <w:sz w:val="21"/>
          <w:szCs w:val="21"/>
        </w:rPr>
        <w:t>H2-Ab1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-2 group, and Raw264.7+sh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i/>
          <w:iCs/>
          <w:sz w:val="21"/>
          <w:szCs w:val="21"/>
        </w:rPr>
        <w:t>H2-Ab1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-3 group).</w:t>
      </w:r>
      <w:r>
        <w:rPr>
          <w:rStyle w:val="7"/>
          <w:rFonts w:hint="default" w:ascii="Times New Roman Regular" w:hAnsi="Times New Roman Regular" w:cs="Times New Roman Regular"/>
          <w:sz w:val="21"/>
          <w:szCs w:val="21"/>
        </w:rPr>
        <w:t xml:space="preserve"> B 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Quantification of MHC Class II protein levels in different groups. n=5. Ordinary one-way ANOVA.</w:t>
      </w:r>
      <w:r>
        <w:rPr>
          <w:rStyle w:val="7"/>
          <w:rFonts w:hint="default" w:ascii="Times New Roman Regular" w:hAnsi="Times New Roman Regular" w:cs="Times New Roman Regular"/>
          <w:sz w:val="21"/>
          <w:szCs w:val="21"/>
        </w:rPr>
        <w:t xml:space="preserve"> </w:t>
      </w:r>
      <w:r>
        <w:rPr>
          <w:rStyle w:val="7"/>
          <w:rFonts w:hint="default" w:ascii="Times New Roman Regular" w:hAnsi="Times New Roman Regular" w:cs="Times New Roman Regular"/>
          <w:sz w:val="21"/>
          <w:szCs w:val="21"/>
        </w:rPr>
        <w:t>C</w:t>
      </w:r>
      <w:r>
        <w:rPr>
          <w:rStyle w:val="7"/>
          <w:rFonts w:hint="default" w:ascii="Times New Roman Regular" w:hAnsi="Times New Roman Regular" w:cs="Times New Roman Regular"/>
          <w:sz w:val="21"/>
          <w:szCs w:val="21"/>
        </w:rPr>
        <w:t xml:space="preserve"> </w:t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sz w:val="21"/>
          <w:szCs w:val="21"/>
        </w:rPr>
        <w:t>Immunofluorescence staining of Iba1 and MHC Class II in different groups of Raw264.7 cells. Ordinary one-way ANOVA with two-sided comparisons.</w:t>
      </w:r>
      <w:r>
        <w:rPr>
          <w:rFonts w:hint="default" w:ascii="Times New Roman Regular" w:hAnsi="Times New Roman Regular" w:cs="Times New Roman Regular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 w:cs="Times New Roman Regular"/>
          <w:sz w:val="21"/>
          <w:szCs w:val="21"/>
        </w:rPr>
        <w:t>All data are mean ±SEM; Error bars represent SEMs; *p &lt; 0.05, **p &lt; 0.01, ***p &lt; 0.001, ****p &lt; 0.0001, ns &gt; 0.05.</w:t>
      </w:r>
    </w:p>
    <w:p w14:paraId="1249570E">
      <w:pPr>
        <w:pStyle w:val="4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</w:p>
    <w:p w14:paraId="229D73DA">
      <w:pPr>
        <w:pStyle w:val="4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  <w:drawing>
          <wp:inline distT="0" distB="0" distL="0" distR="0">
            <wp:extent cx="5274310" cy="8041640"/>
            <wp:effectExtent l="0" t="0" r="0" b="0"/>
            <wp:docPr id="19152966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296653" name="图片 2"/>
                    <pic:cNvPicPr>
                      <a:picLocks noChangeAspect="1"/>
                    </pic:cNvPicPr>
                  </pic:nvPicPr>
                  <pic:blipFill>
                    <a:blip r:embed="rId11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4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23BC7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S6: Representative immunofluorescence images of CD206 and iNOS in different groups.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Representative immunostaining from the Sham, 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,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fl/fl,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and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at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day 7 following SCI. M2 macrophages indicated by CD206. The damage boundary is indicated by GFAP. Scale bar: 200 μm.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B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Representative immunostaining of the Sham, 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,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fl/fl,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and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 at day 7 following SCI. M1 macrophages indicated by iNOS. The damage boundary is indicated by GFAP. Scale bar: 200 μm.</w:t>
      </w:r>
    </w:p>
    <w:p w14:paraId="726C0301">
      <w:pPr>
        <w:pStyle w:val="4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  <w:drawing>
          <wp:inline distT="0" distB="0" distL="0" distR="0">
            <wp:extent cx="5274310" cy="2212975"/>
            <wp:effectExtent l="0" t="0" r="0" b="0"/>
            <wp:docPr id="11655693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69397" name="图片 1"/>
                    <pic:cNvPicPr>
                      <a:picLocks noChangeAspect="1"/>
                    </pic:cNvPicPr>
                  </pic:nvPicPr>
                  <pic:blipFill>
                    <a:blip r:embed="rId12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80C4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S7: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Flow cytometry showing the gating strategy for macrophage identification.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A-C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Flow cytometry showing the gating strategy for macrophage identification. SSC-A = side scatter-area; FSC-A = forward scatter-area. </w:t>
      </w:r>
    </w:p>
    <w:p w14:paraId="5830F584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</w:p>
    <w:p w14:paraId="54EB0CA9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5274310" cy="2469515"/>
            <wp:effectExtent l="0" t="0" r="0" b="0"/>
            <wp:docPr id="1788474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474506" name="图片 1"/>
                    <pic:cNvPicPr>
                      <a:picLocks noChangeAspect="1"/>
                    </pic:cNvPicPr>
                  </pic:nvPicPr>
                  <pic:blipFill>
                    <a:blip r:embed="rId1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CC4D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S8: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DHE staining results for the sham group and Cx3cr1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 mice.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 xml:space="preserve">A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Representative image of DHE staining for the sham group and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mice.</w:t>
      </w:r>
    </w:p>
    <w:p w14:paraId="39344CE7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drawing>
          <wp:inline distT="0" distB="0" distL="0" distR="0">
            <wp:extent cx="5274310" cy="3387725"/>
            <wp:effectExtent l="0" t="0" r="0" b="3175"/>
            <wp:docPr id="13690054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05474" name="图片 2"/>
                    <pic:cNvPicPr>
                      <a:picLocks noChangeAspect="1"/>
                    </pic:cNvPicPr>
                  </pic:nvPicPr>
                  <pic:blipFill>
                    <a:blip r:embed="rId1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0E5D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Figure S9: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</w:rPr>
        <w:t xml:space="preserve"> Lyz2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  <w:vertAlign w:val="superscript"/>
        </w:rPr>
        <w:t>Cre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</w:rPr>
        <w:t>:H2-Ab1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  <w:vertAlign w:val="superscript"/>
        </w:rPr>
        <w:t>fl/fl</w:t>
      </w:r>
      <w:r>
        <w:rPr>
          <w:rFonts w:hint="default" w:ascii="Times New Roman Regular" w:hAnsi="Times New Roman Regular" w:cs="Times New Roman Regular"/>
          <w:b/>
          <w:bCs/>
          <w:color w:val="111111"/>
          <w:sz w:val="21"/>
          <w:szCs w:val="21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mice exhibit higher expression of 5-HT.</w:t>
      </w:r>
    </w:p>
    <w:p w14:paraId="35C02C7D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A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Representative immunostaining of NF200 5-HT from the sham, 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, Cx3cr1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  <w:lang w:val="en-US"/>
        </w:rPr>
        <w:t>CreERT2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and Lyz2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Cre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:H2-Ab1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fl/fl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groups at day 7 after SCI.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hint="default" w:ascii="Times New Roman Regular" w:hAnsi="Times New Roman Regular" w:eastAsia="微软雅黑" w:cs="Times New Roman Regular"/>
          <w:b/>
          <w:bCs/>
          <w:color w:val="333333"/>
          <w:sz w:val="21"/>
          <w:szCs w:val="21"/>
          <w:shd w:val="clear" w:color="auto" w:fill="FFFFFF"/>
        </w:rPr>
        <w:t>B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Quantification of 5-HT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  <w:vertAlign w:val="superscript"/>
        </w:rPr>
        <w:t>+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area in (A).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n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= 5. Data are shown as mean ± SEM. 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>n</w:t>
      </w:r>
      <w:r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  <w:t xml:space="preserve"> = 5. **P &lt; 0.01, ***P &lt; 0.001, ****P &lt; 0.0001.</w:t>
      </w:r>
    </w:p>
    <w:p w14:paraId="41E86CF9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</w:p>
    <w:p w14:paraId="0EFD8B10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21"/>
          <w:szCs w:val="21"/>
          <w:shd w:val="clear" w:color="auto" w:fill="FFFFFF"/>
        </w:rPr>
      </w:pPr>
    </w:p>
    <w:tbl>
      <w:tblPr>
        <w:tblStyle w:val="5"/>
        <w:tblW w:w="779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3733"/>
        <w:gridCol w:w="3710"/>
      </w:tblGrid>
      <w:tr w14:paraId="175E5CCF">
        <w:trPr>
          <w:trHeight w:val="225" w:hRule="atLeast"/>
        </w:trPr>
        <w:tc>
          <w:tcPr>
            <w:tcW w:w="77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</w:tcPr>
          <w:p w14:paraId="14D05520">
            <w:pPr>
              <w:rPr>
                <w:rFonts w:hint="default" w:ascii="Times New Roman Regular" w:hAnsi="Times New Roman Regular" w:eastAsia="DengXian" w:cs="Times New Roman Regular"/>
                <w:color w:val="000000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</w:rPr>
              <w:t>Supplementary Table 1 The sequences of primers</w:t>
            </w:r>
          </w:p>
        </w:tc>
      </w:tr>
      <w:tr w14:paraId="1D2D001A">
        <w:trPr>
          <w:trHeight w:val="225" w:hRule="atLeast"/>
        </w:trPr>
        <w:tc>
          <w:tcPr>
            <w:tcW w:w="77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A1B1CC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</w:rPr>
              <w:t>The primer sequences for qPCR</w:t>
            </w:r>
          </w:p>
        </w:tc>
      </w:tr>
      <w:tr w14:paraId="201083FE">
        <w:trPr>
          <w:trHeight w:val="225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9A32F">
            <w:pPr>
              <w:jc w:val="center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      (Mouse)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9A635B1">
            <w:pPr>
              <w:rPr>
                <w:rFonts w:hint="default" w:ascii="Times New Roman Regular" w:hAnsi="Times New Roman Regular" w:eastAsia="DengXian" w:cs="Times New Roman Regular"/>
                <w:color w:val="000000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</w:rPr>
              <w:t>sense 5'-3'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48668531">
            <w:pPr>
              <w:rPr>
                <w:rFonts w:hint="default" w:ascii="Times New Roman Regular" w:hAnsi="Times New Roman Regular" w:eastAsia="DengXian" w:cs="Times New Roman Regular"/>
                <w:color w:val="000000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</w:rPr>
              <w:t>antisense 5'-3'</w:t>
            </w:r>
          </w:p>
        </w:tc>
      </w:tr>
      <w:tr w14:paraId="702E173A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45CEC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>H2-Ab1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DA5AC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CAGGAGTCAGAAAGGACCTCG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98C73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ACTGGCAGTCAGGAATTCGG</w:t>
            </w:r>
          </w:p>
        </w:tc>
      </w:tr>
      <w:tr w14:paraId="75C63004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E0B3A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>CD206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16CFC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AGTTGGGTTCTCCTGTAGCCCAA 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EF33C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ACTACTACCTGAGCCCACACCTGCT </w:t>
            </w:r>
          </w:p>
        </w:tc>
      </w:tr>
      <w:tr w14:paraId="4996E829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D06E2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>iNOS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DE8A4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TGGCTCGCTTTGCCACGGAC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29B91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GCTGCGACAGCAGGAAGGCA</w:t>
            </w:r>
          </w:p>
        </w:tc>
      </w:tr>
      <w:tr w14:paraId="17825258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5489B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 xml:space="preserve">IL1β 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F48BD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CCAGCAGGTTATCATCATCATCC 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639C0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CTCGCAGCAGCACATCAAC </w:t>
            </w:r>
          </w:p>
        </w:tc>
      </w:tr>
      <w:tr w14:paraId="014DC1C8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DBA67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 xml:space="preserve">TNFα 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509B7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TACTGAACTTCGGGGTGATTGGTCC 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2748C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CAGCCTTGTCCCTTGAAGAGAACC </w:t>
            </w:r>
          </w:p>
        </w:tc>
      </w:tr>
      <w:tr w14:paraId="4F1CF08C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FBB7F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>IL4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8C690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TCTCGAATGTACCAGGAGCCATATC 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655F9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 xml:space="preserve">AGCACCTTGGAAGCCCTACAGA </w:t>
            </w:r>
          </w:p>
        </w:tc>
      </w:tr>
      <w:tr w14:paraId="57C9C503">
        <w:trPr>
          <w:trHeight w:val="21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50274">
            <w:pP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i/>
                <w:iCs/>
                <w:sz w:val="22"/>
                <w:szCs w:val="22"/>
              </w:rPr>
              <w:t>GAPDH</w:t>
            </w:r>
          </w:p>
        </w:tc>
        <w:tc>
          <w:tcPr>
            <w:tcW w:w="3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BDC95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CGGTGCTGAGTATGTCGTGGAGT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9FBB2">
            <w:pP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sz w:val="22"/>
                <w:szCs w:val="22"/>
              </w:rPr>
              <w:t>CGTGGTTCACACCCATCACAAA</w:t>
            </w:r>
          </w:p>
        </w:tc>
      </w:tr>
    </w:tbl>
    <w:p w14:paraId="58723EA3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</w:p>
    <w:p w14:paraId="31D9E39C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  <w:r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  <w:object>
          <v:shape id="_x0000_i1025" o:spt="75" type="#_x0000_t75" style="height:162pt;width:408.9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xcel.Sheet.12" ShapeID="_x0000_i1025" DrawAspect="Content" ObjectID="_1468075725" r:id="rId15">
            <o:LockedField>false</o:LockedField>
          </o:OLEObject>
        </w:object>
      </w:r>
    </w:p>
    <w:p w14:paraId="0EFD9CD6">
      <w:pPr>
        <w:jc w:val="both"/>
        <w:rPr>
          <w:rFonts w:hint="default" w:ascii="Times New Roman Regular" w:hAnsi="Times New Roman Regular" w:eastAsia="微软雅黑" w:cs="Times New Roman Regular"/>
          <w:color w:val="333333"/>
          <w:sz w:val="18"/>
          <w:szCs w:val="18"/>
          <w:shd w:val="clear" w:color="auto" w:fill="FFFFFF"/>
        </w:rPr>
      </w:pPr>
    </w:p>
    <w:tbl>
      <w:tblPr>
        <w:tblStyle w:val="5"/>
        <w:tblW w:w="0" w:type="auto"/>
        <w:tblInd w:w="-38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040"/>
        <w:gridCol w:w="1480"/>
        <w:gridCol w:w="1940"/>
      </w:tblGrid>
      <w:tr w14:paraId="10834ADD">
        <w:trPr>
          <w:trHeight w:val="300" w:hRule="atLeast"/>
        </w:trPr>
        <w:tc>
          <w:tcPr>
            <w:tcW w:w="74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solid" w:color="C0C0C0" w:fill="auto"/>
          </w:tcPr>
          <w:p w14:paraId="02F8A9C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</w:rPr>
              <w:t>Supplementary Table 3: Antibodies resources</w:t>
            </w:r>
          </w:p>
        </w:tc>
      </w:tr>
      <w:tr w14:paraId="19C2C30A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7DBCA2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Antibodies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E78AD7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Source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C6554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Identifier</w:t>
            </w:r>
          </w:p>
        </w:tc>
      </w:tr>
      <w:tr w14:paraId="668A619C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FC1114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Rat monoclonal anti-MHCII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C1996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Invitrogen 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A27DE5C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Cat#14-5321-82</w:t>
            </w:r>
          </w:p>
        </w:tc>
      </w:tr>
      <w:tr w14:paraId="76C57E51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5CF96F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Chicken polyclonal anti-GFAP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DFF7F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37D3D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Cat#ab4674</w:t>
            </w:r>
          </w:p>
        </w:tc>
      </w:tr>
      <w:tr w14:paraId="0A5485C0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8BECA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ab178846 anti-Iba1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001921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74D44C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Cat#ab178846</w:t>
            </w:r>
          </w:p>
        </w:tc>
      </w:tr>
      <w:tr w14:paraId="468ACBB1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9BC91A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polyclonal anti-NeuN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E7EC6A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Millipore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098F20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Cat#ABN78</w:t>
            </w:r>
          </w:p>
        </w:tc>
      </w:tr>
      <w:tr w14:paraId="6E348851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5B51F83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Chicken polyclonal anti-NF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086D91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Millipore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043A597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Cat#ab5539</w:t>
            </w:r>
          </w:p>
        </w:tc>
      </w:tr>
      <w:tr w14:paraId="054BD204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05E6C0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monoclonal anti-MBP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6267C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355D5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Cat#ab218011</w:t>
            </w:r>
          </w:p>
        </w:tc>
      </w:tr>
      <w:tr w14:paraId="668D1D7E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C4A863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Rabbitpolyclonal anti-dMBP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7CBC0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Millipore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45244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ab5864</w:t>
            </w:r>
          </w:p>
        </w:tc>
      </w:tr>
      <w:tr w14:paraId="62E86403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EB14DFA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polyclonal anti-iNOS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095C8C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30097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Cat#PA5-16524</w:t>
            </w:r>
          </w:p>
        </w:tc>
      </w:tr>
      <w:tr w14:paraId="1152DEED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851BE0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monoclonal anti-CD206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2F2E9F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CST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C061B5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Cat#24595S</w:t>
            </w:r>
          </w:p>
        </w:tc>
      </w:tr>
      <w:tr w14:paraId="120DE919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33EDE2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polyclonal anti-IL-1 beta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DE210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Proteintech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DA65B6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Cat#26048-1-AP</w:t>
            </w:r>
          </w:p>
        </w:tc>
      </w:tr>
      <w:tr w14:paraId="21761EDA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AB413AA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monoclonal anti-TNF-α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963215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B031CD6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Cat#ab183218</w:t>
            </w:r>
          </w:p>
        </w:tc>
      </w:tr>
      <w:tr w14:paraId="2D4C1D23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B8A544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Mouse polyclonal anti-IL-4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4CF3142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Proteintech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BA17D2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Cat#66142-1-Ig</w:t>
            </w:r>
          </w:p>
        </w:tc>
      </w:tr>
      <w:tr w14:paraId="16356387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068FD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monoclonal anti-CD68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2CA34C8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579D2C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Cat#ab283654</w:t>
            </w:r>
          </w:p>
        </w:tc>
      </w:tr>
      <w:tr w14:paraId="39670474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37E18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Rabbit polyclonal anti-5-HT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FD497D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Millipore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D20718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Cat#s5545</w:t>
            </w:r>
          </w:p>
        </w:tc>
      </w:tr>
      <w:tr w14:paraId="309B3F65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0229CB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Mouse monoclonal anti-vglut2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AE3431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B91BA0C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Cat#ab79157</w:t>
            </w:r>
          </w:p>
        </w:tc>
      </w:tr>
      <w:tr w14:paraId="26DA78C3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EDBC1C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anti-mouse IgG, Alexa Fluor 488 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FA6096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FC4400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Cat#A-11001 </w:t>
            </w:r>
          </w:p>
        </w:tc>
      </w:tr>
      <w:tr w14:paraId="53F1A14B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657875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anti-rabbit IgG, Alexa Fluor 488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6EEE3E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5AAC91A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Cat#A-11008 </w:t>
            </w:r>
          </w:p>
        </w:tc>
      </w:tr>
      <w:tr w14:paraId="5CEBCBCA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7C59295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anti-mouse IgG, Alexa Fluor 594  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95643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B33CA7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Cat#A-11005</w:t>
            </w:r>
          </w:p>
        </w:tc>
      </w:tr>
      <w:tr w14:paraId="710BF7ED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F5EEE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anti-rabbit IgG, Alexa Fluor 594 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1DC058A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CD5A3F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Cat#A-11012 </w:t>
            </w:r>
          </w:p>
        </w:tc>
      </w:tr>
      <w:tr w14:paraId="56665496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333458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anti-chicken IgY, Alexa Fluor 488 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0FED41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1A2E13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Cat#A-32931 </w:t>
            </w:r>
          </w:p>
        </w:tc>
      </w:tr>
      <w:tr w14:paraId="2DD1F58E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EC7D57C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anti-rat Ig(H&amp;L), Alexa Fluor 647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355CB77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Abcam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D6B70C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Cat#ab150167</w:t>
            </w:r>
          </w:p>
        </w:tc>
      </w:tr>
      <w:tr w14:paraId="7F437C4C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AC6271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Goat anti-chicken IgY, Alexa Fluor 680 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ED5B94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30B2A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 xml:space="preserve">Cat#A-32934 </w:t>
            </w:r>
          </w:p>
        </w:tc>
      </w:tr>
      <w:tr w14:paraId="0EFB8EE1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B046DB6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IL-1 beta-PE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F1D3E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F5C321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Cat#12-7114-82</w:t>
            </w:r>
          </w:p>
        </w:tc>
      </w:tr>
      <w:tr w14:paraId="3078AFFB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A50974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IL-4-PE/Cyanine7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D689E6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1929C08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Cat#504118</w:t>
            </w:r>
          </w:p>
        </w:tc>
      </w:tr>
      <w:tr w14:paraId="1D158D76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103F83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TNF-α-BV421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05538A2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6A679B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Cat#506327</w:t>
            </w:r>
          </w:p>
        </w:tc>
      </w:tr>
      <w:tr w14:paraId="7ECA1645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EE0ADC6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CD11b-FITC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C7770D3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Sigma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303E12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Cat#MABF80A</w:t>
            </w:r>
          </w:p>
        </w:tc>
      </w:tr>
      <w:tr w14:paraId="3A8AE9DC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9C55E3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CD45-PE/Dazzle594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3BB1A8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Biolegend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BF469C9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Cat#103146</w:t>
            </w:r>
          </w:p>
        </w:tc>
      </w:tr>
      <w:tr w14:paraId="36663919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3A6C58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CD206-APC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5B5A7D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AB4441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Cat#17-2061-80</w:t>
            </w:r>
          </w:p>
        </w:tc>
      </w:tr>
      <w:tr w14:paraId="62C576FF">
        <w:trPr>
          <w:trHeight w:val="300" w:hRule="atLeast"/>
        </w:trPr>
        <w:tc>
          <w:tcPr>
            <w:tcW w:w="4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AA9328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iNOS-PE</w:t>
            </w:r>
          </w:p>
        </w:tc>
        <w:tc>
          <w:tcPr>
            <w:tcW w:w="1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0317BE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Invitrogen</w:t>
            </w:r>
          </w:p>
        </w:tc>
        <w:tc>
          <w:tcPr>
            <w:tcW w:w="19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9B29330">
            <w:pPr>
              <w:widowControl w:val="0"/>
              <w:autoSpaceDE w:val="0"/>
              <w:autoSpaceDN w:val="0"/>
              <w:adjustRightInd w:val="0"/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sz w:val="22"/>
                <w:szCs w:val="22"/>
              </w:rPr>
              <w:t>Cat#12-5920-82</w:t>
            </w:r>
          </w:p>
        </w:tc>
      </w:tr>
    </w:tbl>
    <w:p w14:paraId="7C124617">
      <w:pPr>
        <w:rPr>
          <w:rFonts w:hint="default" w:ascii="Times New Roman Regular" w:hAnsi="Times New Roman Regular" w:cs="Times New Roman Regul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DengXian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1430391190"/>
      <w:docPartObj>
        <w:docPartGallery w:val="autotext"/>
      </w:docPartObj>
    </w:sdtPr>
    <w:sdtEndPr>
      <w:rPr>
        <w:rStyle w:val="8"/>
      </w:rPr>
    </w:sdtEndPr>
    <w:sdtContent>
      <w:p w14:paraId="56331371">
        <w:pPr>
          <w:pStyle w:val="2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2</w:t>
        </w:r>
        <w:r>
          <w:rPr>
            <w:rStyle w:val="8"/>
          </w:rPr>
          <w:fldChar w:fldCharType="end"/>
        </w:r>
      </w:p>
    </w:sdtContent>
  </w:sdt>
  <w:p w14:paraId="32D0344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1117023346"/>
      <w:docPartObj>
        <w:docPartGallery w:val="autotext"/>
      </w:docPartObj>
    </w:sdtPr>
    <w:sdtEndPr>
      <w:rPr>
        <w:rStyle w:val="8"/>
      </w:rPr>
    </w:sdtEndPr>
    <w:sdtContent>
      <w:p w14:paraId="762A5B10">
        <w:pPr>
          <w:pStyle w:val="2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 w14:paraId="683E26A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90"/>
    <w:rsid w:val="000500AA"/>
    <w:rsid w:val="00063090"/>
    <w:rsid w:val="00067328"/>
    <w:rsid w:val="0009192E"/>
    <w:rsid w:val="000B1B13"/>
    <w:rsid w:val="00115573"/>
    <w:rsid w:val="001317A3"/>
    <w:rsid w:val="00144F91"/>
    <w:rsid w:val="00170767"/>
    <w:rsid w:val="001D4B19"/>
    <w:rsid w:val="00221F3F"/>
    <w:rsid w:val="002273D8"/>
    <w:rsid w:val="00251730"/>
    <w:rsid w:val="00262B82"/>
    <w:rsid w:val="0027347B"/>
    <w:rsid w:val="00285B56"/>
    <w:rsid w:val="002F51D6"/>
    <w:rsid w:val="00347EB3"/>
    <w:rsid w:val="00350F49"/>
    <w:rsid w:val="0035112B"/>
    <w:rsid w:val="0035618B"/>
    <w:rsid w:val="0039412C"/>
    <w:rsid w:val="003A6E58"/>
    <w:rsid w:val="003F68B5"/>
    <w:rsid w:val="00415949"/>
    <w:rsid w:val="004239CD"/>
    <w:rsid w:val="00442EE7"/>
    <w:rsid w:val="00484E47"/>
    <w:rsid w:val="004A1244"/>
    <w:rsid w:val="004B6B02"/>
    <w:rsid w:val="005228A5"/>
    <w:rsid w:val="00567E84"/>
    <w:rsid w:val="00576DD1"/>
    <w:rsid w:val="00577B3E"/>
    <w:rsid w:val="00601D76"/>
    <w:rsid w:val="00607691"/>
    <w:rsid w:val="00647B25"/>
    <w:rsid w:val="00680838"/>
    <w:rsid w:val="0069203A"/>
    <w:rsid w:val="006A00FC"/>
    <w:rsid w:val="006C54E4"/>
    <w:rsid w:val="00734E87"/>
    <w:rsid w:val="00761E82"/>
    <w:rsid w:val="00777236"/>
    <w:rsid w:val="007A2FAE"/>
    <w:rsid w:val="00824199"/>
    <w:rsid w:val="00844BB0"/>
    <w:rsid w:val="0084711B"/>
    <w:rsid w:val="0086764A"/>
    <w:rsid w:val="00885CCE"/>
    <w:rsid w:val="00896EF6"/>
    <w:rsid w:val="008C0867"/>
    <w:rsid w:val="008F669C"/>
    <w:rsid w:val="00911183"/>
    <w:rsid w:val="00954A38"/>
    <w:rsid w:val="009846D2"/>
    <w:rsid w:val="009B42E8"/>
    <w:rsid w:val="00A25A16"/>
    <w:rsid w:val="00A5083E"/>
    <w:rsid w:val="00A5568B"/>
    <w:rsid w:val="00A7022A"/>
    <w:rsid w:val="00A757A4"/>
    <w:rsid w:val="00AA6901"/>
    <w:rsid w:val="00AB0823"/>
    <w:rsid w:val="00AB09C9"/>
    <w:rsid w:val="00AD6587"/>
    <w:rsid w:val="00B057ED"/>
    <w:rsid w:val="00B10CED"/>
    <w:rsid w:val="00B5505E"/>
    <w:rsid w:val="00B8324B"/>
    <w:rsid w:val="00C23E6C"/>
    <w:rsid w:val="00C31D2D"/>
    <w:rsid w:val="00C447E7"/>
    <w:rsid w:val="00C77107"/>
    <w:rsid w:val="00D0594E"/>
    <w:rsid w:val="00D46094"/>
    <w:rsid w:val="00D762A4"/>
    <w:rsid w:val="00DA26FE"/>
    <w:rsid w:val="00DC29C9"/>
    <w:rsid w:val="00E477E3"/>
    <w:rsid w:val="00E55527"/>
    <w:rsid w:val="00E73968"/>
    <w:rsid w:val="00E83C15"/>
    <w:rsid w:val="00EA57FF"/>
    <w:rsid w:val="00EA5E43"/>
    <w:rsid w:val="00ED37A9"/>
    <w:rsid w:val="00EF3AC1"/>
    <w:rsid w:val="00F62339"/>
    <w:rsid w:val="00F7576A"/>
    <w:rsid w:val="00F86526"/>
    <w:rsid w:val="00F87603"/>
    <w:rsid w:val="23F3AF4A"/>
    <w:rsid w:val="3DBF0A31"/>
    <w:rsid w:val="3FC9EC14"/>
    <w:rsid w:val="7BAFFDDA"/>
    <w:rsid w:val="7EE69C02"/>
    <w:rsid w:val="7F5F28CE"/>
    <w:rsid w:val="EFDF3D9F"/>
    <w:rsid w:val="FEFF8F77"/>
    <w:rsid w:val="FFD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link w:val="11"/>
    <w:unhideWhenUsed/>
    <w:uiPriority w:val="99"/>
    <w:pPr>
      <w:spacing w:before="100" w:beforeAutospacing="1" w:after="100" w:afterAutospacing="1"/>
    </w:p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page number"/>
    <w:basedOn w:val="6"/>
    <w:semiHidden/>
    <w:unhideWhenUsed/>
    <w:uiPriority w:val="99"/>
  </w:style>
  <w:style w:type="paragraph" w:customStyle="1" w:styleId="9">
    <w:name w:val="Head"/>
    <w:basedOn w:val="1"/>
    <w:uiPriority w:val="0"/>
    <w:pPr>
      <w:keepNext/>
      <w:spacing w:before="120" w:after="120"/>
      <w:jc w:val="center"/>
      <w:outlineLvl w:val="0"/>
    </w:pPr>
    <w:rPr>
      <w:rFonts w:ascii="Times New Roman" w:hAnsi="Times New Roman" w:eastAsia="Times New Roman" w:cs="Times New Roman"/>
      <w:b/>
      <w:bCs/>
      <w:kern w:val="28"/>
      <w:sz w:val="28"/>
      <w:szCs w:val="28"/>
      <w:lang w:eastAsia="en-US"/>
    </w:rPr>
  </w:style>
  <w:style w:type="paragraph" w:customStyle="1" w:styleId="10">
    <w:name w:val="PubInfo"/>
    <w:basedOn w:val="1"/>
    <w:qFormat/>
    <w:uiPriority w:val="0"/>
    <w:pPr>
      <w:suppressAutoHyphens/>
      <w:jc w:val="center"/>
    </w:pPr>
    <w:rPr>
      <w:rFonts w:ascii="Times New Roman" w:hAnsi="Times New Roman" w:cs="Times New Roman" w:eastAsiaTheme="minorEastAsia"/>
      <w:sz w:val="20"/>
      <w:szCs w:val="20"/>
      <w:lang w:eastAsia="ar-SA"/>
    </w:rPr>
  </w:style>
  <w:style w:type="character" w:customStyle="1" w:styleId="11">
    <w:name w:val="普通(网站) 字符"/>
    <w:basedOn w:val="6"/>
    <w:link w:val="4"/>
    <w:uiPriority w:val="99"/>
    <w:rPr>
      <w:rFonts w:ascii="宋体" w:hAnsi="宋体" w:eastAsia="宋体" w:cs="宋体"/>
      <w:kern w:val="0"/>
      <w:sz w:val="24"/>
    </w:rPr>
  </w:style>
  <w:style w:type="character" w:customStyle="1" w:styleId="12">
    <w:name w:val="页眉 字符"/>
    <w:basedOn w:val="6"/>
    <w:link w:val="3"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3">
    <w:name w:val="页脚 字符"/>
    <w:basedOn w:val="6"/>
    <w:link w:val="2"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4">
    <w:name w:val="target-translat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0.emf"/><Relationship Id="rId15" Type="http://schemas.openxmlformats.org/officeDocument/2006/relationships/package" Target="embeddings/Workbook1.xlsx"/><Relationship Id="rId14" Type="http://schemas.openxmlformats.org/officeDocument/2006/relationships/image" Target="media/image9.tiff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1021</Words>
  <Characters>5811</Characters>
  <Lines>103</Lines>
  <Paragraphs>22</Paragraphs>
  <TotalTime>79</TotalTime>
  <ScaleCrop>false</ScaleCrop>
  <LinksUpToDate>false</LinksUpToDate>
  <CharactersWithSpaces>6810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2024-07-23T00:26:00Z</dcterms:created>
  <dc:creator>KM1290</dc:creator>
  <cp:lastModifiedBy>赵天论</cp:lastModifiedBy>
  <dcterms:modified xsi:type="dcterms:W3CDTF">2026-03-31T11:17:49Z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D04FF20CDD900653ABDC4C6981FE916A_42</vt:lpwstr>
  </property>
</Properties>
</file>