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1D014" w14:textId="77777777" w:rsidR="00DF0496" w:rsidRDefault="00DF0496" w:rsidP="00DF0496">
      <w:pPr>
        <w:pStyle w:val="NormalWeb"/>
        <w:spacing w:line="480" w:lineRule="auto"/>
        <w:jc w:val="both"/>
      </w:pPr>
      <w:r>
        <w:rPr>
          <w:b/>
          <w:bCs/>
        </w:rPr>
        <w:t xml:space="preserve">Supplementary Table 3: Thematic Overview of the Evidence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25"/>
        <w:gridCol w:w="2910"/>
        <w:gridCol w:w="2687"/>
      </w:tblGrid>
      <w:tr w:rsidR="00DF0496" w14:paraId="219BFEEE" w14:textId="77777777" w:rsidTr="004549CB">
        <w:tc>
          <w:tcPr>
            <w:tcW w:w="2925" w:type="dxa"/>
          </w:tcPr>
          <w:p w14:paraId="05187C4A" w14:textId="77777777" w:rsidR="00DF0496" w:rsidRDefault="00DF0496" w:rsidP="004549CB">
            <w:pPr>
              <w:pStyle w:val="NormalWeb"/>
            </w:pPr>
            <w:r>
              <w:rPr>
                <w:b/>
                <w:bCs/>
                <w:lang w:bidi="ar"/>
              </w:rPr>
              <w:t>Theme</w:t>
            </w:r>
          </w:p>
        </w:tc>
        <w:tc>
          <w:tcPr>
            <w:tcW w:w="2910" w:type="dxa"/>
          </w:tcPr>
          <w:p w14:paraId="1764E173" w14:textId="77777777" w:rsidR="00DF0496" w:rsidRDefault="00DF0496" w:rsidP="004549CB">
            <w:pPr>
              <w:pStyle w:val="NormalWeb"/>
            </w:pPr>
            <w:r>
              <w:rPr>
                <w:b/>
                <w:bCs/>
                <w:lang w:bidi="ar"/>
              </w:rPr>
              <w:t>Focus</w:t>
            </w:r>
          </w:p>
        </w:tc>
        <w:tc>
          <w:tcPr>
            <w:tcW w:w="2687" w:type="dxa"/>
          </w:tcPr>
          <w:p w14:paraId="1429C5F5" w14:textId="77777777" w:rsidR="00DF0496" w:rsidRDefault="00DF0496" w:rsidP="004549CB">
            <w:pPr>
              <w:pStyle w:val="NormalWeb"/>
            </w:pPr>
            <w:r>
              <w:rPr>
                <w:b/>
                <w:bCs/>
                <w:lang w:bidi="ar"/>
              </w:rPr>
              <w:t>Representative publications</w:t>
            </w:r>
          </w:p>
        </w:tc>
      </w:tr>
      <w:tr w:rsidR="00DF0496" w14:paraId="38A4ADF6" w14:textId="77777777" w:rsidTr="004549CB">
        <w:tc>
          <w:tcPr>
            <w:tcW w:w="2925" w:type="dxa"/>
          </w:tcPr>
          <w:p w14:paraId="788FA967" w14:textId="77777777" w:rsidR="00DF0496" w:rsidRDefault="00DF0496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Style w:val="Strong"/>
                <w:rFonts w:eastAsia="SimSun"/>
                <w:sz w:val="24"/>
                <w:szCs w:val="24"/>
                <w:lang w:bidi="ar"/>
              </w:rPr>
              <w:t>Theme 1: AI Applications in Agricultural Extension and Advisory Services</w:t>
            </w:r>
          </w:p>
        </w:tc>
        <w:tc>
          <w:tcPr>
            <w:tcW w:w="2910" w:type="dxa"/>
          </w:tcPr>
          <w:p w14:paraId="3A62D66B" w14:textId="77777777" w:rsidR="00DF0496" w:rsidRDefault="00DF0496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AI applications supporting extension professionals, farmer advisory services, agricultural information delivery and extension practice</w:t>
            </w:r>
          </w:p>
        </w:tc>
        <w:tc>
          <w:tcPr>
            <w:tcW w:w="2687" w:type="dxa"/>
          </w:tcPr>
          <w:p w14:paraId="7CC8A667" w14:textId="77777777" w:rsidR="00DF0496" w:rsidRDefault="00DF0496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[20]; [34]; [25]; [27]; [31]; [32]</w:t>
            </w:r>
          </w:p>
        </w:tc>
      </w:tr>
      <w:tr w:rsidR="00DF0496" w14:paraId="2FC6E2DE" w14:textId="77777777" w:rsidTr="004549CB">
        <w:tc>
          <w:tcPr>
            <w:tcW w:w="2925" w:type="dxa"/>
          </w:tcPr>
          <w:p w14:paraId="20B2899D" w14:textId="77777777" w:rsidR="00DF0496" w:rsidRDefault="00DF0496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Style w:val="Strong"/>
                <w:rFonts w:eastAsia="SimSun"/>
                <w:sz w:val="24"/>
                <w:szCs w:val="24"/>
                <w:lang w:bidi="ar"/>
              </w:rPr>
              <w:t>Theme 2: AI-Enabled Advisory and Decision-Support Systems</w:t>
            </w:r>
          </w:p>
        </w:tc>
        <w:tc>
          <w:tcPr>
            <w:tcW w:w="2910" w:type="dxa"/>
          </w:tcPr>
          <w:p w14:paraId="7C561E4E" w14:textId="77777777" w:rsidR="00DF0496" w:rsidRDefault="00DF0496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 xml:space="preserve">Chatbots, conversational AI, generative AI, LLMs, recommender systems and intelligent decision-support platforms for </w:t>
            </w:r>
            <w:proofErr w:type="spellStart"/>
            <w:r>
              <w:rPr>
                <w:rFonts w:eastAsia="SimSun"/>
                <w:sz w:val="24"/>
                <w:szCs w:val="24"/>
                <w:lang w:bidi="ar"/>
              </w:rPr>
              <w:t>personalised</w:t>
            </w:r>
            <w:proofErr w:type="spellEnd"/>
            <w:r>
              <w:rPr>
                <w:rFonts w:eastAsia="SimSun"/>
                <w:sz w:val="24"/>
                <w:szCs w:val="24"/>
                <w:lang w:bidi="ar"/>
              </w:rPr>
              <w:t xml:space="preserve"> and context-specific advice</w:t>
            </w:r>
          </w:p>
        </w:tc>
        <w:tc>
          <w:tcPr>
            <w:tcW w:w="2687" w:type="dxa"/>
          </w:tcPr>
          <w:p w14:paraId="0ED5811D" w14:textId="77777777" w:rsidR="00DF0496" w:rsidRDefault="00DF0496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[18]; [23]; [36]; [11]; [38]; [39]; [40]</w:t>
            </w:r>
          </w:p>
        </w:tc>
      </w:tr>
      <w:tr w:rsidR="00DF0496" w14:paraId="73D6A2C2" w14:textId="77777777" w:rsidTr="004549CB">
        <w:tc>
          <w:tcPr>
            <w:tcW w:w="2925" w:type="dxa"/>
          </w:tcPr>
          <w:p w14:paraId="7BFA345D" w14:textId="77777777" w:rsidR="00DF0496" w:rsidRDefault="00DF0496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Style w:val="Strong"/>
                <w:rFonts w:eastAsia="SimSun"/>
                <w:sz w:val="24"/>
                <w:szCs w:val="24"/>
                <w:lang w:bidi="ar"/>
              </w:rPr>
              <w:t>Theme 3: Explainability, Transparency and Trust in Agricultural AI</w:t>
            </w:r>
          </w:p>
        </w:tc>
        <w:tc>
          <w:tcPr>
            <w:tcW w:w="2910" w:type="dxa"/>
          </w:tcPr>
          <w:p w14:paraId="48B7CC32" w14:textId="77777777" w:rsidR="00DF0496" w:rsidRDefault="00DF0496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XAI, interpretability, transparency, trust, reliability, accountability, human oversight and responsible AI</w:t>
            </w:r>
          </w:p>
        </w:tc>
        <w:tc>
          <w:tcPr>
            <w:tcW w:w="2687" w:type="dxa"/>
          </w:tcPr>
          <w:p w14:paraId="4E21701B" w14:textId="77777777" w:rsidR="00DF0496" w:rsidRDefault="00DF0496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[16]; [19]; [21]; [24]; [14]; [35]; [41]; [43]</w:t>
            </w:r>
          </w:p>
        </w:tc>
      </w:tr>
      <w:tr w:rsidR="00DF0496" w14:paraId="16B3E8B0" w14:textId="77777777" w:rsidTr="004549CB">
        <w:tc>
          <w:tcPr>
            <w:tcW w:w="2925" w:type="dxa"/>
          </w:tcPr>
          <w:p w14:paraId="0C2EDC59" w14:textId="77777777" w:rsidR="00DF0496" w:rsidRDefault="00DF0496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Style w:val="Strong"/>
                <w:rFonts w:eastAsia="SimSun"/>
                <w:sz w:val="24"/>
                <w:szCs w:val="24"/>
                <w:lang w:bidi="ar"/>
              </w:rPr>
              <w:t>Theme 4: Challenges, Gaps and Future Directions for Farmer-</w:t>
            </w:r>
            <w:proofErr w:type="spellStart"/>
            <w:r>
              <w:rPr>
                <w:rStyle w:val="Strong"/>
                <w:rFonts w:eastAsia="SimSun"/>
                <w:sz w:val="24"/>
                <w:szCs w:val="24"/>
                <w:lang w:bidi="ar"/>
              </w:rPr>
              <w:t>Centred</w:t>
            </w:r>
            <w:proofErr w:type="spellEnd"/>
            <w:r>
              <w:rPr>
                <w:rStyle w:val="Strong"/>
                <w:rFonts w:eastAsia="SimSun"/>
                <w:sz w:val="24"/>
                <w:szCs w:val="24"/>
                <w:lang w:bidi="ar"/>
              </w:rPr>
              <w:t xml:space="preserve"> AI Extension</w:t>
            </w:r>
          </w:p>
        </w:tc>
        <w:tc>
          <w:tcPr>
            <w:tcW w:w="2910" w:type="dxa"/>
          </w:tcPr>
          <w:p w14:paraId="7CC7FD26" w14:textId="77777777" w:rsidR="00DF0496" w:rsidRDefault="00DF0496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 xml:space="preserve">Digital and AI literacy, infrastructure, adoption barriers, </w:t>
            </w:r>
            <w:proofErr w:type="spellStart"/>
            <w:r>
              <w:rPr>
                <w:rFonts w:eastAsia="SimSun"/>
                <w:sz w:val="24"/>
                <w:szCs w:val="24"/>
                <w:lang w:bidi="ar"/>
              </w:rPr>
              <w:t>contextualisation</w:t>
            </w:r>
            <w:proofErr w:type="spellEnd"/>
            <w:r>
              <w:rPr>
                <w:rFonts w:eastAsia="SimSun"/>
                <w:sz w:val="24"/>
                <w:szCs w:val="24"/>
                <w:lang w:bidi="ar"/>
              </w:rPr>
              <w:t xml:space="preserve">, language, inclusion, </w:t>
            </w: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governance and farmer-</w:t>
            </w:r>
            <w:proofErr w:type="spellStart"/>
            <w:r>
              <w:rPr>
                <w:rFonts w:eastAsia="SimSun"/>
                <w:sz w:val="24"/>
                <w:szCs w:val="24"/>
                <w:lang w:bidi="ar"/>
              </w:rPr>
              <w:t>centred</w:t>
            </w:r>
            <w:proofErr w:type="spellEnd"/>
            <w:r>
              <w:rPr>
                <w:rFonts w:eastAsia="SimSun"/>
                <w:sz w:val="24"/>
                <w:szCs w:val="24"/>
                <w:lang w:bidi="ar"/>
              </w:rPr>
              <w:t xml:space="preserve"> implementation</w:t>
            </w:r>
          </w:p>
        </w:tc>
        <w:tc>
          <w:tcPr>
            <w:tcW w:w="2687" w:type="dxa"/>
          </w:tcPr>
          <w:p w14:paraId="1F478B33" w14:textId="77777777" w:rsidR="00DF0496" w:rsidRDefault="00DF0496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[17]; [29]; [32]; [33]; [37]; [44]</w:t>
            </w:r>
          </w:p>
        </w:tc>
      </w:tr>
    </w:tbl>
    <w:p w14:paraId="2E7C0C28" w14:textId="77777777" w:rsidR="007A238B" w:rsidRDefault="007A238B"/>
    <w:sectPr w:rsidR="007A23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496"/>
    <w:rsid w:val="00167298"/>
    <w:rsid w:val="007A238B"/>
    <w:rsid w:val="00B70E34"/>
    <w:rsid w:val="00DF0496"/>
    <w:rsid w:val="00F1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ACC8D"/>
  <w15:chartTrackingRefBased/>
  <w15:docId w15:val="{54972C8F-0A82-43F1-8143-DE9A103E7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496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049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NG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049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NG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049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NG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049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val="en-NG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049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val="en-NG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0496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en-NG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0496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en-NG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0496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en-NG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0496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en-NG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04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04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04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04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04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04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04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04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04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04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NG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F04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049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NG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F04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0496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:lang w:val="en-NG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F04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0496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2"/>
      <w:lang w:val="en-NG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F04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4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:lang w:val="en-NG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4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049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qFormat/>
    <w:rsid w:val="00DF0496"/>
    <w:pPr>
      <w:spacing w:beforeAutospacing="1" w:after="0" w:afterAutospacing="1" w:line="240" w:lineRule="auto"/>
    </w:pPr>
    <w:rPr>
      <w:rFonts w:ascii="Times New Roman" w:eastAsia="SimSun" w:hAnsi="Times New Roman" w:cs="Times New Roman"/>
      <w:kern w:val="0"/>
      <w:sz w:val="24"/>
      <w:szCs w:val="24"/>
      <w:lang w:val="en-US" w:eastAsia="zh-CN"/>
      <w14:ligatures w14:val="none"/>
    </w:rPr>
  </w:style>
  <w:style w:type="character" w:styleId="Strong">
    <w:name w:val="Strong"/>
    <w:basedOn w:val="DefaultParagraphFont"/>
    <w:qFormat/>
    <w:rsid w:val="00DF0496"/>
    <w:rPr>
      <w:b/>
      <w:bCs/>
    </w:rPr>
  </w:style>
  <w:style w:type="table" w:styleId="TableGrid">
    <w:name w:val="Table Grid"/>
    <w:basedOn w:val="TableNormal"/>
    <w:qFormat/>
    <w:rsid w:val="00DF0496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:lang w:val="en-NG" w:eastAsia="en-N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Funmilola Olayode</dc:creator>
  <cp:keywords/>
  <dc:description/>
  <cp:lastModifiedBy>Funmilola Olayode</cp:lastModifiedBy>
  <cp:revision>1</cp:revision>
  <dcterms:created xsi:type="dcterms:W3CDTF">2026-10-09T08:31:00Z</dcterms:created>
  <dcterms:modified xsi:type="dcterms:W3CDTF">2026-10-09T08:31:00Z</dcterms:modified>
</cp:coreProperties>
</file>