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line="300"/>
        <w:jc w:val="center"/>
      </w:pPr>
      <w:r>
        <w:rPr>
          <w:rFonts w:ascii="Times New Roman" w:cs="Times New Roman" w:eastAsia="Times New Roman" w:hAnsi="Times New Roman"/>
          <w:b/>
          <w:bCs/>
          <w:sz w:val="28"/>
          <w:szCs w:val="28"/>
        </w:rPr>
        <w:t xml:space="preserve">Online Resource 1</w:t>
      </w:r>
    </w:p>
    <w:p>
      <w:pPr>
        <w:spacing w:after="120"/>
        <w:jc w:val="center"/>
      </w:pPr>
      <w:r>
        <w:rPr>
          <w:rFonts w:ascii="Times New Roman" w:cs="Times New Roman" w:eastAsia="Times New Roman" w:hAnsi="Times New Roman"/>
          <w:i/>
          <w:iCs/>
          <w:sz w:val="20"/>
          <w:szCs w:val="20"/>
        </w:rPr>
        <w:t xml:space="preserve">Digitally Enabled Accounts and Unsolicited Requests for Money: Exposure and Payment Response among Phone Owners in 75 Economies</w:t>
      </w:r>
    </w:p>
    <w:p>
      <w:pPr>
        <w:spacing w:after="120"/>
        <w:jc w:val="center"/>
      </w:pPr>
      <w:r>
        <w:rPr>
          <w:rFonts w:ascii="Times New Roman" w:cs="Times New Roman" w:eastAsia="Times New Roman" w:hAnsi="Times New Roman"/>
          <w:i/>
          <w:iCs/>
          <w:sz w:val="20"/>
          <w:szCs w:val="20"/>
        </w:rPr>
        <w:t xml:space="preserve">Journal of Consumer Policy</w:t>
      </w:r>
    </w:p>
    <w:p>
      <w:pPr>
        <w:spacing w:after="120" w:line="360"/>
        <w:jc w:val="both"/>
      </w:pPr>
      <w:r>
        <w:rPr>
          <w:rFonts w:ascii="Times New Roman" w:cs="Times New Roman" w:eastAsia="Times New Roman" w:hAnsi="Times New Roman"/>
          <w:sz w:val="20"/>
          <w:szCs w:val="20"/>
        </w:rPr>
        <w:t xml:space="preserve">This Online Resource reports an analysis map (Table A0), the sample flow, variable definitions, regional rates, full model results and the robustness, sensitivity and diagnostic analyses summarised in the article. All estimates use the Global Findex 2025 microdata (Development Research Group, Finance and Private Sector Development Unit, 2025). Unless stated otherwise, models are survey-weighted logit models with economy fixed effects, standard errors are clustered by economy, and confidence intervals (CI) are at the 95% level. Online Resource 2 contains the analysis scripts that produce every table and figure from the raw file.</w:t>
      </w:r>
    </w:p>
    <w:p>
      <w:pPr>
        <w:pStyle w:val="Heading1"/>
        <w:keepNext/>
        <w:spacing w:after="120" w:before="280"/>
      </w:pPr>
      <w:r>
        <w:rPr>
          <w:rFonts w:ascii="Times New Roman" w:cs="Times New Roman" w:eastAsia="Times New Roman" w:hAnsi="Times New Roman"/>
          <w:b/>
          <w:bCs/>
          <w:sz w:val="24"/>
          <w:szCs w:val="24"/>
        </w:rPr>
        <w:t xml:space="preserve">A0 Analysis Map</w:t>
      </w:r>
    </w:p>
    <w:p>
      <w:pPr>
        <w:spacing w:after="120" w:line="360"/>
        <w:jc w:val="both"/>
      </w:pPr>
      <w:r>
        <w:rPr>
          <w:rFonts w:ascii="Times New Roman" w:cs="Times New Roman" w:eastAsia="Times New Roman" w:hAnsi="Times New Roman"/>
          <w:sz w:val="20"/>
          <w:szCs w:val="20"/>
        </w:rPr>
        <w:t xml:space="preserve">Table A0 groups the analyses by their role in the argument. Only the primary estimates, the hypothesis tests, the decomposition, the account-type comparison and the research question are used as evidence for the claims in the article; the other analyses qualify those claims.</w:t>
      </w:r>
    </w:p>
    <w:p>
      <w:pPr>
        <w:keepNext/>
        <w:spacing w:after="80" w:before="200" w:line="276"/>
      </w:pPr>
      <w:r>
        <w:rPr>
          <w:rFonts w:ascii="Times New Roman" w:cs="Times New Roman" w:eastAsia="Times New Roman" w:hAnsi="Times New Roman"/>
          <w:b/>
          <w:bCs/>
          <w:sz w:val="20"/>
          <w:szCs w:val="20"/>
        </w:rPr>
        <w:t xml:space="preserve">Table A0</w:t>
      </w:r>
      <w:r>
        <w:rPr>
          <w:rFonts w:ascii="Times New Roman" w:cs="Times New Roman" w:eastAsia="Times New Roman" w:hAnsi="Times New Roman"/>
          <w:sz w:val="20"/>
          <w:szCs w:val="20"/>
        </w:rPr>
        <w:t xml:space="preserve"> Role of each analysis and what it can and cannot establish</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1198"/>
        <w:gridCol w:w="2333"/>
        <w:gridCol w:w="1337"/>
        <w:gridCol w:w="2201"/>
        <w:gridCol w:w="2001"/>
      </w:tblGrid>
      <w:tr>
        <w:trPr>
          <w:tblHeader/>
        </w:trPr>
        <w:tc>
          <w:tcPr>
            <w:tcW w:type="dxa" w:w="1198"/>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Role</w:t>
            </w:r>
          </w:p>
        </w:tc>
        <w:tc>
          <w:tcPr>
            <w:tcW w:type="dxa" w:w="2333"/>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Analyses</w:t>
            </w:r>
          </w:p>
        </w:tc>
        <w:tc>
          <w:tcPr>
            <w:tcW w:type="dxa" w:w="1337"/>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Where reported</w:t>
            </w:r>
          </w:p>
        </w:tc>
        <w:tc>
          <w:tcPr>
            <w:tcW w:type="dxa" w:w="2201"/>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Can establish</w:t>
            </w:r>
          </w:p>
        </w:tc>
        <w:tc>
          <w:tcPr>
            <w:tcW w:type="dxa" w:w="2001"/>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Cannot establish</w:t>
            </w:r>
          </w:p>
        </w:tc>
      </w:tr>
      <w:tr>
        <w:trPr>
          <w:tblHeader w:val="false"/>
        </w:trPr>
        <w:tc>
          <w:tcPr>
            <w:tcW w:type="dxa" w:w="119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Primary estimates</w:t>
            </w:r>
          </w:p>
        </w:tc>
        <w:tc>
          <w:tcPr>
            <w:tcW w:type="dxa" w:w="233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Standardised probabilities, risk differences, risk ratios and odds ratios at the three margins</w:t>
            </w:r>
          </w:p>
        </w:tc>
        <w:tc>
          <w:tcPr>
            <w:tcW w:type="dxa" w:w="13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Table 3, Fig. 3; Table A9</w:t>
            </w:r>
          </w:p>
        </w:tc>
        <w:tc>
          <w:tcPr>
            <w:tcW w:type="dxa" w:w="22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Size and precision of adjusted associations, pooled with economies weighted by sample size</w:t>
            </w:r>
          </w:p>
        </w:tc>
        <w:tc>
          <w:tcPr>
            <w:tcW w:type="dxa" w:w="20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Causal effects; population-weighted magnitudes; the size of the association in any one economy</w:t>
            </w:r>
          </w:p>
        </w:tc>
      </w:tr>
      <w:tr>
        <w:trPr>
          <w:tblHeader w:val="false"/>
        </w:trPr>
        <w:tc>
          <w:tcPr>
            <w:tcW w:type="dxa" w:w="119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Hypothesis tests (theory-driven; plan not preregistered)</w:t>
            </w:r>
          </w:p>
        </w:tc>
        <w:tc>
          <w:tcPr>
            <w:tcW w:type="dxa" w:w="233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H1 and H4 account premiums; H2 intensity trend; H3 ratio of odds ratios against unwanted messages; Holm and Benjamini–Hochberg corrections</w:t>
            </w:r>
          </w:p>
        </w:tc>
        <w:tc>
          <w:tcPr>
            <w:tcW w:type="dxa" w:w="13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Tables 2 and 3; Table A11; Fig. S6a</w:t>
            </w:r>
          </w:p>
        </w:tc>
        <w:tc>
          <w:tcPr>
            <w:tcW w:type="dxa" w:w="22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Whether patterns expected from routine-activity and compliance accounts appear in the data</w:t>
            </w:r>
          </w:p>
        </w:tc>
        <w:tc>
          <w:tcPr>
            <w:tcW w:type="dxa" w:w="20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The mechanisms behind them; a conversion association free of selection into targeting</w:t>
            </w:r>
          </w:p>
        </w:tc>
      </w:tr>
      <w:tr>
        <w:trPr>
          <w:tblHeader w:val="false"/>
        </w:trPr>
        <w:tc>
          <w:tcPr>
            <w:tcW w:type="dxa" w:w="119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Decomposing the gap (H5)</w:t>
            </w:r>
          </w:p>
        </w:tc>
        <w:tc>
          <w:tcPr>
            <w:tcW w:type="dxa" w:w="233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Two-part g-formula; alternative decompositions; comparison of stage-specific risk ratios</w:t>
            </w:r>
          </w:p>
        </w:tc>
        <w:tc>
          <w:tcPr>
            <w:tcW w:type="dxa" w:w="13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Table 4; Tables A8 and A8b</w:t>
            </w:r>
          </w:p>
        </w:tc>
        <w:tc>
          <w:tcPr>
            <w:tcW w:type="dxa" w:w="22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Whether the conversion part of the estimated gap is positive, and how the gap divides in this model</w:t>
            </w:r>
          </w:p>
        </w:tc>
        <w:tc>
          <w:tcPr>
            <w:tcW w:type="dxa" w:w="20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Which stage accounts for more of the gap; shares of consumer harm</w:t>
            </w:r>
          </w:p>
        </w:tc>
      </w:tr>
      <w:tr>
        <w:trPr>
          <w:tblHeader w:val="false"/>
        </w:trPr>
        <w:tc>
          <w:tcPr>
            <w:tcW w:type="dxa" w:w="119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Account type</w:t>
            </w:r>
          </w:p>
        </w:tc>
        <w:tc>
          <w:tcPr>
            <w:tcW w:type="dxa" w:w="233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Three-category exposure (no account, non-digital account, digitally enabled account) at each margin</w:t>
            </w:r>
          </w:p>
        </w:tc>
        <w:tc>
          <w:tcPr>
            <w:tcW w:type="dxa" w:w="13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Table 5; Table A4</w:t>
            </w:r>
          </w:p>
        </w:tc>
        <w:tc>
          <w:tcPr>
            <w:tcW w:type="dxa" w:w="22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Whether premiums appear for accounts not used for digital payments</w:t>
            </w:r>
          </w:p>
        </w:tc>
        <w:tc>
          <w:tcPr>
            <w:tcW w:type="dxa" w:w="20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That the two account types are equivalent, or that digital use has no additional role</w:t>
            </w:r>
          </w:p>
        </w:tc>
      </w:tr>
      <w:tr>
        <w:trPr>
          <w:tblHeader w:val="false"/>
        </w:trPr>
        <w:tc>
          <w:tcPr>
            <w:tcW w:type="dxa" w:w="119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Research question</w:t>
            </w:r>
          </w:p>
        </w:tc>
        <w:tc>
          <w:tcPr>
            <w:tcW w:type="dxa" w:w="233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Associations of requests and payments with dormancy and distrust; minimum detectable effects</w:t>
            </w:r>
          </w:p>
        </w:tc>
        <w:tc>
          <w:tcPr>
            <w:tcW w:type="dxa" w:w="13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Table 6; Table A11</w:t>
            </w:r>
          </w:p>
        </w:tc>
        <w:tc>
          <w:tcPr>
            <w:tcW w:type="dxa" w:w="22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Whether moderate associations with these two indicators are present in these data</w:t>
            </w:r>
          </w:p>
        </w:tc>
        <w:tc>
          <w:tcPr>
            <w:tcW w:type="dxa" w:w="20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Effects on trust or participation in general; temporal order</w:t>
            </w:r>
          </w:p>
        </w:tc>
      </w:tr>
      <w:tr>
        <w:trPr>
          <w:tblHeader w:val="false"/>
        </w:trPr>
        <w:tc>
          <w:tcPr>
            <w:tcW w:type="dxa" w:w="119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Sensitivity to observed specification</w:t>
            </w:r>
          </w:p>
        </w:tc>
        <w:tc>
          <w:tcPr>
            <w:tcW w:type="dxa" w:w="233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Control build-up; augmented inverse-probability weighting; specification curve; alternative weights; region fixed effects; linear probability model with wild cluster bootstrap; missing-indicator coding; estimates without the phone lock; leave-one-region-out</w:t>
            </w:r>
          </w:p>
        </w:tc>
        <w:tc>
          <w:tcPr>
            <w:tcW w:type="dxa" w:w="13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Table 2; Tables A4, A4b and A6; Figs. S3 and S4</w:t>
            </w:r>
          </w:p>
        </w:tc>
        <w:tc>
          <w:tcPr>
            <w:tcW w:type="dxa" w:w="22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Dependence of the estimates on modelling choices among observed variables</w:t>
            </w:r>
          </w:p>
        </w:tc>
        <w:tc>
          <w:tcPr>
            <w:tcW w:type="dxa" w:w="20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Bias from unobserved variables</w:t>
            </w:r>
          </w:p>
        </w:tc>
      </w:tr>
      <w:tr>
        <w:trPr>
          <w:tblHeader w:val="false"/>
        </w:trPr>
        <w:tc>
          <w:tcPr>
            <w:tcW w:type="dxa" w:w="119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Sensitivity to unobserved confounding and selection</w:t>
            </w:r>
          </w:p>
        </w:tc>
        <w:tc>
          <w:tcPr>
            <w:tcW w:type="dxa" w:w="233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E-values; robustness values; coefficient-stability bounds; collider simulation; bivariate selection model</w:t>
            </w:r>
          </w:p>
        </w:tc>
        <w:tc>
          <w:tcPr>
            <w:tcW w:type="dxa" w:w="13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Tables 2 and 3; Tables A6b and A12; Fig. S5</w:t>
            </w:r>
          </w:p>
        </w:tc>
        <w:tc>
          <w:tcPr>
            <w:tcW w:type="dxa" w:w="22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How strong unobserved confounding or selection into targeting would need to be to explain an association</w:t>
            </w:r>
          </w:p>
        </w:tc>
        <w:tc>
          <w:tcPr>
            <w:tcW w:type="dxa" w:w="20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Whether such confounding or selection is present</w:t>
            </w:r>
          </w:p>
        </w:tc>
      </w:tr>
      <w:tr>
        <w:trPr>
          <w:tblHeader w:val="false"/>
        </w:trPr>
        <w:tc>
          <w:tcPr>
            <w:tcW w:type="dxa" w:w="119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Specificity and heterogeneity checks</w:t>
            </w:r>
          </w:p>
        </w:tc>
        <w:tc>
          <w:tcPr>
            <w:tcW w:type="dxa" w:w="233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Unwanted messages; remittance control, subsample and interaction; subgroups; economy-level estimates and meta-analysis</w:t>
            </w:r>
          </w:p>
        </w:tc>
        <w:tc>
          <w:tcPr>
            <w:tcW w:type="dxa" w:w="13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Table 2; Tables A4c and A5; Figs. 4, S1, S2 and S6b</w:t>
            </w:r>
          </w:p>
        </w:tc>
        <w:tc>
          <w:tcPr>
            <w:tcW w:type="dxa" w:w="22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Consistency across outcomes, groups and economies</w:t>
            </w:r>
          </w:p>
        </w:tc>
        <w:tc>
          <w:tcPr>
            <w:tcW w:type="dxa" w:w="200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Absence of confounding; that benign requests are excluded</w:t>
            </w:r>
          </w:p>
        </w:tc>
      </w:tr>
      <w:tr>
        <w:trPr>
          <w:tblHeader w:val="false"/>
        </w:trPr>
        <w:tc>
          <w:tcPr>
            <w:tcW w:type="dxa" w:w="1198"/>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Descriptive and exploratory</w:t>
            </w:r>
          </w:p>
        </w:tc>
        <w:tc>
          <w:tcPr>
            <w:tcW w:type="dxa" w:w="2333"/>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Regional rates; unadjusted profiles; phone lock; identity misuse and PIN requests; population-scaled totals; planned analyses not used as evidence</w:t>
            </w:r>
          </w:p>
        </w:tc>
        <w:tc>
          <w:tcPr>
            <w:tcW w:type="dxa" w:w="1337"/>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Fig. 2; Tables A3, A6, A7, A10 and A12</w:t>
            </w:r>
          </w:p>
        </w:tc>
        <w:tc>
          <w:tcPr>
            <w:tcW w:type="dxa" w:w="2201"/>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Patterns that motivate further work</w:t>
            </w:r>
          </w:p>
        </w:tc>
        <w:tc>
          <w:tcPr>
            <w:tcW w:type="dxa" w:w="2001"/>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Tests of hypotheses</w:t>
            </w:r>
          </w:p>
        </w:tc>
      </w:tr>
    </w:tbl>
    <w:p>
      <w:pPr>
        <w:spacing w:after="240" w:before="60" w:line="240"/>
      </w:pPr>
      <w:r>
        <w:rPr>
          <w:rFonts w:ascii="Times New Roman" w:cs="Times New Roman" w:eastAsia="Times New Roman" w:hAnsi="Times New Roman"/>
          <w:sz w:val="18"/>
          <w:szCs w:val="18"/>
        </w:rPr>
        <w:t xml:space="preserve">Tables and figures without the prefix A or S are in the article. The phone lock is a diagnostic, not a hypothesis (article, Section 2.3).</w:t>
      </w:r>
    </w:p>
    <w:p>
      <w:pPr>
        <w:pStyle w:val="Heading1"/>
        <w:keepNext/>
        <w:spacing w:after="120" w:before="280"/>
      </w:pPr>
      <w:r>
        <w:rPr>
          <w:rFonts w:ascii="Times New Roman" w:cs="Times New Roman" w:eastAsia="Times New Roman" w:hAnsi="Times New Roman"/>
          <w:b/>
          <w:bCs/>
          <w:sz w:val="24"/>
          <w:szCs w:val="24"/>
        </w:rPr>
        <w:t xml:space="preserve">A1 Sample</w:t>
      </w:r>
    </w:p>
    <w:p>
      <w:pPr>
        <w:keepNext/>
        <w:spacing w:after="80" w:before="200" w:line="276"/>
      </w:pPr>
      <w:r>
        <w:rPr>
          <w:rFonts w:ascii="Times New Roman" w:cs="Times New Roman" w:eastAsia="Times New Roman" w:hAnsi="Times New Roman"/>
          <w:b/>
          <w:bCs/>
          <w:sz w:val="20"/>
          <w:szCs w:val="20"/>
        </w:rPr>
        <w:t xml:space="preserve">Table A1</w:t>
      </w:r>
      <w:r>
        <w:rPr>
          <w:rFonts w:ascii="Times New Roman" w:cs="Times New Roman" w:eastAsia="Times New Roman" w:hAnsi="Times New Roman"/>
          <w:sz w:val="20"/>
          <w:szCs w:val="20"/>
        </w:rPr>
        <w:t xml:space="preserve"> Sample flow</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5773"/>
        <w:gridCol w:w="1786"/>
        <w:gridCol w:w="1511"/>
      </w:tblGrid>
      <w:tr>
        <w:trPr>
          <w:tblHeader/>
        </w:trPr>
        <w:tc>
          <w:tcPr>
            <w:tcW w:type="dxa" w:w="5773"/>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Step</w:t>
            </w:r>
          </w:p>
        </w:tc>
        <w:tc>
          <w:tcPr>
            <w:tcW w:type="dxa" w:w="1786"/>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Respondents</w:t>
            </w:r>
          </w:p>
        </w:tc>
        <w:tc>
          <w:tcPr>
            <w:tcW w:type="dxa" w:w="1511"/>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Economies</w:t>
            </w:r>
          </w:p>
        </w:tc>
      </w:tr>
      <w:tr>
        <w:trPr>
          <w:tblHeader w:val="false"/>
        </w:trPr>
        <w:tc>
          <w:tcPr>
            <w:tcW w:type="dxa" w:w="57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All respondents in the public file</w:t>
            </w:r>
          </w:p>
        </w:tc>
        <w:tc>
          <w:tcPr>
            <w:tcW w:type="dxa" w:w="178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144,090</w:t>
            </w:r>
          </w:p>
        </w:tc>
        <w:tc>
          <w:tcPr>
            <w:tcW w:type="dxa" w:w="151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140</w:t>
            </w:r>
          </w:p>
        </w:tc>
      </w:tr>
      <w:tr>
        <w:trPr>
          <w:tblHeader w:val="false"/>
        </w:trPr>
        <w:tc>
          <w:tcPr>
            <w:tcW w:type="dxa" w:w="57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Phone owners asked the targeting item (con21)</w:t>
            </w:r>
          </w:p>
        </w:tc>
        <w:tc>
          <w:tcPr>
            <w:tcW w:type="dxa" w:w="178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64,663</w:t>
            </w:r>
          </w:p>
        </w:tc>
        <w:tc>
          <w:tcPr>
            <w:tcW w:type="dxa" w:w="151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75</w:t>
            </w:r>
          </w:p>
        </w:tc>
      </w:tr>
      <w:tr>
        <w:trPr>
          <w:tblHeader w:val="false"/>
        </w:trPr>
        <w:tc>
          <w:tcPr>
            <w:tcW w:type="dxa" w:w="57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Valid answer to con21 (excluding don't know and refused)</w:t>
            </w:r>
          </w:p>
        </w:tc>
        <w:tc>
          <w:tcPr>
            <w:tcW w:type="dxa" w:w="178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64,509</w:t>
            </w:r>
          </w:p>
        </w:tc>
        <w:tc>
          <w:tcPr>
            <w:tcW w:type="dxa" w:w="151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75</w:t>
            </w:r>
          </w:p>
        </w:tc>
      </w:tr>
      <w:tr>
        <w:trPr>
          <w:tblHeader w:val="false"/>
        </w:trPr>
        <w:tc>
          <w:tcPr>
            <w:tcW w:type="dxa" w:w="57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Targeted (con21 = yes)</w:t>
            </w:r>
          </w:p>
        </w:tc>
        <w:tc>
          <w:tcPr>
            <w:tcW w:type="dxa" w:w="178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14,359</w:t>
            </w:r>
          </w:p>
        </w:tc>
        <w:tc>
          <w:tcPr>
            <w:tcW w:type="dxa" w:w="151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p>
        </w:tc>
      </w:tr>
      <w:tr>
        <w:trPr>
          <w:tblHeader w:val="false"/>
        </w:trPr>
        <w:tc>
          <w:tcPr>
            <w:tcW w:type="dxa" w:w="57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Targeted with a valid answer to con22</w:t>
            </w:r>
          </w:p>
        </w:tc>
        <w:tc>
          <w:tcPr>
            <w:tcW w:type="dxa" w:w="178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14,347</w:t>
            </w:r>
          </w:p>
        </w:tc>
        <w:tc>
          <w:tcPr>
            <w:tcW w:type="dxa" w:w="151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p>
        </w:tc>
      </w:tr>
      <w:tr>
        <w:trPr>
          <w:tblHeader w:val="false"/>
        </w:trPr>
        <w:tc>
          <w:tcPr>
            <w:tcW w:type="dxa" w:w="57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Sent money (con22 = yes)</w:t>
            </w:r>
          </w:p>
        </w:tc>
        <w:tc>
          <w:tcPr>
            <w:tcW w:type="dxa" w:w="178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1,232</w:t>
            </w:r>
          </w:p>
        </w:tc>
        <w:tc>
          <w:tcPr>
            <w:tcW w:type="dxa" w:w="151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p>
        </w:tc>
      </w:tr>
      <w:tr>
        <w:trPr>
          <w:tblHeader w:val="false"/>
        </w:trPr>
        <w:tc>
          <w:tcPr>
            <w:tcW w:type="dxa" w:w="57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Analysis sample, targeting model (Tables 1 and 3–5; subsamples in Table 6; complete covariates incl. phone lock, valid payment answer)</w:t>
            </w:r>
          </w:p>
        </w:tc>
        <w:tc>
          <w:tcPr>
            <w:tcW w:type="dxa" w:w="178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62,761</w:t>
            </w:r>
          </w:p>
        </w:tc>
        <w:tc>
          <w:tcPr>
            <w:tcW w:type="dxa" w:w="151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75</w:t>
            </w:r>
          </w:p>
        </w:tc>
      </w:tr>
      <w:tr>
        <w:trPr>
          <w:tblHeader w:val="false"/>
        </w:trPr>
        <w:tc>
          <w:tcPr>
            <w:tcW w:type="dxa" w:w="57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Analysis sample, conversion model (targeted; economy with no payment excluded)</w:t>
            </w:r>
          </w:p>
        </w:tc>
        <w:tc>
          <w:tcPr>
            <w:tcW w:type="dxa" w:w="178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151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r>
      <w:tr>
        <w:trPr>
          <w:tblHeader w:val="false"/>
        </w:trPr>
        <w:tc>
          <w:tcPr>
            <w:tcW w:type="dxa" w:w="57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Analysis sample, overall payment model (economy with no payment excluded)</w:t>
            </w:r>
          </w:p>
        </w:tc>
        <w:tc>
          <w:tcPr>
            <w:tcW w:type="dxa" w:w="178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61,963</w:t>
            </w:r>
          </w:p>
        </w:tc>
        <w:tc>
          <w:tcPr>
            <w:tcW w:type="dxa" w:w="151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r>
      <w:tr>
        <w:trPr>
          <w:tblHeader w:val="false"/>
        </w:trPr>
        <w:tc>
          <w:tcPr>
            <w:tcW w:type="dxa" w:w="5773"/>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Exposure sample (Table 2 only; complete covariates, phone lock and payment answer not required)</w:t>
            </w:r>
          </w:p>
        </w:tc>
        <w:tc>
          <w:tcPr>
            <w:tcW w:type="dxa" w:w="1786"/>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62,897</w:t>
            </w:r>
          </w:p>
        </w:tc>
        <w:tc>
          <w:tcPr>
            <w:tcW w:type="dxa" w:w="1511"/>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75</w:t>
            </w:r>
          </w:p>
        </w:tc>
      </w:tr>
    </w:tbl>
    <w:p>
      <w:pPr>
        <w:spacing w:after="240" w:before="60" w:line="240"/>
      </w:pPr>
      <w:r>
        <w:rPr>
          <w:rFonts w:ascii="Times New Roman" w:cs="Times New Roman" w:eastAsia="Times New Roman" w:hAnsi="Times New Roman"/>
          <w:sz w:val="18"/>
          <w:szCs w:val="18"/>
        </w:rPr>
        <w:t xml:space="preserve">The conversion and overall payment models contain 1,201 respondents who sent money. The linear probability model for conversion retains all 75 economies (14,043 targeted respondents).</w:t>
      </w:r>
    </w:p>
    <w:p>
      <w:pPr>
        <w:pStyle w:val="Heading1"/>
        <w:keepNext/>
        <w:spacing w:after="120" w:before="280"/>
      </w:pPr>
      <w:r>
        <w:rPr>
          <w:rFonts w:ascii="Times New Roman" w:cs="Times New Roman" w:eastAsia="Times New Roman" w:hAnsi="Times New Roman"/>
          <w:b/>
          <w:bCs/>
          <w:sz w:val="24"/>
          <w:szCs w:val="24"/>
        </w:rPr>
        <w:t xml:space="preserve">A2 Variable Definitions</w:t>
      </w:r>
    </w:p>
    <w:p>
      <w:pPr>
        <w:keepNext/>
        <w:spacing w:after="80" w:before="200" w:line="276"/>
      </w:pPr>
      <w:r>
        <w:rPr>
          <w:rFonts w:ascii="Times New Roman" w:cs="Times New Roman" w:eastAsia="Times New Roman" w:hAnsi="Times New Roman"/>
          <w:b/>
          <w:bCs/>
          <w:sz w:val="20"/>
          <w:szCs w:val="20"/>
        </w:rPr>
        <w:t xml:space="preserve">Table A2</w:t>
      </w:r>
      <w:r>
        <w:rPr>
          <w:rFonts w:ascii="Times New Roman" w:cs="Times New Roman" w:eastAsia="Times New Roman" w:hAnsi="Times New Roman"/>
          <w:sz w:val="20"/>
          <w:szCs w:val="20"/>
        </w:rPr>
        <w:t xml:space="preserve"> Variables and survey items</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290"/>
        <w:gridCol w:w="1392"/>
        <w:gridCol w:w="5388"/>
      </w:tblGrid>
      <w:tr>
        <w:trPr>
          <w:tblHeader/>
        </w:trPr>
        <w:tc>
          <w:tcPr>
            <w:tcW w:type="dxa" w:w="2290"/>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Variable</w:t>
            </w:r>
          </w:p>
        </w:tc>
        <w:tc>
          <w:tcPr>
            <w:tcW w:type="dxa" w:w="1392"/>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Item(s)</w:t>
            </w:r>
          </w:p>
        </w:tc>
        <w:tc>
          <w:tcPr>
            <w:tcW w:type="dxa" w:w="5388"/>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Definition</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Targeted</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con21</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Received a phone call or SMS or text message from someone the respondent did not know asking to send money, past 12 months. Asked of phone owners.</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Sent money</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con22</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Sent the money to this person. Asked of those targeted. Overall payment = targeted and sent money; 0 for all other phone owners. The items do not record deception, amount or payment channel.</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Unwanted messages (specificity comparison)</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con23</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Received unwanted and offensive messages, photos or videos to the mobile phone, past 12 months.</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Digitally enabled account</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dig_account</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Mobile money account, or account at a bank or similar financial institution from which the respondent makes digital payments using a card or phone (Findex constructed indicator).</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Any / financial-institution / mobile money account</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account, account_fin, account_mob</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Findex constructed account indicators.</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Transaction intensity</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fin5, fin6, fin13a–c</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Most frequent of deposits and withdrawals (financial-institution accounts) and deposits, transfers and cash-outs (mobile money): never, less than monthly, monthly, weekly.</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Phone lock</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con18</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Phone has a lock such as a PIN, password or fingerprint. Stricter measure: lock the respondent can change (con19).</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Smartphone</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con9</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Main phone is a smartphone.</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Online activities</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con30a–h</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Count (0–8) of: voice message, photo, social media, news, education, earning money, government services, job search. Not asked of respondents without recent internet use or a smartphone; coded 0.</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Has sent a text message</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con14, con16</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Ever sent an SMS or a message on a messaging app; 0 for respondents who never read text messages.</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Phone and internet use</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con12, con26</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Frequency categories: daily, weekly, monthly or less, never/none. Internet frequency is 'none' for non-users.</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Demographics</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female, age, emp_in, urbanicity, educ, inc_q</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Sex; age and age squared/100; in the workforce; rural residence; education (primary or less, secondary, tertiary); within-economy income quintile (a separate category keeps Lesotho, which has no income data).</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Dormant account</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fin7, fin5, fin6</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Financial-institution account owners with no deposit or withdrawal in the past year; monthly or more frequent users coded 0.</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Distrust</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fin11f</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Respondent without a financial-institution account cites not trusting financial institutions as a reason. Asked in 43 module economies.</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Identity misuse</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fin47</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Foundational ID used without permission for illegal purposes (ID owners).</w:t>
            </w:r>
          </w:p>
        </w:tc>
      </w:tr>
      <w:tr>
        <w:trPr>
          <w:tblHeader w:val="false"/>
        </w:trPr>
        <w:tc>
          <w:tcPr>
            <w:tcW w:type="dxa" w:w="229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PIN or password request</w:t>
            </w:r>
          </w:p>
        </w:tc>
        <w:tc>
          <w:tcPr>
            <w:tcW w:type="dxa" w:w="139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fin13e</w:t>
            </w:r>
          </w:p>
        </w:tc>
        <w:tc>
          <w:tcPr>
            <w:tcW w:type="dxa" w:w="53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Received a message from someone unknown asking for the mobile money PIN or password (mobile money owners).</w:t>
            </w:r>
          </w:p>
        </w:tc>
      </w:tr>
      <w:tr>
        <w:trPr>
          <w:tblHeader w:val="false"/>
        </w:trPr>
        <w:tc>
          <w:tcPr>
            <w:tcW w:type="dxa" w:w="2290"/>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Saved, borrowed</w:t>
            </w:r>
          </w:p>
        </w:tc>
        <w:tc>
          <w:tcPr>
            <w:tcW w:type="dxa" w:w="1392"/>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saved, borrowed</w:t>
            </w:r>
          </w:p>
        </w:tc>
        <w:tc>
          <w:tcPr>
            <w:tcW w:type="dxa" w:w="5388"/>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Findex constructed indicators for saving and borrowing in the past year (liquidity controls).</w:t>
            </w:r>
          </w:p>
        </w:tc>
      </w:tr>
    </w:tbl>
    <w:p>
      <w:pPr>
        <w:spacing w:after="240" w:before="60" w:line="240"/>
      </w:pPr>
      <w:r>
        <w:rPr>
          <w:rFonts w:ascii="Times New Roman" w:cs="Times New Roman" w:eastAsia="Times New Roman" w:hAnsi="Times New Roman"/>
          <w:sz w:val="18"/>
          <w:szCs w:val="18"/>
        </w:rPr>
        <w:t xml:space="preserve">Don't know and refused answers are treated as missing; no values are imputed except in the missing-indicator check (Table A4). Item wording follows the World Bank codebook and DDI metadata.</w:t>
      </w:r>
    </w:p>
    <w:p>
      <w:pPr>
        <w:pStyle w:val="Heading1"/>
        <w:keepNext/>
        <w:spacing w:after="120" w:before="280"/>
      </w:pPr>
      <w:r>
        <w:rPr>
          <w:rFonts w:ascii="Times New Roman" w:cs="Times New Roman" w:eastAsia="Times New Roman" w:hAnsi="Times New Roman"/>
          <w:b/>
          <w:bCs/>
          <w:sz w:val="24"/>
          <w:szCs w:val="24"/>
        </w:rPr>
        <w:t xml:space="preserve">A3 Regional Rates</w:t>
      </w:r>
    </w:p>
    <w:p>
      <w:pPr>
        <w:keepNext/>
        <w:spacing w:after="80" w:before="200" w:line="276"/>
      </w:pPr>
      <w:r>
        <w:rPr>
          <w:rFonts w:ascii="Times New Roman" w:cs="Times New Roman" w:eastAsia="Times New Roman" w:hAnsi="Times New Roman"/>
          <w:b/>
          <w:bCs/>
          <w:sz w:val="20"/>
          <w:szCs w:val="20"/>
        </w:rPr>
        <w:t xml:space="preserve">Table A3</w:t>
      </w:r>
      <w:r>
        <w:rPr>
          <w:rFonts w:ascii="Times New Roman" w:cs="Times New Roman" w:eastAsia="Times New Roman" w:hAnsi="Times New Roman"/>
          <w:sz w:val="20"/>
          <w:szCs w:val="20"/>
        </w:rPr>
        <w:t xml:space="preserve"> Targeting and conversion by region (analysis sample)</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126"/>
        <w:gridCol w:w="1273"/>
        <w:gridCol w:w="926"/>
        <w:gridCol w:w="1273"/>
        <w:gridCol w:w="1273"/>
        <w:gridCol w:w="926"/>
        <w:gridCol w:w="1273"/>
      </w:tblGrid>
      <w:tr>
        <w:trPr>
          <w:tblHeader/>
        </w:trPr>
        <w:tc>
          <w:tcPr>
            <w:tcW w:type="dxa" w:w="2126"/>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Region</w:t>
            </w:r>
          </w:p>
        </w:tc>
        <w:tc>
          <w:tcPr>
            <w:tcW w:type="dxa" w:w="1273"/>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Economies</w:t>
            </w:r>
          </w:p>
        </w:tc>
        <w:tc>
          <w:tcPr>
            <w:tcW w:type="dxa" w:w="926"/>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Phone owners</w:t>
            </w:r>
          </w:p>
        </w:tc>
        <w:tc>
          <w:tcPr>
            <w:tcW w:type="dxa" w:w="1273"/>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Targeted, %</w:t>
            </w:r>
          </w:p>
        </w:tc>
        <w:tc>
          <w:tcPr>
            <w:tcW w:type="dxa" w:w="1273"/>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Sent money if targeted, %</w:t>
            </w:r>
          </w:p>
        </w:tc>
        <w:tc>
          <w:tcPr>
            <w:tcW w:type="dxa" w:w="926"/>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Sent money, all, %</w:t>
            </w:r>
          </w:p>
        </w:tc>
        <w:tc>
          <w:tcPr>
            <w:tcW w:type="dxa" w:w="1273"/>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Digitally enabled account, %</w:t>
            </w:r>
          </w:p>
        </w:tc>
      </w:tr>
      <w:tr>
        <w:trPr>
          <w:tblHeader w:val="false"/>
        </w:trPr>
        <w:tc>
          <w:tcPr>
            <w:tcW w:type="dxa" w:w="21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East Asia &amp; Pacific</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8</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6,846</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19.4</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3.2</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0.63</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58.9</w:t>
            </w:r>
          </w:p>
        </w:tc>
      </w:tr>
      <w:tr>
        <w:trPr>
          <w:tblHeader w:val="false"/>
        </w:trPr>
        <w:tc>
          <w:tcPr>
            <w:tcW w:type="dxa" w:w="21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Europe &amp; Central Asia</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3,461</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9.4</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9.4</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0.88</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54.3</w:t>
            </w:r>
          </w:p>
        </w:tc>
      </w:tr>
      <w:tr>
        <w:trPr>
          <w:tblHeader w:val="false"/>
        </w:trPr>
        <w:tc>
          <w:tcPr>
            <w:tcW w:type="dxa" w:w="21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High income (Panama)</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819</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28.6</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8.3</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2.38</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56.9</w:t>
            </w:r>
          </w:p>
        </w:tc>
      </w:tr>
      <w:tr>
        <w:trPr>
          <w:tblHeader w:val="false"/>
        </w:trPr>
        <w:tc>
          <w:tcPr>
            <w:tcW w:type="dxa" w:w="21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Latin America &amp; Caribbean</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16</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13,143</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25.0</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3.7</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0.92</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47.4</w:t>
            </w:r>
          </w:p>
        </w:tc>
      </w:tr>
      <w:tr>
        <w:trPr>
          <w:tblHeader w:val="false"/>
        </w:trPr>
        <w:tc>
          <w:tcPr>
            <w:tcW w:type="dxa" w:w="21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Middle East &amp; North Africa</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6,344</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10.4</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6.5</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0.67</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20.6</w:t>
            </w:r>
          </w:p>
        </w:tc>
      </w:tr>
      <w:tr>
        <w:trPr>
          <w:tblHeader w:val="false"/>
        </w:trPr>
        <w:tc>
          <w:tcPr>
            <w:tcW w:type="dxa" w:w="21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South Asia</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5,111</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9.8</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15.4</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1.52</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35.1</w:t>
            </w:r>
          </w:p>
        </w:tc>
      </w:tr>
      <w:tr>
        <w:trPr>
          <w:tblHeader w:val="false"/>
        </w:trPr>
        <w:tc>
          <w:tcPr>
            <w:tcW w:type="dxa" w:w="21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Sub-Saharan Africa</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34</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27,037</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26.9</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11.3</w:t>
            </w:r>
          </w:p>
        </w:tc>
        <w:tc>
          <w:tcPr>
            <w:tcW w:type="dxa" w:w="92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3.03</w:t>
            </w:r>
          </w:p>
        </w:tc>
        <w:tc>
          <w:tcPr>
            <w:tcW w:type="dxa" w:w="12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59.1</w:t>
            </w:r>
          </w:p>
        </w:tc>
      </w:tr>
      <w:tr>
        <w:trPr>
          <w:tblHeader w:val="false"/>
        </w:trPr>
        <w:tc>
          <w:tcPr>
            <w:tcW w:type="dxa" w:w="2126"/>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All module economies</w:t>
            </w:r>
          </w:p>
        </w:tc>
        <w:tc>
          <w:tcPr>
            <w:tcW w:type="dxa" w:w="1273"/>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75</w:t>
            </w:r>
          </w:p>
        </w:tc>
        <w:tc>
          <w:tcPr>
            <w:tcW w:type="dxa" w:w="926"/>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62,761</w:t>
            </w:r>
          </w:p>
        </w:tc>
        <w:tc>
          <w:tcPr>
            <w:tcW w:type="dxa" w:w="1273"/>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21.6</w:t>
            </w:r>
          </w:p>
        </w:tc>
        <w:tc>
          <w:tcPr>
            <w:tcW w:type="dxa" w:w="1273"/>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8.4</w:t>
            </w:r>
          </w:p>
        </w:tc>
        <w:tc>
          <w:tcPr>
            <w:tcW w:type="dxa" w:w="926"/>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1.80</w:t>
            </w:r>
          </w:p>
        </w:tc>
        <w:tc>
          <w:tcPr>
            <w:tcW w:type="dxa" w:w="1273"/>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50.3</w:t>
            </w:r>
          </w:p>
        </w:tc>
      </w:tr>
    </w:tbl>
    <w:p>
      <w:pPr>
        <w:spacing w:after="240" w:before="60" w:line="240"/>
      </w:pPr>
      <w:r>
        <w:rPr>
          <w:rFonts w:ascii="Times New Roman" w:cs="Times New Roman" w:eastAsia="Times New Roman" w:hAnsi="Times New Roman"/>
          <w:sz w:val="18"/>
          <w:szCs w:val="18"/>
        </w:rPr>
        <w:t xml:space="preserve">Survey-weighted percentages. Regions follow the World Bank classification in the file; Panama is the only high-income economy.</w:t>
      </w:r>
    </w:p>
    <w:p>
      <w:pPr>
        <w:pStyle w:val="Heading1"/>
        <w:keepNext/>
        <w:spacing w:after="120" w:before="280"/>
      </w:pPr>
      <w:r>
        <w:rPr>
          <w:rFonts w:ascii="Times New Roman" w:cs="Times New Roman" w:eastAsia="Times New Roman" w:hAnsi="Times New Roman"/>
          <w:b/>
          <w:bCs/>
          <w:sz w:val="24"/>
          <w:szCs w:val="24"/>
        </w:rPr>
        <w:t xml:space="preserve">A4 Robustness of the Conversion Association</w:t>
      </w:r>
    </w:p>
    <w:p>
      <w:pPr>
        <w:keepNext/>
        <w:spacing w:after="80" w:before="200" w:line="276"/>
      </w:pPr>
      <w:r>
        <w:rPr>
          <w:rFonts w:ascii="Times New Roman" w:cs="Times New Roman" w:eastAsia="Times New Roman" w:hAnsi="Times New Roman"/>
          <w:b/>
          <w:bCs/>
          <w:sz w:val="20"/>
          <w:szCs w:val="20"/>
        </w:rPr>
        <w:t xml:space="preserve">Table A4</w:t>
      </w:r>
      <w:r>
        <w:rPr>
          <w:rFonts w:ascii="Times New Roman" w:cs="Times New Roman" w:eastAsia="Times New Roman" w:hAnsi="Times New Roman"/>
          <w:sz w:val="20"/>
          <w:szCs w:val="20"/>
        </w:rPr>
        <w:t xml:space="preserve"> Conversion association (sending money once targeted) under alternative specifications</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3318"/>
        <w:gridCol w:w="977"/>
        <w:gridCol w:w="1344"/>
        <w:gridCol w:w="1588"/>
        <w:gridCol w:w="1843"/>
      </w:tblGrid>
      <w:tr>
        <w:trPr>
          <w:tblHeader/>
        </w:trPr>
        <w:tc>
          <w:tcPr>
            <w:tcW w:type="dxa" w:w="3318"/>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Specification</w:t>
            </w:r>
          </w:p>
        </w:tc>
        <w:tc>
          <w:tcPr>
            <w:tcW w:type="dxa" w:w="977"/>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N</w:t>
            </w:r>
          </w:p>
        </w:tc>
        <w:tc>
          <w:tcPr>
            <w:tcW w:type="dxa" w:w="1344"/>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Economies</w:t>
            </w:r>
          </w:p>
        </w:tc>
        <w:tc>
          <w:tcPr>
            <w:tcW w:type="dxa" w:w="1588"/>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RR (95% CI)</w:t>
            </w:r>
          </w:p>
        </w:tc>
        <w:tc>
          <w:tcPr>
            <w:tcW w:type="dxa" w:w="1843"/>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OR (95% CI)</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Main model</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1.37 (1.14–1.65)</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1.44 (1.16–1.79)</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Without phone lock</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 (1.15–1.67)</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1.46 (1.17–1.81)</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Without visibility block and phone lock</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1.44 (1.17–1.77)</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1.52 (1.20–1.93)</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Unweighted</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1.35 (1.16–1.56)</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1.41 (1.19–1.68)</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Equal weight per economy</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1.46 (1.16–1.83)</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1.57 (1.19–2.07)</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Region instead of economy fixed effects (standard errors clustered by region, 7 clusters)</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14,043</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75</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1.22 (1.07–1.40)</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1.26 (1.08–1.47)</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Any account</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1.50 (1.21–1.85)</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1.59 (1.25–2.02)</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Financial-institution account</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1.32 (1.14–1.53)</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1.38 (1.16–1.65)</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Mobile money account</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13,588</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71</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1.51 (1.24–1.83)</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1.60 (1.28–2.00)</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Excluding East Asia &amp; Pacific</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12,607</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66</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1.41 (1.17–1.70)</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1.49 (1.20–1.85)</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Excluding Europe &amp; Central Asia</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13,570</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70</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1.37 (1.13–1.66)</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1.44 (1.16–1.80)</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Excluding Latin America &amp; Caribbean</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10,747</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59</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1.38 (1.12–1.69)</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1.45 (1.14–1.85)</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Excluding Middle East &amp; North Africa</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13,226</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67</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1.37 (1.13–1.66)</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1.44 (1.15–1.80)</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Excluding South Asia</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13,361</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69</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1.32 (1.09–1.60)</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1.38 (1.11–1.73)</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Excluding Sub-Saharan Africa</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6,234</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40</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1.34 (0.98–1.82)</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 (0.98–1.96)</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Population-scaled weights</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2.14 (1.65–2.77)</w:t>
            </w: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2.60 (1.82–3.69)</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Missing-indicator coding</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14,098</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1.42 (1.15–1.77)</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 saving and borrowing in the past year</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1.41 (1.12–1.77)</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Linear probability model, all economies: 2.46 pp (0.94–3.97); wild cluster bootstrap p = 0.002</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14,043</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75</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p>
        </w:tc>
      </w:tr>
      <w:tr>
        <w:tc>
          <w:tcPr>
            <w:tcW w:type="dxa" w:w="9070"/>
            <w:gridSpan w:val="5"/>
            <w:tcBorders>
              <w:top w:val="none" w:color="FFFFFF" w:sz="0"/>
              <w:left w:val="none" w:color="FFFFFF" w:sz="0"/>
              <w:bottom w:val="none" w:color="FFFFFF" w:sz="0"/>
              <w:right w:val="none" w:color="FFFFFF" w:sz="0"/>
            </w:tcBorders>
            <w:tcMar>
              <w:top w:type="dxa" w:w="40"/>
              <w:left w:type="dxa" w:w="60"/>
              <w:bottom w:type="dxa" w:w="20"/>
              <w:right w:type="dxa" w:w="60"/>
            </w:tcMar>
          </w:tcPr>
          <w:p>
            <w:pPr>
              <w:spacing w:line="240"/>
            </w:pPr>
            <w:r>
              <w:rPr>
                <w:rFonts w:ascii="Times New Roman" w:cs="Times New Roman" w:eastAsia="Times New Roman" w:hAnsi="Times New Roman"/>
                <w:i/>
                <w:iCs/>
                <w:sz w:val="18"/>
                <w:szCs w:val="18"/>
              </w:rPr>
              <w:t xml:space="preserve">Account type vs no account (OR)</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Financial-institution account only</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13,588</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71</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1.30 (0.97–1.75)</w:t>
            </w:r>
          </w:p>
        </w:tc>
      </w:tr>
      <w:tr>
        <w:trPr>
          <w:tblHeader w:val="false"/>
        </w:trPr>
        <w:tc>
          <w:tcPr>
            <w:tcW w:type="dxa" w:w="331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Mobile money account only</w:t>
            </w:r>
          </w:p>
        </w:tc>
        <w:tc>
          <w:tcPr>
            <w:tcW w:type="dxa" w:w="97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13,588</w:t>
            </w:r>
          </w:p>
        </w:tc>
        <w:tc>
          <w:tcPr>
            <w:tcW w:type="dxa" w:w="13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71</w:t>
            </w:r>
          </w:p>
        </w:tc>
        <w:tc>
          <w:tcPr>
            <w:tcW w:type="dxa" w:w="158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p>
        </w:tc>
        <w:tc>
          <w:tcPr>
            <w:tcW w:type="dxa" w:w="18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1.54 (1.12–2.11)</w:t>
            </w:r>
          </w:p>
        </w:tc>
      </w:tr>
      <w:tr>
        <w:trPr>
          <w:tblHeader w:val="false"/>
        </w:trPr>
        <w:tc>
          <w:tcPr>
            <w:tcW w:type="dxa" w:w="3318"/>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Both</w:t>
            </w:r>
          </w:p>
        </w:tc>
        <w:tc>
          <w:tcPr>
            <w:tcW w:type="dxa" w:w="977"/>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13,588</w:t>
            </w:r>
          </w:p>
        </w:tc>
        <w:tc>
          <w:tcPr>
            <w:tcW w:type="dxa" w:w="1344"/>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71</w:t>
            </w:r>
          </w:p>
        </w:tc>
        <w:tc>
          <w:tcPr>
            <w:tcW w:type="dxa" w:w="1588"/>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p>
        </w:tc>
        <w:tc>
          <w:tcPr>
            <w:tcW w:type="dxa" w:w="1843"/>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2.03 (1.55–2.66)</w:t>
            </w:r>
          </w:p>
        </w:tc>
      </w:tr>
    </w:tbl>
    <w:p>
      <w:pPr>
        <w:spacing w:after="240" w:before="60" w:line="240"/>
      </w:pPr>
      <w:r>
        <w:rPr>
          <w:rFonts w:ascii="Times New Roman" w:cs="Times New Roman" w:eastAsia="Times New Roman" w:hAnsi="Times New Roman"/>
          <w:sz w:val="18"/>
          <w:szCs w:val="18"/>
        </w:rPr>
        <w:t xml:space="preserve">Survey-weighted logit models of sending money among targeted respondents, with economy fixed effects and all controls unless stated; RR is the ratio of marginally standardised probabilities. The region fixed-effects row clusters standard errors by region; with economy-clustered errors its OR interval is 1.01–1.56 (p = 0.039). Region exclusions refer to World Bank regions in the file. Mobile money only vs financial-institution only: ratio of ORs 1.18, p = 0.28. Saving OR 1.08 (p = 0.45); borrowing OR 1.02 (p = 0.82). The account-type comparison for all three margins is in Table 5 of the article.</w:t>
      </w:r>
    </w:p>
    <w:p>
      <w:pPr>
        <w:keepNext/>
        <w:spacing w:after="80" w:before="200" w:line="276"/>
      </w:pPr>
      <w:r>
        <w:rPr>
          <w:rFonts w:ascii="Times New Roman" w:cs="Times New Roman" w:eastAsia="Times New Roman" w:hAnsi="Times New Roman"/>
          <w:b/>
          <w:bCs/>
          <w:sz w:val="20"/>
          <w:szCs w:val="20"/>
        </w:rPr>
        <w:t xml:space="preserve">Table A4b</w:t>
      </w:r>
      <w:r>
        <w:rPr>
          <w:rFonts w:ascii="Times New Roman" w:cs="Times New Roman" w:eastAsia="Times New Roman" w:hAnsi="Times New Roman"/>
          <w:sz w:val="20"/>
          <w:szCs w:val="20"/>
        </w:rPr>
        <w:t xml:space="preserve"> All three margins under alternative weighting schemes and missing-data coding (odds ratios; risk ratios for overall payment)</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64"/>
        <w:gridCol w:w="1838"/>
        <w:gridCol w:w="1852"/>
        <w:gridCol w:w="1921"/>
        <w:gridCol w:w="995"/>
      </w:tblGrid>
      <w:tr>
        <w:trPr>
          <w:tblHeader/>
        </w:trPr>
        <w:tc>
          <w:tcPr>
            <w:tcW w:type="dxa" w:w="2464"/>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Weights or coding</w:t>
            </w:r>
          </w:p>
        </w:tc>
        <w:tc>
          <w:tcPr>
            <w:tcW w:type="dxa" w:w="1838"/>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Targeting OR (95% CI)</w:t>
            </w:r>
          </w:p>
        </w:tc>
        <w:tc>
          <w:tcPr>
            <w:tcW w:type="dxa" w:w="1852"/>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Conversion OR (95% CI)</w:t>
            </w:r>
          </w:p>
        </w:tc>
        <w:tc>
          <w:tcPr>
            <w:tcW w:type="dxa" w:w="1921"/>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Overall payment OR (95% CI)</w:t>
            </w:r>
          </w:p>
        </w:tc>
        <w:tc>
          <w:tcPr>
            <w:tcW w:type="dxa" w:w="995"/>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Overall payment RR</w:t>
            </w:r>
          </w:p>
        </w:tc>
      </w:tr>
      <w:tr>
        <w:trPr>
          <w:tblHeader w:val="false"/>
        </w:trPr>
        <w:tc>
          <w:tcPr>
            <w:tcW w:type="dxa" w:w="24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Survey weights (main)</w:t>
            </w:r>
          </w:p>
        </w:tc>
        <w:tc>
          <w:tcPr>
            <w:tcW w:type="dxa" w:w="18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1.30 (1.22–1.40)</w:t>
            </w:r>
          </w:p>
        </w:tc>
        <w:tc>
          <w:tcPr>
            <w:tcW w:type="dxa" w:w="185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1.44 (1.16–1.79)</w:t>
            </w:r>
          </w:p>
        </w:tc>
        <w:tc>
          <w:tcPr>
            <w:tcW w:type="dxa" w:w="19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1.87 (1.47–2.38)</w:t>
            </w:r>
          </w:p>
        </w:tc>
        <w:tc>
          <w:tcPr>
            <w:tcW w:type="dxa" w:w="99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1.83</w:t>
            </w:r>
          </w:p>
        </w:tc>
      </w:tr>
      <w:tr>
        <w:trPr>
          <w:tblHeader w:val="false"/>
        </w:trPr>
        <w:tc>
          <w:tcPr>
            <w:tcW w:type="dxa" w:w="24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Equal weight per economy</w:t>
            </w:r>
          </w:p>
        </w:tc>
        <w:tc>
          <w:tcPr>
            <w:tcW w:type="dxa" w:w="18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1.31 (1.22–1.41)</w:t>
            </w:r>
          </w:p>
        </w:tc>
        <w:tc>
          <w:tcPr>
            <w:tcW w:type="dxa" w:w="185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1.57 (1.19–2.07)</w:t>
            </w:r>
          </w:p>
        </w:tc>
        <w:tc>
          <w:tcPr>
            <w:tcW w:type="dxa" w:w="19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1.93 (1.49–2.49)</w:t>
            </w:r>
          </w:p>
        </w:tc>
        <w:tc>
          <w:tcPr>
            <w:tcW w:type="dxa" w:w="99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1.88</w:t>
            </w:r>
          </w:p>
        </w:tc>
      </w:tr>
      <w:tr>
        <w:trPr>
          <w:tblHeader w:val="false"/>
        </w:trPr>
        <w:tc>
          <w:tcPr>
            <w:tcW w:type="dxa" w:w="24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Unweighted</w:t>
            </w:r>
          </w:p>
        </w:tc>
        <w:tc>
          <w:tcPr>
            <w:tcW w:type="dxa" w:w="18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1.32 (1.24–1.40)</w:t>
            </w:r>
          </w:p>
        </w:tc>
        <w:tc>
          <w:tcPr>
            <w:tcW w:type="dxa" w:w="185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1.41 (1.19–1.68)</w:t>
            </w:r>
          </w:p>
        </w:tc>
        <w:tc>
          <w:tcPr>
            <w:tcW w:type="dxa" w:w="19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1.84 (1.53–2.21)</w:t>
            </w:r>
          </w:p>
        </w:tc>
        <w:tc>
          <w:tcPr>
            <w:tcW w:type="dxa" w:w="99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1.80</w:t>
            </w:r>
          </w:p>
        </w:tc>
      </w:tr>
      <w:tr>
        <w:trPr>
          <w:tblHeader w:val="false"/>
        </w:trPr>
        <w:tc>
          <w:tcPr>
            <w:tcW w:type="dxa" w:w="24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Population-scaled</w:t>
            </w:r>
          </w:p>
        </w:tc>
        <w:tc>
          <w:tcPr>
            <w:tcW w:type="dxa" w:w="18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1.51 (1.21–1.88)</w:t>
            </w:r>
          </w:p>
        </w:tc>
        <w:tc>
          <w:tcPr>
            <w:tcW w:type="dxa" w:w="185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2.60 (1.82–3.69)</w:t>
            </w:r>
          </w:p>
        </w:tc>
        <w:tc>
          <w:tcPr>
            <w:tcW w:type="dxa" w:w="19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3.31 (1.86–5.88)</w:t>
            </w:r>
          </w:p>
        </w:tc>
        <w:tc>
          <w:tcPr>
            <w:tcW w:type="dxa" w:w="99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3.18</w:t>
            </w:r>
          </w:p>
        </w:tc>
      </w:tr>
      <w:tr>
        <w:trPr>
          <w:tblHeader w:val="false"/>
        </w:trPr>
        <w:tc>
          <w:tcPr>
            <w:tcW w:type="dxa" w:w="24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Population-scaled, excluding India</w:t>
            </w:r>
          </w:p>
        </w:tc>
        <w:tc>
          <w:tcPr>
            <w:tcW w:type="dxa" w:w="18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1.33 (1.20–1.47)</w:t>
            </w:r>
          </w:p>
        </w:tc>
        <w:tc>
          <w:tcPr>
            <w:tcW w:type="dxa" w:w="185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1.82 (1.24–2.68)</w:t>
            </w:r>
          </w:p>
        </w:tc>
        <w:tc>
          <w:tcPr>
            <w:tcW w:type="dxa" w:w="19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2.10 (1.46–3.02)</w:t>
            </w:r>
          </w:p>
        </w:tc>
        <w:tc>
          <w:tcPr>
            <w:tcW w:type="dxa" w:w="99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2.04</w:t>
            </w:r>
          </w:p>
        </w:tc>
      </w:tr>
      <w:tr>
        <w:trPr>
          <w:tblHeader w:val="false"/>
        </w:trPr>
        <w:tc>
          <w:tcPr>
            <w:tcW w:type="dxa" w:w="24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Survey weights, excluding India</w:t>
            </w:r>
          </w:p>
        </w:tc>
        <w:tc>
          <w:tcPr>
            <w:tcW w:type="dxa" w:w="18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1.29 (1.21–1.38)</w:t>
            </w:r>
          </w:p>
        </w:tc>
        <w:tc>
          <w:tcPr>
            <w:tcW w:type="dxa" w:w="185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 (1.13–1.72)</w:t>
            </w:r>
          </w:p>
        </w:tc>
        <w:tc>
          <w:tcPr>
            <w:tcW w:type="dxa" w:w="19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1.78 (1.42–2.24)</w:t>
            </w:r>
          </w:p>
        </w:tc>
        <w:tc>
          <w:tcPr>
            <w:tcW w:type="dxa" w:w="99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1.74</w:t>
            </w:r>
          </w:p>
        </w:tc>
      </w:tr>
      <w:tr>
        <w:trPr>
          <w:tblHeader w:val="false"/>
        </w:trPr>
        <w:tc>
          <w:tcPr>
            <w:tcW w:type="dxa" w:w="2464"/>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Missing-indicator coding</w:t>
            </w:r>
          </w:p>
        </w:tc>
        <w:tc>
          <w:tcPr>
            <w:tcW w:type="dxa" w:w="1838"/>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1.31 (1.22–1.41)</w:t>
            </w:r>
          </w:p>
        </w:tc>
        <w:tc>
          <w:tcPr>
            <w:tcW w:type="dxa" w:w="1852"/>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1.42 (1.15–1.77)</w:t>
            </w:r>
          </w:p>
        </w:tc>
        <w:tc>
          <w:tcPr>
            <w:tcW w:type="dxa" w:w="1921"/>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1.88 (1.46–2.42)</w:t>
            </w:r>
          </w:p>
        </w:tc>
        <w:tc>
          <w:tcPr>
            <w:tcW w:type="dxa" w:w="995"/>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p>
        </w:tc>
      </w:tr>
    </w:tbl>
    <w:p>
      <w:pPr>
        <w:spacing w:after="240" w:before="60" w:line="240"/>
      </w:pPr>
      <w:r>
        <w:rPr>
          <w:rFonts w:ascii="Times New Roman" w:cs="Times New Roman" w:eastAsia="Times New Roman" w:hAnsi="Times New Roman"/>
          <w:sz w:val="18"/>
          <w:szCs w:val="18"/>
        </w:rPr>
        <w:t xml:space="preserve">Survey weights sum to the number of respondents within each economy, so the main estimand weights economies by sample size. Population-scaled weights rescale them to each economy's adult population; India holds about a third of the adult population of the 75 economies, and its own conversion premium is 15.1 pp (SE 7.1; 218 targeted respondents). Equal weights give each economy the same total weight. Conversion RRs: population-scaled 2.14; population-scaled without India 1.65 (1.20–2.26).</w:t>
      </w:r>
    </w:p>
    <w:p>
      <w:pPr>
        <w:keepNext/>
        <w:spacing w:after="80" w:before="200" w:line="276"/>
      </w:pPr>
      <w:r>
        <w:rPr>
          <w:rFonts w:ascii="Times New Roman" w:cs="Times New Roman" w:eastAsia="Times New Roman" w:hAnsi="Times New Roman"/>
          <w:b/>
          <w:bCs/>
          <w:sz w:val="20"/>
          <w:szCs w:val="20"/>
        </w:rPr>
        <w:t xml:space="preserve">Table A4c</w:t>
      </w:r>
      <w:r>
        <w:rPr>
          <w:rFonts w:ascii="Times New Roman" w:cs="Times New Roman" w:eastAsia="Times New Roman" w:hAnsi="Times New Roman"/>
          <w:sz w:val="20"/>
          <w:szCs w:val="20"/>
        </w:rPr>
        <w:t xml:space="preserve"> Remittances: control, subsample and interaction (odds ratios for a digitally enabled account)</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981"/>
        <w:gridCol w:w="1324"/>
        <w:gridCol w:w="1385"/>
        <w:gridCol w:w="1345"/>
        <w:gridCol w:w="1630"/>
        <w:gridCol w:w="1549"/>
        <w:gridCol w:w="856"/>
      </w:tblGrid>
      <w:tr>
        <w:trPr>
          <w:tblHeader/>
        </w:trPr>
        <w:tc>
          <w:tcPr>
            <w:tcW w:type="dxa" w:w="981"/>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Margin</w:t>
            </w:r>
          </w:p>
        </w:tc>
        <w:tc>
          <w:tcPr>
            <w:tcW w:type="dxa" w:w="1324"/>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Remittance sample</w:t>
            </w:r>
          </w:p>
        </w:tc>
        <w:tc>
          <w:tcPr>
            <w:tcW w:type="dxa" w:w="1385"/>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 remittance control</w:t>
            </w:r>
          </w:p>
        </w:tc>
        <w:tc>
          <w:tcPr>
            <w:tcW w:type="dxa" w:w="1345"/>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Non-remitters only</w:t>
            </w:r>
          </w:p>
        </w:tc>
        <w:tc>
          <w:tcPr>
            <w:tcW w:type="dxa" w:w="1630"/>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Non-remitters, interaction model</w:t>
            </w:r>
          </w:p>
        </w:tc>
        <w:tc>
          <w:tcPr>
            <w:tcW w:type="dxa" w:w="1549"/>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Remitters, interaction model</w:t>
            </w:r>
          </w:p>
        </w:tc>
        <w:tc>
          <w:tcPr>
            <w:tcW w:type="dxa" w:w="856"/>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Ratio (p)</w:t>
            </w:r>
          </w:p>
        </w:tc>
      </w:tr>
      <w:tr>
        <w:trPr>
          <w:tblHeader w:val="false"/>
        </w:trPr>
        <w:tc>
          <w:tcPr>
            <w:tcW w:type="dxa" w:w="98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w:t>
            </w:r>
          </w:p>
        </w:tc>
        <w:tc>
          <w:tcPr>
            <w:tcW w:type="dxa" w:w="132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1.30 (1.22–1.40)</w:t>
            </w:r>
          </w:p>
        </w:tc>
        <w:tc>
          <w:tcPr>
            <w:tcW w:type="dxa" w:w="13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1.19 (1.12–1.28)</w:t>
            </w:r>
          </w:p>
        </w:tc>
        <w:tc>
          <w:tcPr>
            <w:tcW w:type="dxa" w:w="134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1.10 (1.00–1.20)</w:t>
            </w:r>
          </w:p>
        </w:tc>
        <w:tc>
          <w:tcPr>
            <w:tcW w:type="dxa" w:w="163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1.16 (1.05–1.28)</w:t>
            </w:r>
          </w:p>
        </w:tc>
        <w:tc>
          <w:tcPr>
            <w:tcW w:type="dxa" w:w="15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1.22 (1.11–1.35)</w:t>
            </w:r>
          </w:p>
        </w:tc>
        <w:tc>
          <w:tcPr>
            <w:tcW w:type="dxa" w:w="85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1.06 (0.45)</w:t>
            </w:r>
          </w:p>
        </w:tc>
      </w:tr>
      <w:tr>
        <w:trPr>
          <w:tblHeader w:val="false"/>
        </w:trPr>
        <w:tc>
          <w:tcPr>
            <w:tcW w:type="dxa" w:w="98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w:t>
            </w:r>
          </w:p>
        </w:tc>
        <w:tc>
          <w:tcPr>
            <w:tcW w:type="dxa" w:w="132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1.45 (1.17–1.80)</w:t>
            </w:r>
          </w:p>
        </w:tc>
        <w:tc>
          <w:tcPr>
            <w:tcW w:type="dxa" w:w="13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1.42 (1.16–1.74)</w:t>
            </w:r>
          </w:p>
        </w:tc>
        <w:tc>
          <w:tcPr>
            <w:tcW w:type="dxa" w:w="134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1.16 (0.86–1.57)</w:t>
            </w:r>
          </w:p>
        </w:tc>
        <w:tc>
          <w:tcPr>
            <w:tcW w:type="dxa" w:w="163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1.38 (1.01–1.90)</w:t>
            </w:r>
          </w:p>
        </w:tc>
        <w:tc>
          <w:tcPr>
            <w:tcW w:type="dxa" w:w="15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1.44 (1.09–1.90)</w:t>
            </w:r>
          </w:p>
        </w:tc>
        <w:tc>
          <w:tcPr>
            <w:tcW w:type="dxa" w:w="85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1.04 (0.86)</w:t>
            </w:r>
          </w:p>
        </w:tc>
      </w:tr>
      <w:tr>
        <w:trPr>
          <w:tblHeader w:val="false"/>
        </w:trPr>
        <w:tc>
          <w:tcPr>
            <w:tcW w:type="dxa" w:w="981"/>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Overall payment</w:t>
            </w:r>
          </w:p>
        </w:tc>
        <w:tc>
          <w:tcPr>
            <w:tcW w:type="dxa" w:w="1324"/>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1.88 (1.48–2.39)</w:t>
            </w:r>
          </w:p>
        </w:tc>
        <w:tc>
          <w:tcPr>
            <w:tcW w:type="dxa" w:w="1385"/>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1.72 (1.37–2.15)</w:t>
            </w:r>
          </w:p>
        </w:tc>
        <w:tc>
          <w:tcPr>
            <w:tcW w:type="dxa" w:w="1345"/>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1.24 (0.90–1.70)</w:t>
            </w:r>
          </w:p>
        </w:tc>
        <w:tc>
          <w:tcPr>
            <w:tcW w:type="dxa" w:w="1630"/>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1.68 (1.22–2.32)</w:t>
            </w:r>
          </w:p>
        </w:tc>
        <w:tc>
          <w:tcPr>
            <w:tcW w:type="dxa" w:w="1549"/>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1.74 (1.31–2.29)</w:t>
            </w:r>
          </w:p>
        </w:tc>
        <w:tc>
          <w:tcPr>
            <w:tcW w:type="dxa" w:w="856"/>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1.03 (0.88)</w:t>
            </w:r>
          </w:p>
        </w:tc>
      </w:tr>
    </w:tbl>
    <w:p>
      <w:pPr>
        <w:spacing w:after="240" w:before="60" w:line="240"/>
      </w:pPr>
      <w:r>
        <w:rPr>
          <w:rFonts w:ascii="Times New Roman" w:cs="Times New Roman" w:eastAsia="Times New Roman" w:hAnsi="Times New Roman"/>
          <w:sz w:val="18"/>
          <w:szCs w:val="18"/>
        </w:rPr>
        <w:t xml:space="preserve">Non-remitter samples: targeting 29,756, conversion 4,449, overall payment 27,456. Remittance use: sent or received a domestic remittance, or received an international one, in the past year (items fh1, fh2, fh2a; weighted share 50% of phone owners). The interaction model adds remittance use and its product with the account indicator to the main model. Remittances may themselves follow from account ownership, so the control is a bracket, not a preferred specification.</w:t>
      </w:r>
    </w:p>
    <w:p>
      <w:pPr>
        <w:pStyle w:val="Heading1"/>
        <w:keepNext/>
        <w:spacing w:after="120" w:before="280"/>
      </w:pPr>
      <w:r>
        <w:rPr>
          <w:rFonts w:ascii="Times New Roman" w:cs="Times New Roman" w:eastAsia="Times New Roman" w:hAnsi="Times New Roman"/>
          <w:b/>
          <w:bCs/>
          <w:sz w:val="24"/>
          <w:szCs w:val="24"/>
        </w:rPr>
        <w:t xml:space="preserve">A5 Conversion Premium by Subgroup and by Economy</w:t>
      </w:r>
    </w:p>
    <w:p>
      <w:pPr>
        <w:keepNext/>
        <w:spacing w:after="80" w:before="200" w:line="276"/>
      </w:pPr>
      <w:r>
        <w:rPr>
          <w:rFonts w:ascii="Times New Roman" w:cs="Times New Roman" w:eastAsia="Times New Roman" w:hAnsi="Times New Roman"/>
          <w:b/>
          <w:bCs/>
          <w:sz w:val="20"/>
          <w:szCs w:val="20"/>
        </w:rPr>
        <w:t xml:space="preserve">Table A5</w:t>
      </w:r>
      <w:r>
        <w:rPr>
          <w:rFonts w:ascii="Times New Roman" w:cs="Times New Roman" w:eastAsia="Times New Roman" w:hAnsi="Times New Roman"/>
          <w:sz w:val="20"/>
          <w:szCs w:val="20"/>
        </w:rPr>
        <w:t xml:space="preserve"> Conversion premium (percentage points) by subgroup, and economy-level meta-analysis</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3974"/>
        <w:gridCol w:w="1960"/>
        <w:gridCol w:w="1764"/>
        <w:gridCol w:w="1372"/>
      </w:tblGrid>
      <w:tr>
        <w:trPr>
          <w:tblHeader/>
        </w:trPr>
        <w:tc>
          <w:tcPr>
            <w:tcW w:type="dxa" w:w="3974"/>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Group</w:t>
            </w:r>
          </w:p>
        </w:tc>
        <w:tc>
          <w:tcPr>
            <w:tcW w:type="dxa" w:w="1960"/>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Premium, pp</w:t>
            </w:r>
          </w:p>
        </w:tc>
        <w:tc>
          <w:tcPr>
            <w:tcW w:type="dxa" w:w="1764"/>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95% CI</w:t>
            </w:r>
          </w:p>
        </w:tc>
        <w:tc>
          <w:tcPr>
            <w:tcW w:type="dxa" w:w="1372"/>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p</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Men</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2.9</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0.9–4.9</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0.005</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Women</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2.1</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0.6–3.5</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0.005</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Difference, women − men</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−2.9 to 1.3</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0.446</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Under 60</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2.4</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0.9–3.9</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0.002</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60 and older</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3.8</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0.6–7.1</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0.021</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Difference, 60 and older − under 60</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−2.0 to 4.9</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0.410</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Secondary education or more</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2.1</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0.7–3.5</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0.004</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Primary education or less</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3.1</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0.4–5.7</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0.023</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Difference, primary or less − secondary or more</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−1.9 to 4.0</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0.492</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Urban</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−0.2 to 3.2</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0.082</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Rural</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3.2</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1.2–5.2</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0.002</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Difference, rural − urban</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1.7</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 to 4.2</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0.173</w:t>
            </w:r>
          </w:p>
        </w:tc>
      </w:tr>
      <w:tr>
        <w:trPr>
          <w:tblHeader w:val="false"/>
        </w:trPr>
        <w:tc>
          <w:tcPr>
            <w:tcW w:type="dxa" w:w="397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Meta-analysis, targeting (75 economies)</w:t>
            </w:r>
          </w:p>
        </w:tc>
        <w:tc>
          <w:tcPr>
            <w:tcW w:type="dxa" w:w="196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3.0</w:t>
            </w:r>
          </w:p>
        </w:tc>
        <w:tc>
          <w:tcPr>
            <w:tcW w:type="dxa" w:w="176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2.0–4.1</w:t>
            </w:r>
          </w:p>
        </w:tc>
        <w:tc>
          <w:tcPr>
            <w:tcW w:type="dxa" w:w="137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I² = 31%; Q p = 0.007</w:t>
            </w:r>
          </w:p>
        </w:tc>
      </w:tr>
      <w:tr>
        <w:trPr>
          <w:tblHeader w:val="false"/>
        </w:trPr>
        <w:tc>
          <w:tcPr>
            <w:tcW w:type="dxa" w:w="3974"/>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Meta-analysis, conversion (58 economies)</w:t>
            </w:r>
          </w:p>
        </w:tc>
        <w:tc>
          <w:tcPr>
            <w:tcW w:type="dxa" w:w="1960"/>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1.9</w:t>
            </w:r>
          </w:p>
        </w:tc>
        <w:tc>
          <w:tcPr>
            <w:tcW w:type="dxa" w:w="1764"/>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0.7–3.1</w:t>
            </w:r>
          </w:p>
        </w:tc>
        <w:tc>
          <w:tcPr>
            <w:tcW w:type="dxa" w:w="1372"/>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I² = 7%; Q p = 0.321</w:t>
            </w:r>
          </w:p>
        </w:tc>
      </w:tr>
    </w:tbl>
    <w:p>
      <w:pPr>
        <w:spacing w:after="240" w:before="60" w:line="240"/>
      </w:pPr>
      <w:r>
        <w:rPr>
          <w:rFonts w:ascii="Times New Roman" w:cs="Times New Roman" w:eastAsia="Times New Roman" w:hAnsi="Times New Roman"/>
          <w:sz w:val="18"/>
          <w:szCs w:val="18"/>
        </w:rPr>
        <w:t xml:space="preserve">Subgroup premiums are average marginal effects of a digitally enabled account on sending money once targeted, from models with an interaction and all controls. Meta-analysis: per-economy weighted linear probability models with the main controls and HC1 standard errors, pooled by DerSimonian–Laird random effects; inclusion requires at least 300 respondents and 20 targeted (targeting) or 60 targeted and 5 payment events (conversion). Share of economy estimates that are positive: targeting 79%, conversion 67%; none is significantly negative. Prediction intervals: targeting −1.9 to 8.0 pp, conversion −0.8 to 4.6 pp. Economy estimates are shown in Figs. S1 and S2.</w:t>
      </w:r>
    </w:p>
    <w:p>
      <w:pPr>
        <w:pStyle w:val="Heading1"/>
        <w:keepNext/>
        <w:spacing w:after="120" w:before="280"/>
      </w:pPr>
      <w:r>
        <w:rPr>
          <w:rFonts w:ascii="Times New Roman" w:cs="Times New Roman" w:eastAsia="Times New Roman" w:hAnsi="Times New Roman"/>
          <w:b/>
          <w:bCs/>
          <w:sz w:val="24"/>
          <w:szCs w:val="24"/>
        </w:rPr>
        <w:t xml:space="preserve">A6 Exposure: Sensitivity and Convergent Outcomes</w:t>
      </w:r>
    </w:p>
    <w:p>
      <w:pPr>
        <w:keepNext/>
        <w:spacing w:after="80" w:before="200" w:line="276"/>
      </w:pPr>
      <w:r>
        <w:rPr>
          <w:rFonts w:ascii="Times New Roman" w:cs="Times New Roman" w:eastAsia="Times New Roman" w:hAnsi="Times New Roman"/>
          <w:b/>
          <w:bCs/>
          <w:sz w:val="20"/>
          <w:szCs w:val="20"/>
        </w:rPr>
        <w:t xml:space="preserve">Table A6</w:t>
      </w:r>
      <w:r>
        <w:rPr>
          <w:rFonts w:ascii="Times New Roman" w:cs="Times New Roman" w:eastAsia="Times New Roman" w:hAnsi="Times New Roman"/>
          <w:sz w:val="20"/>
          <w:szCs w:val="20"/>
        </w:rPr>
        <w:t xml:space="preserve"> Sensitivity of the targeting premium and convergent outcomes</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867"/>
        <w:gridCol w:w="954"/>
        <w:gridCol w:w="3249"/>
      </w:tblGrid>
      <w:tr>
        <w:trPr>
          <w:tblHeader/>
        </w:trPr>
        <w:tc>
          <w:tcPr>
            <w:tcW w:type="dxa" w:w="4867"/>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Analysis</w:t>
            </w:r>
          </w:p>
        </w:tc>
        <w:tc>
          <w:tcPr>
            <w:tcW w:type="dxa" w:w="954"/>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Estimate</w:t>
            </w:r>
          </w:p>
        </w:tc>
        <w:tc>
          <w:tcPr>
            <w:tcW w:type="dxa" w:w="3249"/>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Detail</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Oster bound (R² including fixed effects), short model: adoption only; Rmax = 1.3 × R²</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δ = 1.09</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β* at δ = 1: 0.003 (β = 0.041)</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Oster bound (R² including fixed effects), short model: adoption only; Rmax = 2.0 × R²</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δ = 0.33</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β* at δ = 1: −0.084 (β = 0.041)</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Oster bound (R² including fixed effects), short model: adoption + economy FE; Rmax = 1.3 × R²</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δ = 0.38</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β* at δ = 1: −0.066 (β = 0.041)</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Oster bound (R² including fixed effects), short model: adoption + economy FE; Rmax = 2.0 × R²</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δ = 0.11</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β* at δ = 1: −0.315 (β = 0.041)</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Cinelli–Hazlett robustness value</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4.3%</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3.5% at α = 0.05; smartphone partial R² with outcome 0.08%</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Augmented inverse-probability weighting, ATE (pp)</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4.47</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95% CI 3.18–5.76; 774 observations trimmed (propensity outside 0.01–0.99)</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Specification curve (Fig. S3)</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36 of 36 positive</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 account measures × 3 control sets × weighted/unweighted × logit/LPM; AMEs 4.05–7.64 pp, all p &lt; 0.05</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 premium difference, women vs men (pp)</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0.43</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95% CI −1.28 to 2.14; p = 0.618</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 premium difference, 60 and older vs under 60 (pp)</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−1.49</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95% CI −3.86 to 0.88; p = 0.214</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 premium difference, rural vs urban (pp)</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0.84</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95% CI −1.00 to 2.67; p = 0.366</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 premium difference, primary or less vs secondary or more (pp)</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2.25</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95% CI 0.48–4.02; p = 0.014</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Smartphone: OR for request for money / unwanted messages</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0.79 / 1.28</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 &lt; 0.001 / p = 0.006</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Online activities (per activity): OR for request for money / unwanted messages</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1.19 / 1.31</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 &lt; 0.001 / p &lt; 0.001</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Has sent a text message: OR for request for money / unwanted messages</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1.43 / 1.37</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 &lt; 0.001 / p &lt; 0.001</w:t>
            </w:r>
          </w:p>
        </w:tc>
      </w:tr>
      <w:tr>
        <w:trPr>
          <w:tblHeader w:val="false"/>
        </w:trPr>
        <w:tc>
          <w:tcPr>
            <w:tcW w:type="dxa" w:w="486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Identity misuse, ID owners (OR, digitally enabled account)</w:t>
            </w:r>
          </w:p>
        </w:tc>
        <w:tc>
          <w:tcPr>
            <w:tcW w:type="dxa" w:w="9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1.35</w:t>
            </w:r>
          </w:p>
        </w:tc>
        <w:tc>
          <w:tcPr>
            <w:tcW w:type="dxa" w:w="324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95% CI 1.08–1.68; N = 54,086; base rate 3.5%</w:t>
            </w:r>
          </w:p>
        </w:tc>
      </w:tr>
      <w:tr>
        <w:trPr>
          <w:tblHeader w:val="false"/>
        </w:trPr>
        <w:tc>
          <w:tcPr>
            <w:tcW w:type="dxa" w:w="4867"/>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PIN or password request, mobile money owners (OR per intensity step)</w:t>
            </w:r>
          </w:p>
        </w:tc>
        <w:tc>
          <w:tcPr>
            <w:tcW w:type="dxa" w:w="954"/>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1.17</w:t>
            </w:r>
          </w:p>
        </w:tc>
        <w:tc>
          <w:tcPr>
            <w:tcW w:type="dxa" w:w="3249"/>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95% CI 1.09–1.25; N = 15,398; base rate 34.5%</w:t>
            </w:r>
          </w:p>
        </w:tc>
      </w:tr>
    </w:tbl>
    <w:p>
      <w:pPr>
        <w:spacing w:after="240" w:before="60" w:line="240"/>
      </w:pPr>
      <w:r>
        <w:rPr>
          <w:rFonts w:ascii="Times New Roman" w:cs="Times New Roman" w:eastAsia="Times New Roman" w:hAnsi="Times New Roman"/>
          <w:sz w:val="18"/>
          <w:szCs w:val="18"/>
        </w:rPr>
        <w:t xml:space="preserve">Exposure-stage sample (N = 62,897). Oster bounds use the linear probability model; δ is the ratio of selection on unobservables to selection on observables needed for a zero effect. The education difference in the targeting premium is reported for completeness and is not interpreted in the article.</w:t>
      </w:r>
    </w:p>
    <w:p>
      <w:pPr>
        <w:keepNext/>
        <w:spacing w:after="80" w:before="200" w:line="276"/>
      </w:pPr>
      <w:r>
        <w:rPr>
          <w:rFonts w:ascii="Times New Roman" w:cs="Times New Roman" w:eastAsia="Times New Roman" w:hAnsi="Times New Roman"/>
          <w:b/>
          <w:bCs/>
          <w:sz w:val="20"/>
          <w:szCs w:val="20"/>
        </w:rPr>
        <w:t xml:space="preserve">Table A6b</w:t>
      </w:r>
      <w:r>
        <w:rPr>
          <w:rFonts w:ascii="Times New Roman" w:cs="Times New Roman" w:eastAsia="Times New Roman" w:hAnsi="Times New Roman"/>
          <w:sz w:val="20"/>
          <w:szCs w:val="20"/>
        </w:rPr>
        <w:t xml:space="preserve"> Coefficient-stability bounds with R² net of economy fixed effects, targeting and conversion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78"/>
        <w:gridCol w:w="3084"/>
        <w:gridCol w:w="1651"/>
        <w:gridCol w:w="1857"/>
      </w:tblGrid>
      <w:tr>
        <w:trPr>
          <w:tblHeader/>
        </w:trPr>
        <w:tc>
          <w:tcPr>
            <w:tcW w:type="dxa" w:w="2478"/>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Margin</w:t>
            </w:r>
          </w:p>
        </w:tc>
        <w:tc>
          <w:tcPr>
            <w:tcW w:type="dxa" w:w="3084"/>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Rmax</w:t>
            </w:r>
          </w:p>
        </w:tc>
        <w:tc>
          <w:tcPr>
            <w:tcW w:type="dxa" w:w="1651"/>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δ for a zero effect</w:t>
            </w:r>
          </w:p>
        </w:tc>
        <w:tc>
          <w:tcPr>
            <w:tcW w:type="dxa" w:w="1857"/>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β* at δ = 1 (pp)</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 × within R² (0.046)</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1.79</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1.78</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 × within R² (0.070)</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0.54</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−3.47</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 × within R² (0.105)</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0.27</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−10.98</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0.10 (0.100)</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0.29</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−9.80</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0.20 (0.200)</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0.11</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−31.14</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0.30 (0.300)</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0.07</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−52.48</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0.50 (0.500)</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0.04</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−95.15</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1.00 (1.000)</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0.02</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−201.83</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 × within R² (0.014)</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51.74</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2.41</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 × within R² (0.021)</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15.52</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2.30</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 × within R² (0.032)</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7.76</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2.14</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0.10 (0.100)</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1.83</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1.12</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0.20 (0.200)</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0.87</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−0.38</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0.30 (0.300)</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0.57</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−1.88</w:t>
            </w:r>
          </w:p>
        </w:tc>
      </w:tr>
      <w:tr>
        <w:trPr>
          <w:tblHeader w:val="false"/>
        </w:trPr>
        <w:tc>
          <w:tcPr>
            <w:tcW w:type="dxa" w:w="247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w:t>
            </w:r>
          </w:p>
        </w:tc>
        <w:tc>
          <w:tcPr>
            <w:tcW w:type="dxa" w:w="3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0.50 (0.500)</w:t>
            </w:r>
          </w:p>
        </w:tc>
        <w:tc>
          <w:tcPr>
            <w:tcW w:type="dxa" w:w="165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0.33</w:t>
            </w:r>
          </w:p>
        </w:tc>
        <w:tc>
          <w:tcPr>
            <w:tcW w:type="dxa" w:w="185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−4.88</w:t>
            </w:r>
          </w:p>
        </w:tc>
      </w:tr>
      <w:tr>
        <w:trPr>
          <w:tblHeader w:val="false"/>
        </w:trPr>
        <w:tc>
          <w:tcPr>
            <w:tcW w:type="dxa" w:w="2478"/>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w:t>
            </w:r>
          </w:p>
        </w:tc>
        <w:tc>
          <w:tcPr>
            <w:tcW w:type="dxa" w:w="3084"/>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1.00 (1.000)</w:t>
            </w:r>
          </w:p>
        </w:tc>
        <w:tc>
          <w:tcPr>
            <w:tcW w:type="dxa" w:w="1651"/>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0.17</w:t>
            </w:r>
          </w:p>
        </w:tc>
        <w:tc>
          <w:tcPr>
            <w:tcW w:type="dxa" w:w="1857"/>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−12.37</w:t>
            </w:r>
          </w:p>
        </w:tc>
      </w:tr>
    </w:tbl>
    <w:p>
      <w:pPr>
        <w:spacing w:after="240" w:before="60" w:line="240"/>
      </w:pPr>
      <w:r>
        <w:rPr>
          <w:rFonts w:ascii="Times New Roman" w:cs="Times New Roman" w:eastAsia="Times New Roman" w:hAnsi="Times New Roman"/>
          <w:sz w:val="18"/>
          <w:szCs w:val="18"/>
        </w:rPr>
        <w:t xml:space="preserve">Linear probability models with economy fixed effects; within R² is the R² relative to a model with economy fixed effects only. Short model: account indicator and fixed effects; long model: all controls. Targeting: β short 9.13 pp, long 4.03 pp, within R² 0.0113 → 0.0352. Conversion: β short 2.59 pp, long 2.46 pp, within R² 0.0017 → 0.0106. Cinelli–Hazlett robustness value for conversion: 3.6% (2.0% at α = 0.05); benchmark, number of online activities: partial R² 0.14% with conversion and 1.67% with account ownership.</w:t>
      </w:r>
    </w:p>
    <w:p>
      <w:pPr>
        <w:pStyle w:val="Heading1"/>
        <w:keepNext/>
        <w:spacing w:after="120" w:before="280"/>
      </w:pPr>
      <w:r>
        <w:rPr>
          <w:rFonts w:ascii="Times New Roman" w:cs="Times New Roman" w:eastAsia="Times New Roman" w:hAnsi="Times New Roman"/>
          <w:b/>
          <w:bCs/>
          <w:sz w:val="24"/>
          <w:szCs w:val="24"/>
        </w:rPr>
        <w:t xml:space="preserve">A7 Phone Lock Diagnostics</w:t>
      </w:r>
    </w:p>
    <w:p>
      <w:pPr>
        <w:keepNext/>
        <w:spacing w:after="80" w:before="200" w:line="276"/>
      </w:pPr>
      <w:r>
        <w:rPr>
          <w:rFonts w:ascii="Times New Roman" w:cs="Times New Roman" w:eastAsia="Times New Roman" w:hAnsi="Times New Roman"/>
          <w:b/>
          <w:bCs/>
          <w:sz w:val="20"/>
          <w:szCs w:val="20"/>
        </w:rPr>
        <w:t xml:space="preserve">Table A7</w:t>
      </w:r>
      <w:r>
        <w:rPr>
          <w:rFonts w:ascii="Times New Roman" w:cs="Times New Roman" w:eastAsia="Times New Roman" w:hAnsi="Times New Roman"/>
          <w:sz w:val="20"/>
          <w:szCs w:val="20"/>
        </w:rPr>
        <w:t xml:space="preserve"> Phone lock (PIN, password or fingerprint) and sending money</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3948"/>
        <w:gridCol w:w="2500"/>
        <w:gridCol w:w="2622"/>
      </w:tblGrid>
      <w:tr>
        <w:trPr>
          <w:tblHeader/>
        </w:trPr>
        <w:tc>
          <w:tcPr>
            <w:tcW w:type="dxa" w:w="3948"/>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Controls</w:t>
            </w:r>
          </w:p>
        </w:tc>
        <w:tc>
          <w:tcPr>
            <w:tcW w:type="dxa" w:w="2500"/>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Conversion OR (95% CI)</w:t>
            </w:r>
          </w:p>
        </w:tc>
        <w:tc>
          <w:tcPr>
            <w:tcW w:type="dxa" w:w="2622"/>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Overall payment OR (95% CI)</w:t>
            </w:r>
          </w:p>
        </w:tc>
      </w:tr>
      <w:tr>
        <w:trPr>
          <w:tblHeader w:val="false"/>
        </w:trPr>
        <w:tc>
          <w:tcPr>
            <w:tcW w:type="dxa" w:w="394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Demographics</w:t>
            </w:r>
          </w:p>
        </w:tc>
        <w:tc>
          <w:tcPr>
            <w:tcW w:type="dxa" w:w="250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1.41 (1.14–1.74)</w:t>
            </w:r>
          </w:p>
        </w:tc>
        <w:tc>
          <w:tcPr>
            <w:tcW w:type="dxa" w:w="262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2.00 (1.59–2.51)</w:t>
            </w:r>
          </w:p>
        </w:tc>
      </w:tr>
      <w:tr>
        <w:trPr>
          <w:tblHeader w:val="false"/>
        </w:trPr>
        <w:tc>
          <w:tcPr>
            <w:tcW w:type="dxa" w:w="394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 phone and internet use</w:t>
            </w:r>
          </w:p>
        </w:tc>
        <w:tc>
          <w:tcPr>
            <w:tcW w:type="dxa" w:w="250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1.42 (1.16–1.75)</w:t>
            </w:r>
          </w:p>
        </w:tc>
        <w:tc>
          <w:tcPr>
            <w:tcW w:type="dxa" w:w="262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1.85 (1.49–2.30)</w:t>
            </w:r>
          </w:p>
        </w:tc>
      </w:tr>
      <w:tr>
        <w:trPr>
          <w:tblHeader w:val="false"/>
        </w:trPr>
        <w:tc>
          <w:tcPr>
            <w:tcW w:type="dxa" w:w="394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 smartphone, online activities, texting</w:t>
            </w:r>
          </w:p>
        </w:tc>
        <w:tc>
          <w:tcPr>
            <w:tcW w:type="dxa" w:w="250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1.38 (1.11–1.73)</w:t>
            </w:r>
          </w:p>
        </w:tc>
        <w:tc>
          <w:tcPr>
            <w:tcW w:type="dxa" w:w="262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1.70 (1.35–2.14)</w:t>
            </w:r>
          </w:p>
        </w:tc>
      </w:tr>
      <w:tr>
        <w:trPr>
          <w:tblHeader w:val="false"/>
        </w:trPr>
        <w:tc>
          <w:tcPr>
            <w:tcW w:type="dxa" w:w="394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 digital account</w:t>
            </w:r>
          </w:p>
        </w:tc>
        <w:tc>
          <w:tcPr>
            <w:tcW w:type="dxa" w:w="250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1.36 (1.09–1.70)</w:t>
            </w:r>
          </w:p>
        </w:tc>
        <w:tc>
          <w:tcPr>
            <w:tcW w:type="dxa" w:w="262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1.64 (1.31–2.06)</w:t>
            </w:r>
          </w:p>
        </w:tc>
      </w:tr>
      <w:tr>
        <w:trPr>
          <w:tblHeader w:val="false"/>
        </w:trPr>
        <w:tc>
          <w:tcPr>
            <w:tcW w:type="dxa" w:w="3948"/>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All controls; stricter measure (lock the respondent can change)</w:t>
            </w:r>
          </w:p>
        </w:tc>
        <w:tc>
          <w:tcPr>
            <w:tcW w:type="dxa" w:w="2500"/>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1.19 (0.99–1.42)</w:t>
            </w:r>
          </w:p>
        </w:tc>
        <w:tc>
          <w:tcPr>
            <w:tcW w:type="dxa" w:w="2622"/>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1.35 (1.13–1.60)</w:t>
            </w:r>
          </w:p>
        </w:tc>
      </w:tr>
    </w:tbl>
    <w:p>
      <w:pPr>
        <w:spacing w:after="240" w:before="60" w:line="240"/>
      </w:pPr>
      <w:r>
        <w:rPr>
          <w:rFonts w:ascii="Times New Roman" w:cs="Times New Roman" w:eastAsia="Times New Roman" w:hAnsi="Times New Roman"/>
          <w:sz w:val="18"/>
          <w:szCs w:val="18"/>
        </w:rPr>
        <w:t xml:space="preserve">Rows add controls cumulatively. Linear probability model of conversion: 2.17 pp, restricted wild cluster bootstrap p = 0.006 (999 replications, 75 clusters). Phone lock and targeting: OR 1.26 (1.17–1.37).</w:t>
      </w:r>
    </w:p>
    <w:p>
      <w:pPr>
        <w:pStyle w:val="Heading1"/>
        <w:keepNext/>
        <w:spacing w:after="120" w:before="280"/>
      </w:pPr>
      <w:r>
        <w:rPr>
          <w:rFonts w:ascii="Times New Roman" w:cs="Times New Roman" w:eastAsia="Times New Roman" w:hAnsi="Times New Roman"/>
          <w:b/>
          <w:bCs/>
          <w:sz w:val="24"/>
          <w:szCs w:val="24"/>
        </w:rPr>
        <w:t xml:space="preserve">A8 Comparing the Two Margins</w:t>
      </w:r>
    </w:p>
    <w:p>
      <w:pPr>
        <w:keepNext/>
        <w:spacing w:after="80" w:before="200" w:line="276"/>
      </w:pPr>
      <w:r>
        <w:rPr>
          <w:rFonts w:ascii="Times New Roman" w:cs="Times New Roman" w:eastAsia="Times New Roman" w:hAnsi="Times New Roman"/>
          <w:b/>
          <w:bCs/>
          <w:sz w:val="20"/>
          <w:szCs w:val="20"/>
        </w:rPr>
        <w:t xml:space="preserve">Table A8</w:t>
      </w:r>
      <w:r>
        <w:rPr>
          <w:rFonts w:ascii="Times New Roman" w:cs="Times New Roman" w:eastAsia="Times New Roman" w:hAnsi="Times New Roman"/>
          <w:sz w:val="20"/>
          <w:szCs w:val="20"/>
        </w:rPr>
        <w:t xml:space="preserve"> Comparison of the two margins</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202"/>
        <w:gridCol w:w="1213"/>
        <w:gridCol w:w="1835"/>
        <w:gridCol w:w="1820"/>
      </w:tblGrid>
      <w:tr>
        <w:trPr>
          <w:tblHeader/>
        </w:trPr>
        <w:tc>
          <w:tcPr>
            <w:tcW w:type="dxa" w:w="4202"/>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Quantity</w:t>
            </w:r>
          </w:p>
        </w:tc>
        <w:tc>
          <w:tcPr>
            <w:tcW w:type="dxa" w:w="1213"/>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Estimate</w:t>
            </w:r>
          </w:p>
        </w:tc>
        <w:tc>
          <w:tcPr>
            <w:tcW w:type="dxa" w:w="1835"/>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95% CI (analytic, stacked equations)</w:t>
            </w:r>
          </w:p>
        </w:tc>
        <w:tc>
          <w:tcPr>
            <w:tcW w:type="dxa" w:w="1820"/>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95% CI (cluster bootstrap, 999 replications)</w:t>
            </w:r>
          </w:p>
        </w:tc>
      </w:tr>
      <w:tr>
        <w:trPr>
          <w:tblHeader w:val="false"/>
        </w:trPr>
        <w:tc>
          <w:tcPr>
            <w:tcW w:type="dxa" w:w="420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Log RR, targeting</w:t>
            </w:r>
          </w:p>
        </w:tc>
        <w:tc>
          <w:tcPr>
            <w:tcW w:type="dxa" w:w="121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0.180</w:t>
            </w:r>
          </w:p>
        </w:tc>
        <w:tc>
          <w:tcPr>
            <w:tcW w:type="dxa" w:w="183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0.132–0.227</w:t>
            </w:r>
          </w:p>
        </w:tc>
        <w:tc>
          <w:tcPr>
            <w:tcW w:type="dxa" w:w="182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0.130–0.223</w:t>
            </w:r>
          </w:p>
        </w:tc>
      </w:tr>
      <w:tr>
        <w:trPr>
          <w:tblHeader w:val="false"/>
        </w:trPr>
        <w:tc>
          <w:tcPr>
            <w:tcW w:type="dxa" w:w="420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Log RR, conversion</w:t>
            </w:r>
          </w:p>
        </w:tc>
        <w:tc>
          <w:tcPr>
            <w:tcW w:type="dxa" w:w="121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0.314</w:t>
            </w:r>
          </w:p>
        </w:tc>
        <w:tc>
          <w:tcPr>
            <w:tcW w:type="dxa" w:w="183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0.127–0.501</w:t>
            </w:r>
          </w:p>
        </w:tc>
        <w:tc>
          <w:tcPr>
            <w:tcW w:type="dxa" w:w="182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0.134–0.499</w:t>
            </w:r>
          </w:p>
        </w:tc>
      </w:tr>
      <w:tr>
        <w:trPr>
          <w:tblHeader w:val="false"/>
        </w:trPr>
        <w:tc>
          <w:tcPr>
            <w:tcW w:type="dxa" w:w="420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Log RR, overall payment (separate model)</w:t>
            </w:r>
          </w:p>
        </w:tc>
        <w:tc>
          <w:tcPr>
            <w:tcW w:type="dxa" w:w="121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0.605</w:t>
            </w:r>
          </w:p>
        </w:tc>
        <w:tc>
          <w:tcPr>
            <w:tcW w:type="dxa" w:w="183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0.372–0.837</w:t>
            </w:r>
          </w:p>
        </w:tc>
        <w:tc>
          <w:tcPr>
            <w:tcW w:type="dxa" w:w="182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0.374–0.838</w:t>
            </w:r>
          </w:p>
        </w:tc>
      </w:tr>
      <w:tr>
        <w:trPr>
          <w:tblHeader w:val="false"/>
        </w:trPr>
        <w:tc>
          <w:tcPr>
            <w:tcW w:type="dxa" w:w="420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Log RR conversion − log RR targeting</w:t>
            </w:r>
          </w:p>
        </w:tc>
        <w:tc>
          <w:tcPr>
            <w:tcW w:type="dxa" w:w="121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0.135</w:t>
            </w:r>
          </w:p>
        </w:tc>
        <w:tc>
          <w:tcPr>
            <w:tcW w:type="dxa" w:w="183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−0.048 to 0.317</w:t>
            </w:r>
          </w:p>
        </w:tc>
        <w:tc>
          <w:tcPr>
            <w:tcW w:type="dxa" w:w="182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−0.040 to 0.314</w:t>
            </w:r>
          </w:p>
        </w:tc>
      </w:tr>
      <w:tr>
        <w:trPr>
          <w:tblHeader w:val="false"/>
        </w:trPr>
        <w:tc>
          <w:tcPr>
            <w:tcW w:type="dxa" w:w="420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 share of overall log RR (separate overall model)</w:t>
            </w:r>
          </w:p>
        </w:tc>
        <w:tc>
          <w:tcPr>
            <w:tcW w:type="dxa" w:w="121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0.519</w:t>
            </w:r>
          </w:p>
        </w:tc>
        <w:tc>
          <w:tcPr>
            <w:tcW w:type="dxa" w:w="183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0.386–0.653</w:t>
            </w:r>
          </w:p>
        </w:tc>
        <w:tc>
          <w:tcPr>
            <w:tcW w:type="dxa" w:w="182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0.337–0.633</w:t>
            </w:r>
          </w:p>
        </w:tc>
      </w:tr>
      <w:tr>
        <w:trPr>
          <w:tblHeader w:val="false"/>
        </w:trPr>
        <w:tc>
          <w:tcPr>
            <w:tcW w:type="dxa" w:w="4202"/>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 share of overall log RR (separate overall model)</w:t>
            </w:r>
          </w:p>
        </w:tc>
        <w:tc>
          <w:tcPr>
            <w:tcW w:type="dxa" w:w="121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0.297</w:t>
            </w:r>
          </w:p>
        </w:tc>
        <w:tc>
          <w:tcPr>
            <w:tcW w:type="dxa" w:w="183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0.189–0.405</w:t>
            </w:r>
          </w:p>
        </w:tc>
        <w:tc>
          <w:tcPr>
            <w:tcW w:type="dxa" w:w="182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0.215–0.447</w:t>
            </w:r>
          </w:p>
        </w:tc>
      </w:tr>
      <w:tr>
        <w:trPr>
          <w:tblHeader w:val="false"/>
        </w:trPr>
        <w:tc>
          <w:tcPr>
            <w:tcW w:type="dxa" w:w="4202"/>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Share difference (conversion − targeting)</w:t>
            </w:r>
          </w:p>
        </w:tc>
        <w:tc>
          <w:tcPr>
            <w:tcW w:type="dxa" w:w="1213"/>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0.222</w:t>
            </w:r>
          </w:p>
        </w:tc>
        <w:tc>
          <w:tcPr>
            <w:tcW w:type="dxa" w:w="1835"/>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−0.010 to 0.455</w:t>
            </w:r>
          </w:p>
        </w:tc>
        <w:tc>
          <w:tcPr>
            <w:tcW w:type="dxa" w:w="1820"/>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p>
        </w:tc>
      </w:tr>
    </w:tbl>
    <w:p>
      <w:pPr>
        <w:spacing w:after="240" w:before="60" w:line="240"/>
      </w:pPr>
      <w:r>
        <w:rPr>
          <w:rFonts w:ascii="Times New Roman" w:cs="Times New Roman" w:eastAsia="Times New Roman" w:hAnsi="Times New Roman"/>
          <w:sz w:val="18"/>
          <w:szCs w:val="18"/>
        </w:rPr>
        <w:t xml:space="preserve">Analytic intervals: targeting, conversion and overall payment logits estimated as stacked estimating equations with one economy-clustered covariance matrix (75 clusters). Bootstrap intervals: percentile intervals from 999 economy-cluster replications (seed 20261009), all of which completed; duplicated economies receive distinct fixed effects. Ratio of conversion RR to targeting RR = 1.14 (0.95–1.37), analytic p = 0.15; two-sided bootstrap p for the difference = 0.14. The two kinds of interval are not interchangeable: the article cites analytic intervals for the stacked-equation shares and bootstrap intervals for the decompositions.</w:t>
      </w:r>
    </w:p>
    <w:p>
      <w:pPr>
        <w:keepNext/>
        <w:spacing w:after="80" w:before="200" w:line="276"/>
      </w:pPr>
      <w:r>
        <w:rPr>
          <w:rFonts w:ascii="Times New Roman" w:cs="Times New Roman" w:eastAsia="Times New Roman" w:hAnsi="Times New Roman"/>
          <w:b/>
          <w:bCs/>
          <w:sz w:val="20"/>
          <w:szCs w:val="20"/>
        </w:rPr>
        <w:t xml:space="preserve">Table A8b</w:t>
      </w:r>
      <w:r>
        <w:rPr>
          <w:rFonts w:ascii="Times New Roman" w:cs="Times New Roman" w:eastAsia="Times New Roman" w:hAnsi="Times New Roman"/>
          <w:sz w:val="20"/>
          <w:szCs w:val="20"/>
        </w:rPr>
        <w:t xml:space="preserve"> Decompositions of the overall payment gap</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5689"/>
        <w:gridCol w:w="1537"/>
        <w:gridCol w:w="1844"/>
      </w:tblGrid>
      <w:tr>
        <w:trPr>
          <w:tblHeader/>
        </w:trPr>
        <w:tc>
          <w:tcPr>
            <w:tcW w:type="dxa" w:w="5689"/>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Decomposition or quantity</w:t>
            </w:r>
          </w:p>
        </w:tc>
        <w:tc>
          <w:tcPr>
            <w:tcW w:type="dxa" w:w="1537"/>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Estimate</w:t>
            </w:r>
          </w:p>
        </w:tc>
        <w:tc>
          <w:tcPr>
            <w:tcW w:type="dxa" w:w="1844"/>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95% CI (cluster bootstrap)</w:t>
            </w:r>
          </w:p>
        </w:tc>
      </w:tr>
      <w:tr>
        <w:tc>
          <w:tcPr>
            <w:tcW w:type="dxa" w:w="9070"/>
            <w:gridSpan w:val="3"/>
            <w:tcBorders>
              <w:top w:val="none" w:color="FFFFFF" w:sz="0"/>
              <w:left w:val="none" w:color="FFFFFF" w:sz="0"/>
              <w:bottom w:val="none" w:color="FFFFFF" w:sz="0"/>
              <w:right w:val="none" w:color="FFFFFF" w:sz="0"/>
            </w:tcBorders>
            <w:tcMar>
              <w:top w:type="dxa" w:w="40"/>
              <w:left w:type="dxa" w:w="60"/>
              <w:bottom w:type="dxa" w:w="20"/>
              <w:right w:type="dxa" w:w="60"/>
            </w:tcMar>
          </w:tcPr>
          <w:p>
            <w:pPr>
              <w:spacing w:line="240"/>
            </w:pPr>
            <w:r>
              <w:rPr>
                <w:rFonts w:ascii="Times New Roman" w:cs="Times New Roman" w:eastAsia="Times New Roman" w:hAnsi="Times New Roman"/>
                <w:i/>
                <w:iCs/>
                <w:sz w:val="18"/>
                <w:szCs w:val="18"/>
              </w:rPr>
              <w:t xml:space="preserve">Two-part g-formula (main, Table 4)</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E11, holders (%)</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2.13</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1.73–2.55</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E00, others (%)</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1.29</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1.02–1.62</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E10, holders' targeting with others' conversion (%)</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1.55</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1.23–1.93</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E01, others' targeting with holders' conversion (%)</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1.77</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1.47–2.09</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Gap E11 − E00 (pp)</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0.84</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0.49–1.18</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 part (pp)</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0.31</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0.21–0.43</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 part (pp)</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0.53</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0.23–0.81</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 share of the gap</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63%</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43–73%</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Overall RR implied by the two-part model</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1.65</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1.34–2.03</w:t>
            </w:r>
          </w:p>
        </w:tc>
      </w:tr>
      <w:tr>
        <w:tc>
          <w:tcPr>
            <w:tcW w:type="dxa" w:w="9070"/>
            <w:gridSpan w:val="3"/>
            <w:tcBorders>
              <w:top w:val="none" w:color="FFFFFF" w:sz="0"/>
              <w:left w:val="none" w:color="FFFFFF" w:sz="0"/>
              <w:bottom w:val="none" w:color="FFFFFF" w:sz="0"/>
              <w:right w:val="none" w:color="FFFFFF" w:sz="0"/>
            </w:tcBorders>
            <w:tcMar>
              <w:top w:type="dxa" w:w="40"/>
              <w:left w:type="dxa" w:w="60"/>
              <w:bottom w:type="dxa" w:w="20"/>
              <w:right w:type="dxa" w:w="60"/>
            </w:tcMar>
          </w:tcPr>
          <w:p>
            <w:pPr>
              <w:spacing w:line="240"/>
            </w:pPr>
            <w:r>
              <w:rPr>
                <w:rFonts w:ascii="Times New Roman" w:cs="Times New Roman" w:eastAsia="Times New Roman" w:hAnsi="Times New Roman"/>
                <w:i/>
                <w:iCs/>
                <w:sz w:val="18"/>
                <w:szCs w:val="18"/>
              </w:rPr>
              <w:t xml:space="preserve">Alternative decompositions</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 share, log RR against the separately estimated overall model</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52%</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34–63%</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 share, sum of the two stage-specific log RRs</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64%</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43–74%</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Conversion share, absolute split of p1c1 − p0c0 (stage-specific standardisation)</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63%</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43–74%</w:t>
            </w:r>
          </w:p>
        </w:tc>
      </w:tr>
      <w:tr>
        <w:trPr>
          <w:tblHeader w:val="false"/>
        </w:trPr>
        <w:tc>
          <w:tcPr>
            <w:tcW w:type="dxa" w:w="5689"/>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Overall RR, separately estimated overall model</w:t>
            </w:r>
          </w:p>
        </w:tc>
        <w:tc>
          <w:tcPr>
            <w:tcW w:type="dxa" w:w="1537"/>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1.83</w:t>
            </w:r>
          </w:p>
        </w:tc>
        <w:tc>
          <w:tcPr>
            <w:tcW w:type="dxa" w:w="184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1.45–2.31</w:t>
            </w:r>
          </w:p>
        </w:tc>
      </w:tr>
      <w:tr>
        <w:trPr>
          <w:tblHeader w:val="false"/>
        </w:trPr>
        <w:tc>
          <w:tcPr>
            <w:tcW w:type="dxa" w:w="5689"/>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Overall gap, separately estimated overall model (pp)</w:t>
            </w:r>
          </w:p>
        </w:tc>
        <w:tc>
          <w:tcPr>
            <w:tcW w:type="dxa" w:w="1537"/>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1.02</w:t>
            </w:r>
          </w:p>
        </w:tc>
        <w:tc>
          <w:tcPr>
            <w:tcW w:type="dxa" w:w="1844"/>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0.63–1.40</w:t>
            </w:r>
          </w:p>
        </w:tc>
      </w:tr>
    </w:tbl>
    <w:p>
      <w:pPr>
        <w:spacing w:after="240" w:before="60" w:line="240"/>
      </w:pPr>
      <w:r>
        <w:rPr>
          <w:rFonts w:ascii="Times New Roman" w:cs="Times New Roman" w:eastAsia="Times New Roman" w:hAnsi="Times New Roman"/>
          <w:sz w:val="18"/>
          <w:szCs w:val="18"/>
        </w:rPr>
        <w:t xml:space="preserve">Intervals are bootstrap percentile intervals; Table 3 of the article reports delta-method intervals for the separately estimated overall payment model (gap 1.0 pp, 0.7–1.4). The g-formula standardises the product of the two stage models over all phone owners, so its parts sum exactly to its gap. The separately estimated overall payment model is a single logit for the compound outcome; it implies a larger gap because the two specifications differ in functional form. In the third alternative, the targeting probabilities are standardised over all phone owners and the conversion probabilities over the targeted, so the product is not an overall standardised quantity. The alternatives decompose different quantities, so their shares and intervals are not interchangeable. All shares describe the estimated gap; they are not causal attributions, and an interval that includes 50% does not show which stage accounts for more of the gap.</w:t>
      </w:r>
    </w:p>
    <w:p>
      <w:pPr>
        <w:pStyle w:val="Heading1"/>
        <w:keepNext/>
        <w:spacing w:after="120" w:before="280"/>
      </w:pPr>
      <w:r>
        <w:rPr>
          <w:rFonts w:ascii="Times New Roman" w:cs="Times New Roman" w:eastAsia="Times New Roman" w:hAnsi="Times New Roman"/>
          <w:b/>
          <w:bCs/>
          <w:sz w:val="24"/>
          <w:szCs w:val="24"/>
        </w:rPr>
        <w:t xml:space="preserve">A9 Full Model Results</w:t>
      </w:r>
    </w:p>
    <w:p>
      <w:pPr>
        <w:keepNext/>
        <w:spacing w:after="80" w:before="200" w:line="276"/>
      </w:pPr>
      <w:r>
        <w:rPr>
          <w:rFonts w:ascii="Times New Roman" w:cs="Times New Roman" w:eastAsia="Times New Roman" w:hAnsi="Times New Roman"/>
          <w:b/>
          <w:bCs/>
          <w:sz w:val="20"/>
          <w:szCs w:val="20"/>
        </w:rPr>
        <w:t xml:space="preserve">Table A9</w:t>
      </w:r>
      <w:r>
        <w:rPr>
          <w:rFonts w:ascii="Times New Roman" w:cs="Times New Roman" w:eastAsia="Times New Roman" w:hAnsi="Times New Roman"/>
          <w:sz w:val="20"/>
          <w:szCs w:val="20"/>
        </w:rPr>
        <w:t xml:space="preserve"> Odds ratios for the three margins</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616"/>
        <w:gridCol w:w="2238"/>
        <w:gridCol w:w="2043"/>
        <w:gridCol w:w="2173"/>
      </w:tblGrid>
      <w:tr>
        <w:trPr>
          <w:tblHeader/>
        </w:trPr>
        <w:tc>
          <w:tcPr>
            <w:tcW w:type="dxa" w:w="2616"/>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Term</w:t>
            </w:r>
          </w:p>
        </w:tc>
        <w:tc>
          <w:tcPr>
            <w:tcW w:type="dxa" w:w="2238"/>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Targeting</w:t>
            </w:r>
          </w:p>
        </w:tc>
        <w:tc>
          <w:tcPr>
            <w:tcW w:type="dxa" w:w="2043"/>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Conversion</w:t>
            </w:r>
          </w:p>
        </w:tc>
        <w:tc>
          <w:tcPr>
            <w:tcW w:type="dxa" w:w="2173"/>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Overall payment</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Digitally enabled account</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1.30*** (1.22–1.40)</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1.44** (1.16–1.79)</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1.87*** (1.47–2.38)</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Woman</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0.93 (0.87–1.00)</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0.93 (0.77–1.13)</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0.88 (0.73–1.06)</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Age</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1.04*** (1.03–1.05)</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1.02 (0.99–1.04)</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1.03** (1.01–1.06)</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Age squared/100</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0.97*** (0.95–0.98)</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0.98 (0.95–1.01)</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0.97* (0.94–0.99)</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 the workforce</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1.24*** (1.16–1.33)</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1.10 (0.91–1.32)</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1.24* (1.02–1.51)</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Rural</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0.94 (0.88–1.01)</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1.06 (0.82–1.36)</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1.04 (0.84–1.29)</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Smartphone</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0.75*** (0.69–0.82)</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0.85 (0.61–1.19)</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0.68* (0.49–0.96)</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Online activities (count)</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1.18*** (1.15–1.22)</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1.10** (1.03–1.17)</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1.22*** (1.15–1.30)</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Has sent a text message</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1.41*** (1.27–1.57)</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0.95 (0.72–1.25)</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1.27 (0.93–1.73)</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Phone lock</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1.26*** (1.17–1.37)</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1.36** (1.09–1.70)</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1.64*** (1.31–2.06)</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Secondary education (ref. primary or less)</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0.95 (0.86–1.04)</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0.80* (0.66–0.98)</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0.73** (0.59–0.90)</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Tertiary education</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1.02 (0.90–1.15)</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0.71 (0.49–1.03)</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0.69* (0.49–0.98)</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Income quintile 2 (ref. poorest)</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1.06 (0.97–1.17)</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0.77 (0.56–1.08)</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0.81 (0.57–1.16)</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Income quintile 3</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1.00 (0.90–1.11)</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0.80 (0.57–1.11)</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0.80 (0.57–1.11)</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Income quintile 4</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0.97 (0.88–1.06)</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0.87 (0.64–1.17)</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0.82 (0.60–1.13)</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Income quintile 5</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1.00 (0.90–1.11)</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0.81 (0.60–1.10)</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0.82 (0.59–1.14)</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Phone used weekly (ref. daily)</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0.92 (0.80–1.07)</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1.52* (1.08–2.13)</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1.36* (1.02–1.82)</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Phone used monthly or less</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1.11 (0.91–1.35)</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1.99*** (1.38–2.87)</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2.18*** (1.48–3.21)</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Phone never used</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1.07 (0.72–1.59)</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3.46 (0.92–12.93)</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2.76 (0.87–8.73)</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Internet used weekly (ref. daily)</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1.20*** (1.09–1.32)</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1.01 (0.77–1.33)</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1.14 (0.88–1.49)</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Internet used monthly or less</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1.19** (1.06–1.34)</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1.21 (0.86–1.70)</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1.38* (1.01–1.88)</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No recent internet use</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1.23** (1.07–1.42)</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1.32 (0.86–2.04)</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1.49 (0.96–2.32)</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N</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62,761</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13,904</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61,963</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Events</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14,043</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1,201</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1,201</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Economies</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75</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74</w:t>
            </w:r>
          </w:p>
        </w:tc>
      </w:tr>
      <w:tr>
        <w:trPr>
          <w:tblHeader w:val="false"/>
        </w:trPr>
        <w:tc>
          <w:tcPr>
            <w:tcW w:type="dxa" w:w="261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Pseudo-R² vs intercept-only</w:t>
            </w:r>
          </w:p>
        </w:tc>
        <w:tc>
          <w:tcPr>
            <w:tcW w:type="dxa" w:w="223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0.142</w:t>
            </w:r>
          </w:p>
        </w:tc>
        <w:tc>
          <w:tcPr>
            <w:tcW w:type="dxa" w:w="204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0.096</w:t>
            </w:r>
          </w:p>
        </w:tc>
        <w:tc>
          <w:tcPr>
            <w:tcW w:type="dxa" w:w="2173"/>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0.105</w:t>
            </w:r>
          </w:p>
        </w:tc>
      </w:tr>
      <w:tr>
        <w:trPr>
          <w:tblHeader w:val="false"/>
        </w:trPr>
        <w:tc>
          <w:tcPr>
            <w:tcW w:type="dxa" w:w="2616"/>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Pseudo-R² vs economy fixed effects only</w:t>
            </w:r>
          </w:p>
        </w:tc>
        <w:tc>
          <w:tcPr>
            <w:tcW w:type="dxa" w:w="2238"/>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0.039</w:t>
            </w:r>
          </w:p>
        </w:tc>
        <w:tc>
          <w:tcPr>
            <w:tcW w:type="dxa" w:w="2043"/>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0.017</w:t>
            </w:r>
          </w:p>
        </w:tc>
        <w:tc>
          <w:tcPr>
            <w:tcW w:type="dxa" w:w="2173"/>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0.041</w:t>
            </w:r>
          </w:p>
        </w:tc>
      </w:tr>
    </w:tbl>
    <w:p>
      <w:pPr>
        <w:spacing w:after="240" w:before="60" w:line="240"/>
      </w:pPr>
      <w:r>
        <w:rPr>
          <w:rFonts w:ascii="Times New Roman" w:cs="Times New Roman" w:eastAsia="Times New Roman" w:hAnsi="Times New Roman"/>
          <w:sz w:val="18"/>
          <w:szCs w:val="18"/>
        </w:rPr>
        <w:t xml:space="preserve">Survey-weighted logit models with economy fixed effects (not shown); 95% CIs from economy-clustered standard errors in parentheses. A separate category for missing income (Lesotho) is collinear with that economy's fixed effect and is not reported. Pseudo-R² is the weighted McFadden measure. * p &lt; 0.05, ** p &lt; 0.01, *** p &lt; 0.001.</w:t>
      </w:r>
    </w:p>
    <w:p>
      <w:pPr>
        <w:pStyle w:val="Heading1"/>
        <w:keepNext/>
        <w:spacing w:after="120" w:before="280"/>
      </w:pPr>
      <w:r>
        <w:rPr>
          <w:rFonts w:ascii="Times New Roman" w:cs="Times New Roman" w:eastAsia="Times New Roman" w:hAnsi="Times New Roman"/>
          <w:b/>
          <w:bCs/>
          <w:sz w:val="24"/>
          <w:szCs w:val="24"/>
        </w:rPr>
        <w:t xml:space="preserve">A10 Population-Scaled Totals</w:t>
      </w:r>
    </w:p>
    <w:p>
      <w:pPr>
        <w:keepNext/>
        <w:spacing w:after="80" w:before="200" w:line="276"/>
      </w:pPr>
      <w:r>
        <w:rPr>
          <w:rFonts w:ascii="Times New Roman" w:cs="Times New Roman" w:eastAsia="Times New Roman" w:hAnsi="Times New Roman"/>
          <w:b/>
          <w:bCs/>
          <w:sz w:val="20"/>
          <w:szCs w:val="20"/>
        </w:rPr>
        <w:t xml:space="preserve">Table A10</w:t>
      </w:r>
      <w:r>
        <w:rPr>
          <w:rFonts w:ascii="Times New Roman" w:cs="Times New Roman" w:eastAsia="Times New Roman" w:hAnsi="Times New Roman"/>
          <w:sz w:val="20"/>
          <w:szCs w:val="20"/>
        </w:rPr>
        <w:t xml:space="preserve"> Approximate number of adults in the 75 economies (millions)</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5084"/>
        <w:gridCol w:w="1476"/>
        <w:gridCol w:w="2510"/>
      </w:tblGrid>
      <w:tr>
        <w:trPr>
          <w:tblHeader/>
        </w:trPr>
        <w:tc>
          <w:tcPr>
            <w:tcW w:type="dxa" w:w="5084"/>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Quantity</w:t>
            </w:r>
          </w:p>
        </w:tc>
        <w:tc>
          <w:tcPr>
            <w:tcW w:type="dxa" w:w="1476"/>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Estimate</w:t>
            </w:r>
          </w:p>
        </w:tc>
        <w:tc>
          <w:tcPr>
            <w:tcW w:type="dxa" w:w="2510"/>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95% CI</w:t>
            </w:r>
          </w:p>
        </w:tc>
      </w:tr>
      <w:tr>
        <w:trPr>
          <w:tblHeader w:val="false"/>
        </w:trPr>
        <w:tc>
          <w:tcPr>
            <w:tcW w:type="dxa" w:w="5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Adults aged 15 and older</w:t>
            </w:r>
          </w:p>
        </w:tc>
        <w:tc>
          <w:tcPr>
            <w:tcW w:type="dxa" w:w="147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3,246.5</w:t>
            </w:r>
          </w:p>
        </w:tc>
        <w:tc>
          <w:tcPr>
            <w:tcW w:type="dxa" w:w="251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p>
        </w:tc>
      </w:tr>
      <w:tr>
        <w:trPr>
          <w:tblHeader w:val="false"/>
        </w:trPr>
        <w:tc>
          <w:tcPr>
            <w:tcW w:type="dxa" w:w="5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Mobile phone owners</w:t>
            </w:r>
          </w:p>
        </w:tc>
        <w:tc>
          <w:tcPr>
            <w:tcW w:type="dxa" w:w="147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2,482.3</w:t>
            </w:r>
          </w:p>
        </w:tc>
        <w:tc>
          <w:tcPr>
            <w:tcW w:type="dxa" w:w="251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2,456.8–2,507.9</w:t>
            </w:r>
          </w:p>
        </w:tc>
      </w:tr>
      <w:tr>
        <w:trPr>
          <w:tblHeader w:val="false"/>
        </w:trPr>
        <w:tc>
          <w:tcPr>
            <w:tcW w:type="dxa" w:w="5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Received an unsolicited request for money, past 12 months</w:t>
            </w:r>
          </w:p>
        </w:tc>
        <w:tc>
          <w:tcPr>
            <w:tcW w:type="dxa" w:w="147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465.2</w:t>
            </w:r>
          </w:p>
        </w:tc>
        <w:tc>
          <w:tcPr>
            <w:tcW w:type="dxa" w:w="251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449.4–481.1</w:t>
            </w:r>
          </w:p>
        </w:tc>
      </w:tr>
      <w:tr>
        <w:trPr>
          <w:tblHeader w:val="false"/>
        </w:trPr>
        <w:tc>
          <w:tcPr>
            <w:tcW w:type="dxa" w:w="5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Sent money after such a request</w:t>
            </w:r>
          </w:p>
        </w:tc>
        <w:tc>
          <w:tcPr>
            <w:tcW w:type="dxa" w:w="147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39.8</w:t>
            </w:r>
          </w:p>
        </w:tc>
        <w:tc>
          <w:tcPr>
            <w:tcW w:type="dxa" w:w="251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33.9–45.7</w:t>
            </w:r>
          </w:p>
        </w:tc>
      </w:tr>
      <w:tr>
        <w:trPr>
          <w:tblHeader w:val="false"/>
        </w:trPr>
        <w:tc>
          <w:tcPr>
            <w:tcW w:type="dxa" w:w="508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of whom hold any account (89.6% of senders)</w:t>
            </w:r>
          </w:p>
        </w:tc>
        <w:tc>
          <w:tcPr>
            <w:tcW w:type="dxa" w:w="147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35.7</w:t>
            </w:r>
          </w:p>
        </w:tc>
        <w:tc>
          <w:tcPr>
            <w:tcW w:type="dxa" w:w="2510"/>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29.9–41.5</w:t>
            </w:r>
          </w:p>
        </w:tc>
      </w:tr>
      <w:tr>
        <w:trPr>
          <w:tblHeader w:val="false"/>
        </w:trPr>
        <w:tc>
          <w:tcPr>
            <w:tcW w:type="dxa" w:w="5084"/>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of whom hold a digitally enabled account (77.4% of senders)</w:t>
            </w:r>
          </w:p>
        </w:tc>
        <w:tc>
          <w:tcPr>
            <w:tcW w:type="dxa" w:w="1476"/>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30.8</w:t>
            </w:r>
          </w:p>
        </w:tc>
        <w:tc>
          <w:tcPr>
            <w:tcW w:type="dxa" w:w="2510"/>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25.4–36.3</w:t>
            </w:r>
          </w:p>
        </w:tc>
      </w:tr>
    </w:tbl>
    <w:p>
      <w:pPr>
        <w:spacing w:after="240" w:before="60" w:line="240"/>
      </w:pPr>
      <w:r>
        <w:rPr>
          <w:rFonts w:ascii="Times New Roman" w:cs="Times New Roman" w:eastAsia="Times New Roman" w:hAnsi="Times New Roman"/>
          <w:sz w:val="18"/>
          <w:szCs w:val="18"/>
        </w:rPr>
        <w:t xml:space="preserve">Weighted economy means over all adults multiplied by the adult population supplied in the file (World Development Indicators, 2023) and summed; non-owners of phones count as zero. Intervals reflect within-economy sampling only, because the public file does not identify strata or primary sampling units; the totals are approximate.</w:t>
      </w:r>
    </w:p>
    <w:p>
      <w:pPr>
        <w:pStyle w:val="Heading1"/>
        <w:keepNext/>
        <w:spacing w:after="120" w:before="280"/>
      </w:pPr>
      <w:r>
        <w:rPr>
          <w:rFonts w:ascii="Times New Roman" w:cs="Times New Roman" w:eastAsia="Times New Roman" w:hAnsi="Times New Roman"/>
          <w:b/>
          <w:bCs/>
          <w:sz w:val="24"/>
          <w:szCs w:val="24"/>
        </w:rPr>
        <w:t xml:space="preserve">A11 Multiple Testing</w:t>
      </w:r>
    </w:p>
    <w:p>
      <w:pPr>
        <w:keepNext/>
        <w:spacing w:after="80" w:before="200" w:line="276"/>
      </w:pPr>
      <w:r>
        <w:rPr>
          <w:rFonts w:ascii="Times New Roman" w:cs="Times New Roman" w:eastAsia="Times New Roman" w:hAnsi="Times New Roman"/>
          <w:b/>
          <w:bCs/>
          <w:sz w:val="20"/>
          <w:szCs w:val="20"/>
        </w:rPr>
        <w:t xml:space="preserve">Table A11</w:t>
      </w:r>
      <w:r>
        <w:rPr>
          <w:rFonts w:ascii="Times New Roman" w:cs="Times New Roman" w:eastAsia="Times New Roman" w:hAnsi="Times New Roman"/>
          <w:sz w:val="20"/>
          <w:szCs w:val="20"/>
        </w:rPr>
        <w:t xml:space="preserve"> Adjustment for multiple testing across the hypothesis tests and participation associations</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21"/>
        <w:gridCol w:w="758"/>
        <w:gridCol w:w="1625"/>
        <w:gridCol w:w="2166"/>
      </w:tblGrid>
      <w:tr>
        <w:trPr>
          <w:tblHeader/>
        </w:trPr>
        <w:tc>
          <w:tcPr>
            <w:tcW w:type="dxa" w:w="4521"/>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Test</w:t>
            </w:r>
          </w:p>
        </w:tc>
        <w:tc>
          <w:tcPr>
            <w:tcW w:type="dxa" w:w="758"/>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p</w:t>
            </w:r>
          </w:p>
        </w:tc>
        <w:tc>
          <w:tcPr>
            <w:tcW w:type="dxa" w:w="1625"/>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Holm-adjusted p</w:t>
            </w:r>
          </w:p>
        </w:tc>
        <w:tc>
          <w:tcPr>
            <w:tcW w:type="dxa" w:w="2166"/>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Benjamini–Hochberg q</w:t>
            </w:r>
          </w:p>
        </w:tc>
      </w:tr>
      <w:tr>
        <w:trPr>
          <w:tblHeader w:val="false"/>
        </w:trPr>
        <w:tc>
          <w:tcPr>
            <w:tcW w:type="dxa" w:w="45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H1 targeting premium (exposure sample, main model)</w:t>
            </w:r>
          </w:p>
        </w:tc>
        <w:tc>
          <w:tcPr>
            <w:tcW w:type="dxa" w:w="75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&lt; 0.001</w:t>
            </w:r>
          </w:p>
        </w:tc>
        <w:tc>
          <w:tcPr>
            <w:tcW w:type="dxa" w:w="162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&lt; 0.001</w:t>
            </w:r>
          </w:p>
        </w:tc>
        <w:tc>
          <w:tcPr>
            <w:tcW w:type="dxa" w:w="216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&lt; 0.001</w:t>
            </w:r>
          </w:p>
        </w:tc>
      </w:tr>
      <w:tr>
        <w:trPr>
          <w:tblHeader w:val="false"/>
        </w:trPr>
        <w:tc>
          <w:tcPr>
            <w:tcW w:type="dxa" w:w="45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H2 intensity trend among digital account holders</w:t>
            </w:r>
          </w:p>
        </w:tc>
        <w:tc>
          <w:tcPr>
            <w:tcW w:type="dxa" w:w="75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0.005</w:t>
            </w:r>
          </w:p>
        </w:tc>
        <w:tc>
          <w:tcPr>
            <w:tcW w:type="dxa" w:w="162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0.014</w:t>
            </w:r>
          </w:p>
        </w:tc>
        <w:tc>
          <w:tcPr>
            <w:tcW w:type="dxa" w:w="216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0.007</w:t>
            </w:r>
          </w:p>
        </w:tc>
      </w:tr>
      <w:tr>
        <w:trPr>
          <w:tblHeader w:val="false"/>
        </w:trPr>
        <w:tc>
          <w:tcPr>
            <w:tcW w:type="dxa" w:w="45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H3 request-for-money vs unwanted-message premium (ratio of ORs)</w:t>
            </w:r>
          </w:p>
        </w:tc>
        <w:tc>
          <w:tcPr>
            <w:tcW w:type="dxa" w:w="75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0.003</w:t>
            </w:r>
          </w:p>
        </w:tc>
        <w:tc>
          <w:tcPr>
            <w:tcW w:type="dxa" w:w="162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0.014</w:t>
            </w:r>
          </w:p>
        </w:tc>
        <w:tc>
          <w:tcPr>
            <w:tcW w:type="dxa" w:w="216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0.007</w:t>
            </w:r>
          </w:p>
        </w:tc>
      </w:tr>
      <w:tr>
        <w:trPr>
          <w:tblHeader w:val="false"/>
        </w:trPr>
        <w:tc>
          <w:tcPr>
            <w:tcW w:type="dxa" w:w="45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H4 conversion premium (payment given targeting, main model)</w:t>
            </w:r>
          </w:p>
        </w:tc>
        <w:tc>
          <w:tcPr>
            <w:tcW w:type="dxa" w:w="75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0.001</w:t>
            </w:r>
          </w:p>
        </w:tc>
        <w:tc>
          <w:tcPr>
            <w:tcW w:type="dxa" w:w="162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0.006</w:t>
            </w:r>
          </w:p>
        </w:tc>
        <w:tc>
          <w:tcPr>
            <w:tcW w:type="dxa" w:w="216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0.004</w:t>
            </w:r>
          </w:p>
        </w:tc>
      </w:tr>
      <w:tr>
        <w:trPr>
          <w:tblHeader w:val="false"/>
        </w:trPr>
        <w:tc>
          <w:tcPr>
            <w:tcW w:type="dxa" w:w="452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RQa targeted → dormancy</w:t>
            </w:r>
          </w:p>
        </w:tc>
        <w:tc>
          <w:tcPr>
            <w:tcW w:type="dxa" w:w="758"/>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0.718</w:t>
            </w:r>
          </w:p>
        </w:tc>
        <w:tc>
          <w:tcPr>
            <w:tcW w:type="dxa" w:w="162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1.000</w:t>
            </w:r>
          </w:p>
        </w:tc>
        <w:tc>
          <w:tcPr>
            <w:tcW w:type="dxa" w:w="2166"/>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0.862</w:t>
            </w:r>
          </w:p>
        </w:tc>
      </w:tr>
      <w:tr>
        <w:trPr>
          <w:tblHeader w:val="false"/>
        </w:trPr>
        <w:tc>
          <w:tcPr>
            <w:tcW w:type="dxa" w:w="4521"/>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RQb targeted → distrust as reason for no account</w:t>
            </w:r>
          </w:p>
        </w:tc>
        <w:tc>
          <w:tcPr>
            <w:tcW w:type="dxa" w:w="758"/>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0.946</w:t>
            </w:r>
          </w:p>
        </w:tc>
        <w:tc>
          <w:tcPr>
            <w:tcW w:type="dxa" w:w="1625"/>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1.000</w:t>
            </w:r>
          </w:p>
        </w:tc>
        <w:tc>
          <w:tcPr>
            <w:tcW w:type="dxa" w:w="2166"/>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0.946</w:t>
            </w:r>
          </w:p>
        </w:tc>
      </w:tr>
    </w:tbl>
    <w:p>
      <w:pPr>
        <w:spacing w:after="240" w:before="60" w:line="240"/>
      </w:pPr>
      <w:r>
        <w:rPr>
          <w:rFonts w:ascii="Times New Roman" w:cs="Times New Roman" w:eastAsia="Times New Roman" w:hAnsi="Times New Roman"/>
          <w:sz w:val="18"/>
          <w:szCs w:val="18"/>
        </w:rPr>
        <w:t xml:space="preserve">H5 is a decomposition reported with confidence intervals (Tables A8 and A8b) and is not included. RQa and RQb are the associational participation tests. The sent-money and weekly-use rows of Table 6 are supplementary and not included. The analysis plan was not preregistered, so the correction does not confer confirmatory status.</w:t>
      </w:r>
    </w:p>
    <w:p>
      <w:pPr>
        <w:pStyle w:val="Heading1"/>
        <w:keepNext/>
        <w:spacing w:after="120" w:before="280"/>
      </w:pPr>
      <w:r>
        <w:rPr>
          <w:rFonts w:ascii="Times New Roman" w:cs="Times New Roman" w:eastAsia="Times New Roman" w:hAnsi="Times New Roman"/>
          <w:b/>
          <w:bCs/>
          <w:sz w:val="24"/>
          <w:szCs w:val="24"/>
        </w:rPr>
        <w:t xml:space="preserve">A12 Analyses in the Analysis Plan Not Used as Evidence</w:t>
      </w:r>
    </w:p>
    <w:p>
      <w:pPr>
        <w:spacing w:after="120" w:line="360"/>
        <w:jc w:val="both"/>
      </w:pPr>
      <w:r>
        <w:rPr>
          <w:rFonts w:ascii="Times New Roman" w:cs="Times New Roman" w:eastAsia="Times New Roman" w:hAnsi="Times New Roman"/>
          <w:sz w:val="20"/>
          <w:szCs w:val="20"/>
        </w:rPr>
        <w:t xml:space="preserve">The analyses below were specified in an internal analysis plan written before estimation; the plan was not preregistered. They are reported here so that every planned analysis is visible. The article does not rely on them, for the reasons given.</w:t>
      </w:r>
    </w:p>
    <w:p>
      <w:pPr>
        <w:keepNext/>
        <w:spacing w:after="80" w:before="200" w:line="276"/>
      </w:pPr>
      <w:r>
        <w:rPr>
          <w:rFonts w:ascii="Times New Roman" w:cs="Times New Roman" w:eastAsia="Times New Roman" w:hAnsi="Times New Roman"/>
          <w:b/>
          <w:bCs/>
          <w:sz w:val="20"/>
          <w:szCs w:val="20"/>
        </w:rPr>
        <w:t xml:space="preserve">Table A12</w:t>
      </w:r>
      <w:r>
        <w:rPr>
          <w:rFonts w:ascii="Times New Roman" w:cs="Times New Roman" w:eastAsia="Times New Roman" w:hAnsi="Times New Roman"/>
          <w:sz w:val="20"/>
          <w:szCs w:val="20"/>
        </w:rPr>
        <w:t xml:space="preserve"> Planned analyses not used as evidence</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3454"/>
        <w:gridCol w:w="2631"/>
        <w:gridCol w:w="2985"/>
      </w:tblGrid>
      <w:tr>
        <w:trPr>
          <w:tblHeader/>
        </w:trPr>
        <w:tc>
          <w:tcPr>
            <w:tcW w:type="dxa" w:w="3454"/>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Analysis</w:t>
            </w:r>
          </w:p>
        </w:tc>
        <w:tc>
          <w:tcPr>
            <w:tcW w:type="dxa" w:w="2631"/>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Result</w:t>
            </w:r>
          </w:p>
        </w:tc>
        <w:tc>
          <w:tcPr>
            <w:tcW w:type="dxa" w:w="2985"/>
            <w:tcBorders>
              <w:top w:val="single" w:color="000000" w:sz="6"/>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bCs/>
                <w:sz w:val="18"/>
                <w:szCs w:val="18"/>
              </w:rPr>
              <w:t xml:space="preserve">Reason not used</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Economy-level correlation between targeting and conversion rates (75 economies)</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Spearman −0.30 (bootstrap 95% CI −0.48 to −0.10) with empirical-Bayes shrinkage; −0.20 (p = 0.087) on raw rates; −0.15 (p = 0.203) on adjusted economy effects</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Not robust across specifications</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Moderation of the targeting premium by share of SIMs in own name (per SD)</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interaction OR 0.92 (0.86–0.99), p = 0.033</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Survey-based proxies for institutions; not significant after Holm adjustment across the plan's ten tests</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Moderation by mobile money prevalence (per SD)</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interaction OR 0.95 (0.88–1.02), p = 0.123</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Survey-based proxies for institutions; not significant after Holm adjustment across the plan's ten tests</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Moderation by digital account prevalence (per SD)</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interaction OR 0.91 (0.85–0.97), p = 0.008</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Survey-based proxies for institutions; not significant after Holm adjustment across the plan's ten tests</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Moderation by own-name SIM registration (individual)</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interaction OR 1.11 (0.94–1.32), p = 0.218</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Survey-based proxies for institutions; not significant after Holm adjustment across the plan's ten tests</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Peer exposure (leave-one-out cell rates): account ownership, all adults, 10 pp higher peer targeting rate</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OR 1.04 (1.00–1.08), p = 0.027</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Reflection problem; exploratory only</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Peer exposure (leave-one-out cell rates): account ownership, all adults, 1 pp higher peer payment rate</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OR 1.01 (1.00–1.02), p = 0.053</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Reflection problem; exploratory only</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Peer exposure (leave-one-out cell rates): distrust reason, adults without FI account, 10 pp higher peer targeting rate</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OR 1.02 (0.97–1.08), p = 0.423</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Reflection problem; exploratory only</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Peer exposure (leave-one-out cell rates): distrust reason, adults without FI account, 1 pp higher peer payment rate</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OR 1.00 (0.98–1.02), p = 0.905</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Reflection problem; exploratory only</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Targeting premium by income group of economy</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low 1.43, lower-middle 1.42, upper-middle 1.19; equality test p = 0.040</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Exploratory; three groups only; not part of the adjusted test family</w:t>
            </w:r>
          </w:p>
        </w:tc>
      </w:tr>
      <w:tr>
        <w:trPr>
          <w:tblHeader w:val="false"/>
        </w:trPr>
        <w:tc>
          <w:tcPr>
            <w:tcW w:type="dxa" w:w="3454"/>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Transaction intensity and conversion, targeted holders</w:t>
            </w:r>
          </w:p>
        </w:tc>
        <w:tc>
          <w:tcPr>
            <w:tcW w:type="dxa" w:w="2631"/>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OR per step 1.09 (0.95–1.24), p = 0.205</w:t>
            </w:r>
          </w:p>
        </w:tc>
        <w:tc>
          <w:tcPr>
            <w:tcW w:type="dxa" w:w="2985"/>
            <w:tcBorders>
              <w:top w:val="none" w:color="FFFFFF" w:sz="0"/>
              <w:left w:val="none" w:color="FFFFFF" w:sz="0"/>
              <w:bottom w:val="none" w:color="FFFFFF" w:sz="0"/>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Null; reported for completeness</w:t>
            </w:r>
          </w:p>
        </w:tc>
      </w:tr>
      <w:tr>
        <w:trPr>
          <w:tblHeader w:val="false"/>
        </w:trPr>
        <w:tc>
          <w:tcPr>
            <w:tcW w:type="dxa" w:w="3454"/>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Bivariate probit with sample selection (exclusion: phone-use frequency)</w:t>
            </w:r>
          </w:p>
        </w:tc>
        <w:tc>
          <w:tcPr>
            <w:tcW w:type="dxa" w:w="2631"/>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Exclusion restriction weak (F = 1.38, p = 0.26); error correlation not identified (95% CI −0.99 to 1.00)</w:t>
            </w:r>
          </w:p>
        </w:tc>
        <w:tc>
          <w:tcPr>
            <w:tcW w:type="dxa" w:w="2985"/>
            <w:tcBorders>
              <w:top w:val="none" w:color="FFFFFF" w:sz="0"/>
              <w:left w:val="none" w:color="FFFFFF" w:sz="0"/>
              <w:bottom w:val="single" w:color="000000" w:sz="6"/>
              <w:right w:val="none" w:color="FFFFFF" w:sz="0"/>
            </w:tcBorders>
            <w:tcMar>
              <w:top w:type="dxa" w:w="30"/>
              <w:left w:type="dxa" w:w="60"/>
              <w:bottom w:type="dxa" w:w="30"/>
              <w:right w:type="dxa" w:w="60"/>
            </w:tcMar>
            <w:vAlign w:val="top"/>
          </w:tcPr>
          <w:p>
            <w:pPr>
              <w:spacing w:line="240"/>
              <w:jc w:val="left"/>
            </w:pPr>
            <w:r>
              <w:rPr>
                <w:rFonts w:ascii="Times New Roman" w:cs="Times New Roman" w:eastAsia="Times New Roman" w:hAnsi="Times New Roman"/>
                <w:b w:val="false"/>
                <w:bCs w:val="false"/>
                <w:sz w:val="18"/>
                <w:szCs w:val="18"/>
              </w:rPr>
              <w:t xml:space="preserve">Uninformative; selection is addressed by the collider simulation (Fig. S5)</w:t>
            </w:r>
          </w:p>
        </w:tc>
      </w:tr>
    </w:tbl>
    <w:p>
      <w:pPr>
        <w:spacing w:after="240" w:before="60" w:line="240"/>
      </w:pPr>
      <w:r>
        <w:rPr>
          <w:rFonts w:ascii="Times New Roman" w:cs="Times New Roman" w:eastAsia="Times New Roman" w:hAnsi="Times New Roman"/>
          <w:sz w:val="18"/>
          <w:szCs w:val="18"/>
        </w:rPr>
        <w:t xml:space="preserve">The Holm adjustment in the analysis plan covered ten tests, including the moderation, peer and economy-level tests above; Table A11 reports the adjustment for the tests used in the article.</w:t>
      </w:r>
    </w:p>
    <w:p>
      <w:pPr>
        <w:pStyle w:val="Heading1"/>
        <w:keepNext/>
        <w:spacing w:after="120" w:before="280"/>
      </w:pPr>
      <w:r>
        <w:rPr>
          <w:rFonts w:ascii="Times New Roman" w:cs="Times New Roman" w:eastAsia="Times New Roman" w:hAnsi="Times New Roman"/>
          <w:b/>
          <w:bCs/>
          <w:sz w:val="24"/>
          <w:szCs w:val="24"/>
        </w:rPr>
        <w:t xml:space="preserve">Supplementary Figures</w:t>
      </w:r>
    </w:p>
    <w:p>
      <w:pPr>
        <w:keepNext/>
        <w:spacing w:after="60" w:before="200"/>
        <w:jc w:val="center"/>
      </w:pPr>
      <w:r>
        <w:drawing>
          <wp:inline distT="0" distB="0" distL="0" distR="0">
            <wp:extent cx="5762625" cy="7600950"/>
            <wp:effectExtent t="0" r="0" b="0" l="0"/>
            <wp:docPr id="1" name="FigS1" descr="Fig. S1 Targeting premium by economy (percentage points, 95% CI). Within-economy weighted linear probability models with the main controls; the vertical line marks the random-effects pooled estimate (3.0 pp)" title="Fi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62625" cy="7600950"/>
                    </a:xfrm>
                    <a:prstGeom prst="rect">
                      <a:avLst/>
                    </a:prstGeom>
                  </pic:spPr>
                </pic:pic>
              </a:graphicData>
            </a:graphic>
          </wp:inline>
        </w:drawing>
      </w:r>
    </w:p>
    <w:p>
      <w:pPr>
        <w:spacing w:after="200" w:line="276"/>
      </w:pPr>
      <w:r>
        <w:rPr>
          <w:rFonts w:ascii="Times New Roman" w:cs="Times New Roman" w:eastAsia="Times New Roman" w:hAnsi="Times New Roman"/>
          <w:b/>
          <w:bCs/>
          <w:sz w:val="20"/>
          <w:szCs w:val="20"/>
        </w:rPr>
        <w:t xml:space="preserve">Fig. S1</w:t>
      </w:r>
      <w:r>
        <w:rPr>
          <w:rFonts w:ascii="Times New Roman" w:cs="Times New Roman" w:eastAsia="Times New Roman" w:hAnsi="Times New Roman"/>
          <w:sz w:val="20"/>
          <w:szCs w:val="20"/>
        </w:rPr>
        <w:t xml:space="preserve"> Targeting premium by economy (percentage points, 95% CI). Within-economy weighted linear probability models with the main controls; the vertical line marks the random-effects pooled estimate (3.0 pp)</w:t>
      </w:r>
    </w:p>
    <w:p>
      <w:pPr>
        <w:keepNext/>
        <w:spacing w:after="60" w:before="200"/>
        <w:jc w:val="center"/>
      </w:pPr>
      <w:r>
        <w:drawing>
          <wp:inline distT="0" distB="0" distL="0" distR="0">
            <wp:extent cx="5762625" cy="5962650"/>
            <wp:effectExtent t="0" r="0" b="0" l="0"/>
            <wp:docPr id="1" name="FigS2" descr="Fig. S2 Conversion premium by economy (percentage points, 95% CI), 58 economies with at least 60 targeted respondents and five payment events. The vertical line marks the pooled estimate (1.9 pp)" title="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62625" cy="5962650"/>
                    </a:xfrm>
                    <a:prstGeom prst="rect">
                      <a:avLst/>
                    </a:prstGeom>
                  </pic:spPr>
                </pic:pic>
              </a:graphicData>
            </a:graphic>
          </wp:inline>
        </w:drawing>
      </w:r>
    </w:p>
    <w:p>
      <w:pPr>
        <w:spacing w:after="200" w:line="276"/>
      </w:pPr>
      <w:r>
        <w:rPr>
          <w:rFonts w:ascii="Times New Roman" w:cs="Times New Roman" w:eastAsia="Times New Roman" w:hAnsi="Times New Roman"/>
          <w:b/>
          <w:bCs/>
          <w:sz w:val="20"/>
          <w:szCs w:val="20"/>
        </w:rPr>
        <w:t xml:space="preserve">Fig. S2</w:t>
      </w:r>
      <w:r>
        <w:rPr>
          <w:rFonts w:ascii="Times New Roman" w:cs="Times New Roman" w:eastAsia="Times New Roman" w:hAnsi="Times New Roman"/>
          <w:sz w:val="20"/>
          <w:szCs w:val="20"/>
        </w:rPr>
        <w:t xml:space="preserve"> Conversion premium by economy (percentage points, 95% CI), 58 economies with at least 60 targeted respondents and five payment events. The vertical line marks the pooled estimate (1.9 pp)</w:t>
      </w:r>
    </w:p>
    <w:p>
      <w:pPr>
        <w:keepNext/>
        <w:spacing w:after="60" w:before="200"/>
        <w:jc w:val="center"/>
      </w:pPr>
      <w:r>
        <w:drawing>
          <wp:inline distT="0" distB="0" distL="0" distR="0">
            <wp:extent cx="5762625" cy="3143250"/>
            <wp:effectExtent t="0" r="0" b="0" l="0"/>
            <wp:docPr id="1" name="FigS3" descr="Fig. S3 Specification curve for the targeting premium. Average marginal effects (pp) with 95% CIs for 36 specifications; the lower panel marks each specification's choices" title="Fi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3143250"/>
                    </a:xfrm>
                    <a:prstGeom prst="rect">
                      <a:avLst/>
                    </a:prstGeom>
                  </pic:spPr>
                </pic:pic>
              </a:graphicData>
            </a:graphic>
          </wp:inline>
        </w:drawing>
      </w:r>
    </w:p>
    <w:p>
      <w:pPr>
        <w:spacing w:after="200" w:line="276"/>
      </w:pPr>
      <w:r>
        <w:rPr>
          <w:rFonts w:ascii="Times New Roman" w:cs="Times New Roman" w:eastAsia="Times New Roman" w:hAnsi="Times New Roman"/>
          <w:b/>
          <w:bCs/>
          <w:sz w:val="20"/>
          <w:szCs w:val="20"/>
        </w:rPr>
        <w:t xml:space="preserve">Fig. S3</w:t>
      </w:r>
      <w:r>
        <w:rPr>
          <w:rFonts w:ascii="Times New Roman" w:cs="Times New Roman" w:eastAsia="Times New Roman" w:hAnsi="Times New Roman"/>
          <w:sz w:val="20"/>
          <w:szCs w:val="20"/>
        </w:rPr>
        <w:t xml:space="preserve"> Specification curve for the targeting premium. Average marginal effects (pp) with 95% CIs for 36 specifications; the lower panel marks each specification's choices</w:t>
      </w:r>
    </w:p>
    <w:p>
      <w:pPr>
        <w:keepNext/>
        <w:spacing w:after="60" w:before="200"/>
        <w:jc w:val="center"/>
      </w:pPr>
      <w:r>
        <w:drawing>
          <wp:inline distT="0" distB="0" distL="0" distR="0">
            <wp:extent cx="5762625" cy="3371850"/>
            <wp:effectExtent t="0" r="0" b="0" l="0"/>
            <wp:docPr id="1" name="FigS4" descr="Fig. S4 Odds ratio for sending money once targeted under alternative specifications (log scale). The dotted line marks the main model (OR 1.44)" title="Fig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3371850"/>
                    </a:xfrm>
                    <a:prstGeom prst="rect">
                      <a:avLst/>
                    </a:prstGeom>
                  </pic:spPr>
                </pic:pic>
              </a:graphicData>
            </a:graphic>
          </wp:inline>
        </w:drawing>
      </w:r>
    </w:p>
    <w:p>
      <w:pPr>
        <w:spacing w:after="200" w:line="276"/>
      </w:pPr>
      <w:r>
        <w:rPr>
          <w:rFonts w:ascii="Times New Roman" w:cs="Times New Roman" w:eastAsia="Times New Roman" w:hAnsi="Times New Roman"/>
          <w:b/>
          <w:bCs/>
          <w:sz w:val="20"/>
          <w:szCs w:val="20"/>
        </w:rPr>
        <w:t xml:space="preserve">Fig. S4</w:t>
      </w:r>
      <w:r>
        <w:rPr>
          <w:rFonts w:ascii="Times New Roman" w:cs="Times New Roman" w:eastAsia="Times New Roman" w:hAnsi="Times New Roman"/>
          <w:sz w:val="20"/>
          <w:szCs w:val="20"/>
        </w:rPr>
        <w:t xml:space="preserve"> Odds ratio for sending money once targeted under alternative specifications (log scale). The dotted line marks the main model (OR 1.44)</w:t>
      </w:r>
    </w:p>
    <w:p>
      <w:pPr>
        <w:keepNext/>
        <w:spacing w:after="60" w:before="200"/>
        <w:jc w:val="center"/>
      </w:pPr>
      <w:r>
        <w:drawing>
          <wp:inline distT="0" distB="0" distL="0" distR="0">
            <wp:extent cx="5762625" cy="3971925"/>
            <wp:effectExtent t="0" r="0" b="0" l="0"/>
            <wp:docPr id="1" name="FigS5" descr="Fig. S5 Collider-only simulation. Spurious conversion risk ratios when the true effect is zero and an unobserved trait affects targeting and conversion by −2 to +2 latent SD (2,000,000 draws per cell; Monte Carlo SE at most 0.02 within the solid box and 0.04 within the dashed box, larger in the corners). The largest latent-scale effect of an observed covariate on conversion is 0.41. The observed risk ratio is 1.37 (95% CI 1.14–1.65)" title="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3971925"/>
                    </a:xfrm>
                    <a:prstGeom prst="rect">
                      <a:avLst/>
                    </a:prstGeom>
                  </pic:spPr>
                </pic:pic>
              </a:graphicData>
            </a:graphic>
          </wp:inline>
        </w:drawing>
      </w:r>
    </w:p>
    <w:p>
      <w:pPr>
        <w:spacing w:after="200" w:line="276"/>
      </w:pPr>
      <w:r>
        <w:rPr>
          <w:rFonts w:ascii="Times New Roman" w:cs="Times New Roman" w:eastAsia="Times New Roman" w:hAnsi="Times New Roman"/>
          <w:b/>
          <w:bCs/>
          <w:sz w:val="20"/>
          <w:szCs w:val="20"/>
        </w:rPr>
        <w:t xml:space="preserve">Fig. S5</w:t>
      </w:r>
      <w:r>
        <w:rPr>
          <w:rFonts w:ascii="Times New Roman" w:cs="Times New Roman" w:eastAsia="Times New Roman" w:hAnsi="Times New Roman"/>
          <w:sz w:val="20"/>
          <w:szCs w:val="20"/>
        </w:rPr>
        <w:t xml:space="preserve"> Collider-only simulation. Spurious conversion risk ratios when the true effect is zero and an unobserved trait affects targeting and conversion by −2 to +2 latent SD (2,000,000 draws per cell; Monte Carlo SE at most 0.02 within the solid box and 0.04 within the dashed box, larger in the corners). The largest latent-scale effect of an observed covariate on conversion is 0.41. The observed risk ratio is 1.37 (95% CI 1.14–1.65)</w:t>
      </w:r>
    </w:p>
    <w:p>
      <w:pPr>
        <w:keepNext/>
        <w:spacing w:after="60" w:before="200"/>
        <w:jc w:val="center"/>
      </w:pPr>
      <w:r>
        <w:drawing>
          <wp:inline distT="0" distB="0" distL="0" distR="0">
            <wp:extent cx="5762625" cy="2114550"/>
            <wp:effectExtent t="0" r="0" b="0" l="0"/>
            <wp:docPr id="1" name="FigS6" descr="Fig. S6 a Predicted probability of being targeted among digitally enabled account holders, by transaction intensity (N = 31,066). b Specificity check: account premium for requests for money and for unwanted and offensive messages (odds ratios, 95% CI)" title="Fig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114550"/>
                    </a:xfrm>
                    <a:prstGeom prst="rect">
                      <a:avLst/>
                    </a:prstGeom>
                  </pic:spPr>
                </pic:pic>
              </a:graphicData>
            </a:graphic>
          </wp:inline>
        </w:drawing>
      </w:r>
    </w:p>
    <w:p>
      <w:pPr>
        <w:spacing w:after="200" w:line="276"/>
      </w:pPr>
      <w:r>
        <w:rPr>
          <w:rFonts w:ascii="Times New Roman" w:cs="Times New Roman" w:eastAsia="Times New Roman" w:hAnsi="Times New Roman"/>
          <w:b/>
          <w:bCs/>
          <w:sz w:val="20"/>
          <w:szCs w:val="20"/>
        </w:rPr>
        <w:t xml:space="preserve">Fig. S6</w:t>
      </w:r>
      <w:r>
        <w:rPr>
          <w:rFonts w:ascii="Times New Roman" w:cs="Times New Roman" w:eastAsia="Times New Roman" w:hAnsi="Times New Roman"/>
          <w:sz w:val="20"/>
          <w:szCs w:val="20"/>
        </w:rPr>
        <w:t xml:space="preserve"> a Predicted probability of being targeted among digitally enabled account holders, by transaction intensity (N = 31,066). b Specificity check: account premium for requests for money and for unwanted and offensive messages (odds ratios, 95% CI)</w:t>
      </w:r>
    </w:p>
    <w:p>
      <w:pPr>
        <w:pStyle w:val="Heading1"/>
        <w:keepNext/>
        <w:spacing w:after="120" w:before="280"/>
      </w:pPr>
      <w:r>
        <w:rPr>
          <w:rFonts w:ascii="Times New Roman" w:cs="Times New Roman" w:eastAsia="Times New Roman" w:hAnsi="Times New Roman"/>
          <w:b/>
          <w:bCs/>
          <w:sz w:val="24"/>
          <w:szCs w:val="24"/>
        </w:rPr>
        <w:t xml:space="preserve">Reference</w:t>
      </w:r>
    </w:p>
    <w:p>
      <w:pPr>
        <w:spacing w:after="80" w:line="276"/>
        <w:ind w:left="567" w:hanging="567"/>
      </w:pPr>
      <w:r>
        <w:rPr>
          <w:rFonts w:ascii="Times New Roman" w:cs="Times New Roman" w:eastAsia="Times New Roman" w:hAnsi="Times New Roman"/>
          <w:sz w:val="20"/>
          <w:szCs w:val="20"/>
        </w:rPr>
        <w:t xml:space="preserve">Development Research Group, Finance and Private Sector Development Unit. (2025). </w:t>
      </w:r>
      <w:r>
        <w:rPr>
          <w:rFonts w:ascii="Times New Roman" w:cs="Times New Roman" w:eastAsia="Times New Roman" w:hAnsi="Times New Roman"/>
          <w:i/>
          <w:iCs/>
          <w:sz w:val="20"/>
          <w:szCs w:val="20"/>
        </w:rPr>
        <w:t xml:space="preserve">The Global Findex Database 2025: Connectivity and financial inclusion in the digital economy</w:t>
      </w:r>
      <w:r>
        <w:rPr>
          <w:rFonts w:ascii="Times New Roman" w:cs="Times New Roman" w:eastAsia="Times New Roman" w:hAnsi="Times New Roman"/>
          <w:sz w:val="20"/>
          <w:szCs w:val="20"/>
        </w:rPr>
        <w:t xml:space="preserve"> (WLD_2024_FINDEX_v02_M) [Data set]. World Bank, Development Data Group. </w:t>
      </w:r>
      <w:hyperlink w:history="1" r:id="rIdv2tpixkqoujl6icqdlqus">
        <w:r>
          <w:rPr>
            <w:rFonts w:ascii="Times New Roman" w:cs="Times New Roman" w:eastAsia="Times New Roman" w:hAnsi="Times New Roman"/>
            <w:sz w:val="20"/>
            <w:szCs w:val="20"/>
          </w:rPr>
          <w:t xml:space="preserve">https://doi.org/10.48529/bk9n-8r43</w:t>
        </w:r>
      </w:hyperlink>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000000"/>
      <w:sz w:val="24"/>
      <w:szCs w:val="24"/>
    </w:rPr>
  </w:style>
  <w:style w:type="paragraph" w:styleId="Heading2">
    <w:name w:val="Heading 2"/>
    <w:basedOn w:val="Normal"/>
    <w:next w:val="Normal"/>
    <w:qFormat/>
    <w:pPr>
      <w:outlineLvl w:val="1"/>
    </w:pPr>
    <w:rPr>
      <w:rFonts w:ascii="Times New Roman" w:cs="Times New Roman" w:eastAsia="Times New Roman" w:hAnsi="Times New Roman"/>
      <w:b/>
      <w:bCs/>
      <w:i/>
      <w:iCs/>
      <w:color w:val="000000"/>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2tpixkqoujl6icqdlqus" Type="http://schemas.openxmlformats.org/officeDocument/2006/relationships/hyperlink" Target="https://doi.org/10.48529/bk9n-8r43" TargetMode="External"/><Relationship Id="rId8" Type="http://schemas.openxmlformats.org/officeDocument/2006/relationships/image" Target="media/2f613d311793bf0f4fbca76e17b20546b07a2b24.png"/><Relationship Id="rId9" Type="http://schemas.openxmlformats.org/officeDocument/2006/relationships/image" Target="media/a5292c7555d3e3a34c51e7ec9a49e2757130b200.png"/><Relationship Id="rId10" Type="http://schemas.openxmlformats.org/officeDocument/2006/relationships/image" Target="media/f12174c8869dbc970fb1fc92a5c226e5a4525b08.png"/><Relationship Id="rId11" Type="http://schemas.openxmlformats.org/officeDocument/2006/relationships/image" Target="media/1dcd4cc9128a058e28b63aacf22bcccb5b5e0dd9.png"/><Relationship Id="rId12" Type="http://schemas.openxmlformats.org/officeDocument/2006/relationships/image" Target="media/bbc77497b30cf0a015a937a00253f092ab6cde2a.png"/><Relationship Id="rId13" Type="http://schemas.openxmlformats.org/officeDocument/2006/relationships/image" Target="media/32619786985db48e51ea4c7d6e688afc5a22555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2026-10-09T08:19:03.617Z</dcterms:created>
  <dcterms:modified xsi:type="dcterms:W3CDTF">2026-10-09T08:19:03.617Z</dcterms:modified>
</cp:coreProperties>
</file>

<file path=docProps/custom.xml><?xml version="1.0" encoding="utf-8"?>
<Properties xmlns="http://schemas.openxmlformats.org/officeDocument/2006/custom-properties" xmlns:vt="http://schemas.openxmlformats.org/officeDocument/2006/docPropsVTypes"/>
</file>