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8BA4F" w14:textId="77777777" w:rsidR="009F6F45" w:rsidRPr="009F6F45" w:rsidRDefault="009F6F45" w:rsidP="009F6F45">
      <w:pPr>
        <w:pStyle w:val="Heading1"/>
      </w:pPr>
      <w:r w:rsidRPr="009F6F45">
        <w:t xml:space="preserve">Supplementary Material: Detailed Analytical Methods  </w:t>
      </w:r>
    </w:p>
    <w:p w14:paraId="27905C77" w14:textId="77777777" w:rsidR="009F6F45" w:rsidRPr="009F6F45" w:rsidRDefault="009F6F45" w:rsidP="009F6F45">
      <w:pPr>
        <w:spacing w:after="120" w:line="480" w:lineRule="auto"/>
        <w:jc w:val="both"/>
        <w:rPr>
          <w:rFonts w:ascii="Times New Roman" w:hAnsi="Times New Roman" w:cs="Times New Roman"/>
          <w:b/>
          <w:bCs/>
          <w:sz w:val="24"/>
          <w:szCs w:val="24"/>
          <w:lang w:val="en-US"/>
        </w:rPr>
      </w:pPr>
      <w:r w:rsidRPr="009F6F45">
        <w:rPr>
          <w:rFonts w:ascii="Times New Roman" w:hAnsi="Times New Roman" w:cs="Times New Roman"/>
          <w:b/>
          <w:bCs/>
          <w:sz w:val="24"/>
          <w:szCs w:val="24"/>
          <w:lang w:val="en-US"/>
        </w:rPr>
        <w:t>Sample Preparation</w:t>
      </w:r>
    </w:p>
    <w:p w14:paraId="68380D21" w14:textId="77777777" w:rsidR="009F6F45" w:rsidRPr="009F6F45" w:rsidRDefault="009F6F45" w:rsidP="009F6F45">
      <w:pPr>
        <w:spacing w:line="480" w:lineRule="auto"/>
        <w:jc w:val="both"/>
        <w:rPr>
          <w:rFonts w:ascii="Times New Roman" w:hAnsi="Times New Roman" w:cs="Times New Roman"/>
          <w:sz w:val="24"/>
          <w:szCs w:val="24"/>
          <w:lang w:val="en-US"/>
        </w:rPr>
      </w:pPr>
      <w:r w:rsidRPr="009F6F45">
        <w:rPr>
          <w:rFonts w:ascii="Times New Roman" w:hAnsi="Times New Roman" w:cs="Times New Roman"/>
          <w:sz w:val="24"/>
          <w:szCs w:val="24"/>
          <w:lang w:val="en-US"/>
        </w:rPr>
        <w:t xml:space="preserve">From the 49 hand samples, 39 cylindrical cores (~2 cm in diameter and 4 cm in length) were drilled and prepared for petrophysical measurements, while an additional 22 standard petrographic thin sections were produced from representative rock facies. For bulk geochemical analyses, 58 powdered samples (&lt;63 </w:t>
      </w:r>
      <w:proofErr w:type="spellStart"/>
      <w:r w:rsidRPr="009F6F45">
        <w:rPr>
          <w:rFonts w:ascii="Times New Roman" w:hAnsi="Times New Roman" w:cs="Times New Roman"/>
          <w:sz w:val="24"/>
          <w:szCs w:val="24"/>
          <w:lang w:val="en-US"/>
        </w:rPr>
        <w:t>μm</w:t>
      </w:r>
      <w:proofErr w:type="spellEnd"/>
      <w:r w:rsidRPr="009F6F45">
        <w:rPr>
          <w:rFonts w:ascii="Times New Roman" w:hAnsi="Times New Roman" w:cs="Times New Roman"/>
          <w:sz w:val="24"/>
          <w:szCs w:val="24"/>
          <w:lang w:val="en-US"/>
        </w:rPr>
        <w:t>) were prepared from representative portions of the same sample set, including the nine subsamples from the Vuosnainen transect. Additionally, a subset of 18 samples was selected for detailed analytical and imaging techniques (SEM–EDS and mineral maps), while 15 complementary samples were analyzed by XRD and one sample by XCT.</w:t>
      </w:r>
    </w:p>
    <w:p w14:paraId="495CAB44" w14:textId="77777777" w:rsidR="009F6F45" w:rsidRPr="009F6F45" w:rsidRDefault="009F6F45" w:rsidP="009F6F45">
      <w:pPr>
        <w:spacing w:after="120" w:line="480" w:lineRule="auto"/>
        <w:jc w:val="both"/>
        <w:rPr>
          <w:rFonts w:ascii="Times New Roman" w:hAnsi="Times New Roman" w:cs="Times New Roman"/>
          <w:b/>
          <w:bCs/>
          <w:sz w:val="24"/>
          <w:szCs w:val="24"/>
          <w:lang w:val="en-US"/>
        </w:rPr>
      </w:pPr>
      <w:r w:rsidRPr="009F6F45">
        <w:rPr>
          <w:rFonts w:ascii="Times New Roman" w:hAnsi="Times New Roman" w:cs="Times New Roman"/>
          <w:b/>
          <w:bCs/>
          <w:sz w:val="24"/>
          <w:szCs w:val="24"/>
          <w:lang w:val="en-US"/>
        </w:rPr>
        <w:t>Thin-Section Preparation and Petrographic Analysis</w:t>
      </w:r>
    </w:p>
    <w:p w14:paraId="03232859" w14:textId="77777777" w:rsidR="009F6F45" w:rsidRPr="009F6F45" w:rsidRDefault="009F6F45" w:rsidP="009F6F45">
      <w:pPr>
        <w:spacing w:line="480" w:lineRule="auto"/>
        <w:jc w:val="both"/>
        <w:rPr>
          <w:rFonts w:ascii="Times New Roman" w:hAnsi="Times New Roman" w:cs="Times New Roman"/>
          <w:sz w:val="24"/>
          <w:szCs w:val="24"/>
          <w:lang w:val="en-US"/>
        </w:rPr>
      </w:pPr>
      <w:r w:rsidRPr="009F6F45">
        <w:rPr>
          <w:rFonts w:ascii="Times New Roman" w:hAnsi="Times New Roman" w:cs="Times New Roman"/>
          <w:sz w:val="24"/>
          <w:szCs w:val="24"/>
          <w:lang w:val="en-US"/>
        </w:rPr>
        <w:t>Conventional transmitted- and reflected-light petrography was performed on thin sections to identify primary mineral assemblages, alteration phases, and textural relationships between primary and secondary minerals, along with their relationship to secondary porosity. Key petrographic aspects, including mineral shapes and intergrowths, secondary mineral replacements, and cataclastic grain-size reduction, were used to identify critical syn- and post-emplacement processes, such as magmatic crystallization sequences, hydrothermal alteration, and brittle deformation of the rocks. The rock samples were impregnated with a solvent-free adhesive (Araldite) to prevent fragmentation and disaggregation during cutting and thin-section preparation. The Araldite was mixed with a yellow-fluorescent pigment to enhance the identification and characterization of different pore types.</w:t>
      </w:r>
    </w:p>
    <w:p w14:paraId="76CF8D3C" w14:textId="77777777" w:rsidR="009F6F45" w:rsidRPr="009F6F45" w:rsidRDefault="009F6F45" w:rsidP="009F6F45">
      <w:pPr>
        <w:spacing w:line="480" w:lineRule="auto"/>
        <w:jc w:val="both"/>
        <w:rPr>
          <w:rFonts w:ascii="Times New Roman" w:hAnsi="Times New Roman" w:cs="Times New Roman"/>
          <w:sz w:val="24"/>
          <w:szCs w:val="24"/>
          <w:lang w:val="en-US"/>
        </w:rPr>
      </w:pPr>
      <w:r w:rsidRPr="009F6F45">
        <w:rPr>
          <w:rFonts w:ascii="Times New Roman" w:hAnsi="Times New Roman" w:cs="Times New Roman"/>
          <w:sz w:val="24"/>
          <w:szCs w:val="24"/>
          <w:lang w:val="en-US"/>
        </w:rPr>
        <w:lastRenderedPageBreak/>
        <w:t xml:space="preserve">The work was conducted at the University of Turku (UTU), Finland, and the Geological Survey of Finland (GTK) using complementary equipment. At UTU, the following instruments were employed: (i) a Zeiss </w:t>
      </w:r>
      <w:proofErr w:type="spellStart"/>
      <w:r w:rsidRPr="009F6F45">
        <w:rPr>
          <w:rFonts w:ascii="Times New Roman" w:hAnsi="Times New Roman" w:cs="Times New Roman"/>
          <w:sz w:val="24"/>
          <w:szCs w:val="24"/>
          <w:lang w:val="en-US"/>
        </w:rPr>
        <w:t>Axioscan</w:t>
      </w:r>
      <w:proofErr w:type="spellEnd"/>
      <w:r w:rsidRPr="009F6F45">
        <w:rPr>
          <w:rFonts w:ascii="Times New Roman" w:hAnsi="Times New Roman" w:cs="Times New Roman"/>
          <w:sz w:val="24"/>
          <w:szCs w:val="24"/>
          <w:lang w:val="en-US"/>
        </w:rPr>
        <w:t xml:space="preserve"> 7 slide scanner with maximum magnification of 40×, used for automated high-resolution scanning of thin sections to generate detailed digital images suitable for quantitative petrographic analysis and virtual microscopy, and (ii) a </w:t>
      </w:r>
      <w:proofErr w:type="spellStart"/>
      <w:r w:rsidRPr="009F6F45">
        <w:rPr>
          <w:rFonts w:ascii="Times New Roman" w:hAnsi="Times New Roman" w:cs="Times New Roman"/>
          <w:sz w:val="24"/>
          <w:szCs w:val="24"/>
          <w:lang w:val="en-US"/>
        </w:rPr>
        <w:t>Leitz</w:t>
      </w:r>
      <w:proofErr w:type="spellEnd"/>
      <w:r w:rsidRPr="009F6F45">
        <w:rPr>
          <w:rFonts w:ascii="Times New Roman" w:hAnsi="Times New Roman" w:cs="Times New Roman"/>
          <w:sz w:val="24"/>
          <w:szCs w:val="24"/>
          <w:lang w:val="en-US"/>
        </w:rPr>
        <w:t xml:space="preserve"> </w:t>
      </w:r>
      <w:proofErr w:type="spellStart"/>
      <w:r w:rsidRPr="009F6F45">
        <w:rPr>
          <w:rFonts w:ascii="Times New Roman" w:hAnsi="Times New Roman" w:cs="Times New Roman"/>
          <w:sz w:val="24"/>
          <w:szCs w:val="24"/>
          <w:lang w:val="en-US"/>
        </w:rPr>
        <w:t>Laborlux</w:t>
      </w:r>
      <w:proofErr w:type="spellEnd"/>
      <w:r w:rsidRPr="009F6F45">
        <w:rPr>
          <w:rFonts w:ascii="Times New Roman" w:hAnsi="Times New Roman" w:cs="Times New Roman"/>
          <w:sz w:val="24"/>
          <w:szCs w:val="24"/>
          <w:lang w:val="en-US"/>
        </w:rPr>
        <w:t xml:space="preserve"> 11 POL microscope with a maximum magnification of 40×, coupled to a </w:t>
      </w:r>
      <w:proofErr w:type="spellStart"/>
      <w:r w:rsidRPr="009F6F45">
        <w:rPr>
          <w:rFonts w:ascii="Times New Roman" w:hAnsi="Times New Roman" w:cs="Times New Roman"/>
          <w:sz w:val="24"/>
          <w:szCs w:val="24"/>
          <w:lang w:val="en-US"/>
        </w:rPr>
        <w:t>Euromex</w:t>
      </w:r>
      <w:proofErr w:type="spellEnd"/>
      <w:r w:rsidRPr="009F6F45">
        <w:rPr>
          <w:rFonts w:ascii="Times New Roman" w:hAnsi="Times New Roman" w:cs="Times New Roman"/>
          <w:sz w:val="24"/>
          <w:szCs w:val="24"/>
          <w:lang w:val="en-US"/>
        </w:rPr>
        <w:t xml:space="preserve"> VC.3036 Ultra Color camera for capturing high-definition images at 3264 × 1836 pixels. At GTK, whole thin sections were digitized using a KEYENCE VHX-7000 series digital microscope equipped with a motorized stage and integrated with a laser-based elemental analyzer (EA-300 series). The system acquired individual high-resolution images at a magnification of 200× under both plane-polarized light (PPL) and cross-polarized light (XPL). Image acquisition was performed in a tiled manner across the entire thin section, and the resulting image sets were digitally stitched to produce complete thin-section mosaics suitable for detailed petrographic analysis. The integrated EA-300 unit allows in situ laser-induced elemental analysis to be performed on selected areas of interest following optical documentation.</w:t>
      </w:r>
    </w:p>
    <w:p w14:paraId="136A2BC4" w14:textId="77777777" w:rsidR="009F6F45" w:rsidRPr="009F6F45" w:rsidRDefault="009F6F45" w:rsidP="009F6F45">
      <w:pPr>
        <w:spacing w:line="480" w:lineRule="auto"/>
        <w:jc w:val="both"/>
        <w:rPr>
          <w:rFonts w:ascii="Times New Roman" w:hAnsi="Times New Roman" w:cs="Times New Roman"/>
          <w:sz w:val="24"/>
          <w:szCs w:val="24"/>
          <w:lang w:val="en-US"/>
        </w:rPr>
      </w:pPr>
      <w:r w:rsidRPr="009F6F45">
        <w:rPr>
          <w:rFonts w:ascii="Times New Roman" w:hAnsi="Times New Roman" w:cs="Times New Roman"/>
          <w:sz w:val="24"/>
          <w:szCs w:val="24"/>
          <w:lang w:val="en-US"/>
        </w:rPr>
        <w:t xml:space="preserve">We classified the pore morphology of the samples following the scheme for crystalline basement rocks proposed by Bischoff et al. (2024), which was adapted from the sedimentary and volcanic rock classifications of </w:t>
      </w:r>
      <w:proofErr w:type="spellStart"/>
      <w:r w:rsidRPr="009F6F45">
        <w:rPr>
          <w:rFonts w:ascii="Times New Roman" w:hAnsi="Times New Roman" w:cs="Times New Roman"/>
          <w:sz w:val="24"/>
          <w:szCs w:val="24"/>
          <w:lang w:val="en-US"/>
        </w:rPr>
        <w:t>Choquette</w:t>
      </w:r>
      <w:proofErr w:type="spellEnd"/>
      <w:r w:rsidRPr="009F6F45">
        <w:rPr>
          <w:rFonts w:ascii="Times New Roman" w:hAnsi="Times New Roman" w:cs="Times New Roman"/>
          <w:sz w:val="24"/>
          <w:szCs w:val="24"/>
          <w:lang w:val="en-US"/>
        </w:rPr>
        <w:t xml:space="preserve"> and Pray (1970) and </w:t>
      </w:r>
      <w:proofErr w:type="spellStart"/>
      <w:r w:rsidRPr="009F6F45">
        <w:rPr>
          <w:rFonts w:ascii="Times New Roman" w:hAnsi="Times New Roman" w:cs="Times New Roman"/>
          <w:sz w:val="24"/>
          <w:szCs w:val="24"/>
          <w:lang w:val="en-US"/>
        </w:rPr>
        <w:t>Sruoga</w:t>
      </w:r>
      <w:proofErr w:type="spellEnd"/>
      <w:r w:rsidRPr="009F6F45">
        <w:rPr>
          <w:rFonts w:ascii="Times New Roman" w:hAnsi="Times New Roman" w:cs="Times New Roman"/>
          <w:sz w:val="24"/>
          <w:szCs w:val="24"/>
          <w:lang w:val="en-US"/>
        </w:rPr>
        <w:t xml:space="preserve"> and Rubinstein (2007). The scheme identifies nine fundamental pore types in granitic rocks: (i) </w:t>
      </w:r>
      <w:proofErr w:type="spellStart"/>
      <w:r w:rsidRPr="009F6F45">
        <w:rPr>
          <w:rFonts w:ascii="Times New Roman" w:hAnsi="Times New Roman" w:cs="Times New Roman"/>
          <w:sz w:val="24"/>
          <w:szCs w:val="24"/>
          <w:lang w:val="en-US"/>
        </w:rPr>
        <w:t>moldic</w:t>
      </w:r>
      <w:proofErr w:type="spellEnd"/>
      <w:r w:rsidRPr="009F6F45">
        <w:rPr>
          <w:rFonts w:ascii="Times New Roman" w:hAnsi="Times New Roman" w:cs="Times New Roman"/>
          <w:sz w:val="24"/>
          <w:szCs w:val="24"/>
          <w:lang w:val="en-US"/>
        </w:rPr>
        <w:t xml:space="preserve">, (ii) sieve, (iii) interparticle, (iv) </w:t>
      </w:r>
      <w:proofErr w:type="spellStart"/>
      <w:r w:rsidRPr="009F6F45">
        <w:rPr>
          <w:rFonts w:ascii="Times New Roman" w:hAnsi="Times New Roman" w:cs="Times New Roman"/>
          <w:sz w:val="24"/>
          <w:szCs w:val="24"/>
          <w:lang w:val="en-US"/>
        </w:rPr>
        <w:t>intracrystal</w:t>
      </w:r>
      <w:proofErr w:type="spellEnd"/>
      <w:r w:rsidRPr="009F6F45">
        <w:rPr>
          <w:rFonts w:ascii="Times New Roman" w:hAnsi="Times New Roman" w:cs="Times New Roman"/>
          <w:sz w:val="24"/>
          <w:szCs w:val="24"/>
          <w:lang w:val="en-US"/>
        </w:rPr>
        <w:t xml:space="preserve">, (v) </w:t>
      </w:r>
      <w:proofErr w:type="spellStart"/>
      <w:r w:rsidRPr="009F6F45">
        <w:rPr>
          <w:rFonts w:ascii="Times New Roman" w:hAnsi="Times New Roman" w:cs="Times New Roman"/>
          <w:sz w:val="24"/>
          <w:szCs w:val="24"/>
          <w:lang w:val="en-US"/>
        </w:rPr>
        <w:t>vug</w:t>
      </w:r>
      <w:proofErr w:type="spellEnd"/>
      <w:r w:rsidRPr="009F6F45">
        <w:rPr>
          <w:rFonts w:ascii="Times New Roman" w:hAnsi="Times New Roman" w:cs="Times New Roman"/>
          <w:sz w:val="24"/>
          <w:szCs w:val="24"/>
          <w:lang w:val="en-US"/>
        </w:rPr>
        <w:t>, (vi) open regular fracture, (vii) open irregular fracture, (viii) closed disconnected fracture, and (ix) microfractures, the latter defined as fractures with an aperture &lt;0.5 mm. This petrographic dataset was subsequently recorded and compared with complementary results from SEM and XCT imaging.</w:t>
      </w:r>
    </w:p>
    <w:p w14:paraId="6B1DB712" w14:textId="77777777" w:rsidR="009F6F45" w:rsidRPr="009F6F45" w:rsidRDefault="009F6F45" w:rsidP="009F6F45">
      <w:pPr>
        <w:spacing w:after="120" w:line="480" w:lineRule="auto"/>
        <w:jc w:val="both"/>
        <w:rPr>
          <w:rFonts w:ascii="Times New Roman" w:hAnsi="Times New Roman" w:cs="Times New Roman"/>
          <w:b/>
          <w:bCs/>
          <w:sz w:val="24"/>
          <w:szCs w:val="24"/>
          <w:lang w:val="en-US"/>
        </w:rPr>
      </w:pPr>
      <w:r w:rsidRPr="009F6F45">
        <w:rPr>
          <w:rFonts w:ascii="Times New Roman" w:hAnsi="Times New Roman" w:cs="Times New Roman"/>
          <w:b/>
          <w:bCs/>
          <w:sz w:val="24"/>
          <w:szCs w:val="24"/>
          <w:lang w:val="en-US"/>
        </w:rPr>
        <w:lastRenderedPageBreak/>
        <w:t>Scanning Electron Microscopy (SEM–EDS)</w:t>
      </w:r>
    </w:p>
    <w:p w14:paraId="6E052892" w14:textId="77777777" w:rsidR="009F6F45" w:rsidRPr="009F6F45" w:rsidRDefault="009F6F45" w:rsidP="009F6F45">
      <w:pPr>
        <w:spacing w:line="480" w:lineRule="auto"/>
        <w:jc w:val="both"/>
        <w:rPr>
          <w:rFonts w:ascii="Times New Roman" w:hAnsi="Times New Roman" w:cs="Times New Roman"/>
          <w:sz w:val="24"/>
          <w:szCs w:val="24"/>
          <w:lang w:val="en-US"/>
        </w:rPr>
      </w:pPr>
      <w:r w:rsidRPr="009F6F45">
        <w:rPr>
          <w:rFonts w:ascii="Times New Roman" w:hAnsi="Times New Roman" w:cs="Times New Roman"/>
          <w:sz w:val="24"/>
          <w:szCs w:val="24"/>
          <w:lang w:val="en-US"/>
        </w:rPr>
        <w:t xml:space="preserve">High-resolution imaging and microchemical analyses were performed using SEM–EDS to document microtextural features such as chloritization of biotite, sericitization of feldspar, and porosity generated by mineral dissolution. Elemental maps and spot analyses provided semi-quantitative chemical compositions of alteration minerals, enabling characterization of their spatial distribution and compositional variability. The electron optical work was performed at the (i) GTK SEM </w:t>
      </w:r>
      <w:proofErr w:type="spellStart"/>
      <w:r w:rsidRPr="009F6F45">
        <w:rPr>
          <w:rFonts w:ascii="Times New Roman" w:hAnsi="Times New Roman" w:cs="Times New Roman"/>
          <w:sz w:val="24"/>
          <w:szCs w:val="24"/>
          <w:lang w:val="en-US"/>
        </w:rPr>
        <w:t>Laborator</w:t>
      </w:r>
      <w:proofErr w:type="spellEnd"/>
      <w:r w:rsidRPr="009F6F45">
        <w:rPr>
          <w:rFonts w:ascii="Times New Roman" w:hAnsi="Times New Roman" w:cs="Times New Roman"/>
          <w:sz w:val="24"/>
          <w:szCs w:val="24"/>
          <w:lang w:val="en-US"/>
        </w:rPr>
        <w:t xml:space="preserve"> in Espoo, Finland and (ii) at the Thermo Fisher Scientific laboratory in Brno, Czech Republic. At GTK, analysis was conducted using a Hitachi SU3900 scanning electron microscope equipped with an Oxford Instruments EDS-spectrometer X-Max 20 mm</w:t>
      </w:r>
      <w:r w:rsidRPr="009F6F45">
        <w:rPr>
          <w:rFonts w:ascii="Times New Roman" w:hAnsi="Times New Roman" w:cs="Times New Roman"/>
          <w:sz w:val="24"/>
          <w:szCs w:val="24"/>
          <w:vertAlign w:val="superscript"/>
          <w:lang w:val="en-US"/>
        </w:rPr>
        <w:t>2</w:t>
      </w:r>
      <w:r w:rsidRPr="009F6F45">
        <w:rPr>
          <w:rFonts w:ascii="Times New Roman" w:hAnsi="Times New Roman" w:cs="Times New Roman"/>
          <w:sz w:val="24"/>
          <w:szCs w:val="24"/>
          <w:lang w:val="en-US"/>
        </w:rPr>
        <w:t xml:space="preserve">. Operating conditions included an accelerating voltage of 20 kV and a probe current of 0.9 </w:t>
      </w:r>
      <w:proofErr w:type="spellStart"/>
      <w:r w:rsidRPr="009F6F45">
        <w:rPr>
          <w:rFonts w:ascii="Times New Roman" w:hAnsi="Times New Roman" w:cs="Times New Roman"/>
          <w:sz w:val="24"/>
          <w:szCs w:val="24"/>
          <w:lang w:val="en-US"/>
        </w:rPr>
        <w:t>nA.</w:t>
      </w:r>
      <w:proofErr w:type="spellEnd"/>
      <w:r w:rsidRPr="009F6F45">
        <w:rPr>
          <w:rFonts w:ascii="Times New Roman" w:hAnsi="Times New Roman" w:cs="Times New Roman"/>
          <w:sz w:val="24"/>
          <w:szCs w:val="24"/>
          <w:lang w:val="en-US"/>
        </w:rPr>
        <w:t xml:space="preserve"> Data acquisition and processing were carried out using Aztec software. Only spot (point) analyses were performed to determine the chemical composition and identify specific minerals; no elemental mapping was conducted. In Brno, the analyses were performed using an </w:t>
      </w:r>
      <w:proofErr w:type="spellStart"/>
      <w:r w:rsidRPr="009F6F45">
        <w:rPr>
          <w:rFonts w:ascii="Times New Roman" w:hAnsi="Times New Roman" w:cs="Times New Roman"/>
          <w:sz w:val="24"/>
          <w:szCs w:val="24"/>
          <w:lang w:val="en-US"/>
        </w:rPr>
        <w:t>Apreo</w:t>
      </w:r>
      <w:proofErr w:type="spellEnd"/>
      <w:r w:rsidRPr="009F6F45">
        <w:rPr>
          <w:rFonts w:ascii="Times New Roman" w:hAnsi="Times New Roman" w:cs="Times New Roman"/>
          <w:sz w:val="24"/>
          <w:szCs w:val="24"/>
          <w:lang w:val="en-US"/>
        </w:rPr>
        <w:t xml:space="preserve"> 2 C </w:t>
      </w:r>
      <w:proofErr w:type="spellStart"/>
      <w:r w:rsidRPr="009F6F45">
        <w:rPr>
          <w:rFonts w:ascii="Times New Roman" w:hAnsi="Times New Roman" w:cs="Times New Roman"/>
          <w:sz w:val="24"/>
          <w:szCs w:val="24"/>
          <w:lang w:val="en-US"/>
        </w:rPr>
        <w:t>HiVac</w:t>
      </w:r>
      <w:proofErr w:type="spellEnd"/>
      <w:r w:rsidRPr="009F6F45">
        <w:rPr>
          <w:rFonts w:ascii="Times New Roman" w:hAnsi="Times New Roman" w:cs="Times New Roman"/>
          <w:sz w:val="24"/>
          <w:szCs w:val="24"/>
          <w:lang w:val="en-US"/>
        </w:rPr>
        <w:t xml:space="preserve"> scanning electron microscope (see Automated Elemental and Mineralogical Maps section for details). The polished thin sections selected for U-Pb geochronology were imagined by an Oxford Instruments Hitachi SU3900 LV-SEM-EDS (Low Vacuum Scanning Electron Microscope equipped with Energy Dispersive detector) at Geological Survey of Finland. Datable (U-bearing) minerals and their mineral assemblages were further detected and analyzed by Oxford Instruments </w:t>
      </w:r>
      <w:proofErr w:type="spellStart"/>
      <w:r w:rsidRPr="009F6F45">
        <w:rPr>
          <w:rFonts w:ascii="Times New Roman" w:hAnsi="Times New Roman" w:cs="Times New Roman"/>
          <w:sz w:val="24"/>
          <w:szCs w:val="24"/>
          <w:lang w:val="en-US"/>
        </w:rPr>
        <w:t>AZtec</w:t>
      </w:r>
      <w:proofErr w:type="spellEnd"/>
      <w:r w:rsidRPr="009F6F45">
        <w:rPr>
          <w:rFonts w:ascii="Times New Roman" w:hAnsi="Times New Roman" w:cs="Times New Roman"/>
          <w:sz w:val="24"/>
          <w:szCs w:val="24"/>
          <w:lang w:val="en-US"/>
        </w:rPr>
        <w:t xml:space="preserve"> software.</w:t>
      </w:r>
    </w:p>
    <w:p w14:paraId="56F24CC4" w14:textId="77777777" w:rsidR="009F6F45" w:rsidRPr="009F6F45" w:rsidRDefault="009F6F45" w:rsidP="009F6F45">
      <w:pPr>
        <w:spacing w:after="120" w:line="480" w:lineRule="auto"/>
        <w:jc w:val="both"/>
        <w:rPr>
          <w:rFonts w:ascii="Times New Roman" w:hAnsi="Times New Roman" w:cs="Times New Roman"/>
          <w:b/>
          <w:bCs/>
          <w:sz w:val="24"/>
          <w:szCs w:val="24"/>
          <w:lang w:val="en-US"/>
        </w:rPr>
      </w:pPr>
      <w:r w:rsidRPr="009F6F45">
        <w:rPr>
          <w:rFonts w:ascii="Times New Roman" w:hAnsi="Times New Roman" w:cs="Times New Roman"/>
          <w:b/>
          <w:bCs/>
          <w:sz w:val="24"/>
          <w:szCs w:val="24"/>
          <w:lang w:val="en-US"/>
        </w:rPr>
        <w:t>Micro X-ray Fluorescence Analysis (µXRF)</w:t>
      </w:r>
    </w:p>
    <w:p w14:paraId="2877F26A" w14:textId="77777777" w:rsidR="009F6F45" w:rsidRPr="009F6F45" w:rsidRDefault="009F6F45" w:rsidP="009F6F45">
      <w:pPr>
        <w:spacing w:line="480" w:lineRule="auto"/>
        <w:jc w:val="both"/>
        <w:rPr>
          <w:rFonts w:ascii="Times New Roman" w:hAnsi="Times New Roman" w:cs="Times New Roman"/>
          <w:sz w:val="24"/>
          <w:szCs w:val="24"/>
          <w:lang w:val="en-US"/>
        </w:rPr>
      </w:pPr>
      <w:r w:rsidRPr="009F6F45">
        <w:rPr>
          <w:rFonts w:ascii="Times New Roman" w:hAnsi="Times New Roman" w:cs="Times New Roman"/>
          <w:sz w:val="24"/>
          <w:szCs w:val="24"/>
          <w:lang w:val="en-US"/>
        </w:rPr>
        <w:t xml:space="preserve">Micro-XRF analyses were performed at GTK using a Bruker M4 Tornado plus AMICS system equipped with a 30 W rhodium anode tube and two 30 mm² silicon drift detectors, each achieving &lt;145 eV resolution (Mn Kα) at 275 </w:t>
      </w:r>
      <w:proofErr w:type="spellStart"/>
      <w:r w:rsidRPr="009F6F45">
        <w:rPr>
          <w:rFonts w:ascii="Times New Roman" w:hAnsi="Times New Roman" w:cs="Times New Roman"/>
          <w:sz w:val="24"/>
          <w:szCs w:val="24"/>
          <w:lang w:val="en-US"/>
        </w:rPr>
        <w:t>kcps</w:t>
      </w:r>
      <w:proofErr w:type="spellEnd"/>
      <w:r w:rsidRPr="009F6F45">
        <w:rPr>
          <w:rFonts w:ascii="Times New Roman" w:hAnsi="Times New Roman" w:cs="Times New Roman"/>
          <w:sz w:val="24"/>
          <w:szCs w:val="24"/>
          <w:lang w:val="en-US"/>
        </w:rPr>
        <w:t xml:space="preserve">. The X-ray source operated at 50 kV and 600 </w:t>
      </w:r>
      <w:proofErr w:type="spellStart"/>
      <w:r w:rsidRPr="009F6F45">
        <w:rPr>
          <w:rFonts w:ascii="Times New Roman" w:hAnsi="Times New Roman" w:cs="Times New Roman"/>
          <w:sz w:val="24"/>
          <w:szCs w:val="24"/>
          <w:lang w:val="en-US"/>
        </w:rPr>
        <w:t>μA</w:t>
      </w:r>
      <w:proofErr w:type="spellEnd"/>
      <w:r w:rsidRPr="009F6F45">
        <w:rPr>
          <w:rFonts w:ascii="Times New Roman" w:hAnsi="Times New Roman" w:cs="Times New Roman"/>
          <w:sz w:val="24"/>
          <w:szCs w:val="24"/>
          <w:lang w:val="en-US"/>
        </w:rPr>
        <w:t xml:space="preserve">, and a </w:t>
      </w:r>
      <w:proofErr w:type="spellStart"/>
      <w:r w:rsidRPr="009F6F45">
        <w:rPr>
          <w:rFonts w:ascii="Times New Roman" w:hAnsi="Times New Roman" w:cs="Times New Roman"/>
          <w:sz w:val="24"/>
          <w:szCs w:val="24"/>
          <w:lang w:val="en-US"/>
        </w:rPr>
        <w:lastRenderedPageBreak/>
        <w:t>polycapillary</w:t>
      </w:r>
      <w:proofErr w:type="spellEnd"/>
      <w:r w:rsidRPr="009F6F45">
        <w:rPr>
          <w:rFonts w:ascii="Times New Roman" w:hAnsi="Times New Roman" w:cs="Times New Roman"/>
          <w:sz w:val="24"/>
          <w:szCs w:val="24"/>
          <w:lang w:val="en-US"/>
        </w:rPr>
        <w:t xml:space="preserve"> optic produced a constant 20 </w:t>
      </w:r>
      <w:proofErr w:type="spellStart"/>
      <w:r w:rsidRPr="009F6F45">
        <w:rPr>
          <w:rFonts w:ascii="Times New Roman" w:hAnsi="Times New Roman" w:cs="Times New Roman"/>
          <w:sz w:val="24"/>
          <w:szCs w:val="24"/>
          <w:lang w:val="en-US"/>
        </w:rPr>
        <w:t>μm</w:t>
      </w:r>
      <w:proofErr w:type="spellEnd"/>
      <w:r w:rsidRPr="009F6F45">
        <w:rPr>
          <w:rFonts w:ascii="Times New Roman" w:hAnsi="Times New Roman" w:cs="Times New Roman"/>
          <w:sz w:val="24"/>
          <w:szCs w:val="24"/>
          <w:lang w:val="en-US"/>
        </w:rPr>
        <w:t xml:space="preserve"> beam diameter. Measurements were conducted under 2 mbar vacuum.</w:t>
      </w:r>
    </w:p>
    <w:p w14:paraId="1C9BA5FA" w14:textId="77777777" w:rsidR="009F6F45" w:rsidRPr="009F6F45" w:rsidRDefault="009F6F45" w:rsidP="009F6F45">
      <w:pPr>
        <w:spacing w:after="120" w:line="480" w:lineRule="auto"/>
        <w:jc w:val="both"/>
        <w:rPr>
          <w:rFonts w:ascii="Times New Roman" w:hAnsi="Times New Roman" w:cs="Times New Roman"/>
          <w:b/>
          <w:bCs/>
          <w:sz w:val="24"/>
          <w:szCs w:val="24"/>
          <w:lang w:val="en-US"/>
        </w:rPr>
      </w:pPr>
      <w:r w:rsidRPr="009F6F45">
        <w:rPr>
          <w:rFonts w:ascii="Times New Roman" w:hAnsi="Times New Roman" w:cs="Times New Roman"/>
          <w:b/>
          <w:bCs/>
          <w:sz w:val="24"/>
          <w:szCs w:val="24"/>
          <w:lang w:val="en-US"/>
        </w:rPr>
        <w:t>Automated Elemental and Mineralogical Maps</w:t>
      </w:r>
    </w:p>
    <w:p w14:paraId="1A3B16A7" w14:textId="77777777" w:rsidR="009F6F45" w:rsidRPr="009F6F45" w:rsidRDefault="009F6F45" w:rsidP="009F6F45">
      <w:pPr>
        <w:spacing w:line="480" w:lineRule="auto"/>
        <w:jc w:val="both"/>
        <w:rPr>
          <w:rFonts w:ascii="Times New Roman" w:hAnsi="Times New Roman" w:cs="Times New Roman"/>
          <w:sz w:val="24"/>
          <w:szCs w:val="24"/>
          <w:lang w:val="en-US"/>
        </w:rPr>
      </w:pPr>
      <w:r w:rsidRPr="009F6F45">
        <w:rPr>
          <w:rFonts w:ascii="Times New Roman" w:hAnsi="Times New Roman" w:cs="Times New Roman"/>
          <w:sz w:val="24"/>
          <w:szCs w:val="24"/>
          <w:lang w:val="en-US"/>
        </w:rPr>
        <w:t>Automated mineralogical maps were generated on selected thin sections and slabs cut from rock samples using both µXRF and SEM data. These maps provided spatially resolved modal mineralogy and quantified alteration mineral distributions, enabling correlation between textures, alteration, porosity, and mineral reactions.</w:t>
      </w:r>
    </w:p>
    <w:p w14:paraId="67E0CC4C" w14:textId="35B86350" w:rsidR="009F6F45" w:rsidRPr="009F6F45" w:rsidRDefault="009F6F45" w:rsidP="009F6F45">
      <w:pPr>
        <w:spacing w:line="480" w:lineRule="auto"/>
        <w:jc w:val="both"/>
        <w:rPr>
          <w:rFonts w:ascii="Times New Roman" w:hAnsi="Times New Roman" w:cs="Times New Roman"/>
          <w:sz w:val="24"/>
          <w:szCs w:val="24"/>
          <w:lang w:val="en-US"/>
        </w:rPr>
      </w:pPr>
      <w:r w:rsidRPr="009F6F45">
        <w:rPr>
          <w:rFonts w:ascii="Times New Roman" w:hAnsi="Times New Roman" w:cs="Times New Roman"/>
          <w:sz w:val="24"/>
          <w:szCs w:val="24"/>
          <w:lang w:val="en-US"/>
        </w:rPr>
        <w:t xml:space="preserve">From the µXRF data, elemental maps were acquired with a 20 </w:t>
      </w:r>
      <w:proofErr w:type="spellStart"/>
      <w:r w:rsidRPr="009F6F45">
        <w:rPr>
          <w:rFonts w:ascii="Times New Roman" w:hAnsi="Times New Roman" w:cs="Times New Roman"/>
          <w:sz w:val="24"/>
          <w:szCs w:val="24"/>
          <w:lang w:val="en-US"/>
        </w:rPr>
        <w:t>μm</w:t>
      </w:r>
      <w:proofErr w:type="spellEnd"/>
      <w:r w:rsidRPr="009F6F45">
        <w:rPr>
          <w:rFonts w:ascii="Times New Roman" w:hAnsi="Times New Roman" w:cs="Times New Roman"/>
          <w:sz w:val="24"/>
          <w:szCs w:val="24"/>
          <w:lang w:val="en-US"/>
        </w:rPr>
        <w:t xml:space="preserve"> step size and a 20 </w:t>
      </w:r>
      <w:proofErr w:type="spellStart"/>
      <w:r w:rsidRPr="009F6F45">
        <w:rPr>
          <w:rFonts w:ascii="Times New Roman" w:hAnsi="Times New Roman" w:cs="Times New Roman"/>
          <w:sz w:val="24"/>
          <w:szCs w:val="24"/>
          <w:lang w:val="en-US"/>
        </w:rPr>
        <w:t>ms</w:t>
      </w:r>
      <w:proofErr w:type="spellEnd"/>
      <w:r w:rsidRPr="009F6F45">
        <w:rPr>
          <w:rFonts w:ascii="Times New Roman" w:hAnsi="Times New Roman" w:cs="Times New Roman"/>
          <w:sz w:val="24"/>
          <w:szCs w:val="24"/>
          <w:lang w:val="en-US"/>
        </w:rPr>
        <w:t xml:space="preserve"> dwell time per pixel, and qualitative maps were processed in the Bruker M4 software. Further details on the M4 analytical and processing workflow are provided in Bischoff et al., (2024) and Jolis et al. (2025). AMICS software was used to provide automated mineral identification and image-processing functions, including segmentation, pattern recognition, grain-boundary detection, and particle-size characterization. Mineral assignment began with χ²-based spectral matching against the internal AMICS reference library, followed by iterative refinement using clustering routines and manual adjustment of key spectral attributes. Reclassification cycles were repeated to resolve points initially labelled as unknown, following general procedures described in Bruker (2018). </w:t>
      </w:r>
      <w:r w:rsidR="00066466" w:rsidRPr="00066466">
        <w:rPr>
          <w:rFonts w:ascii="Times New Roman" w:hAnsi="Times New Roman" w:cs="Times New Roman"/>
          <w:sz w:val="24"/>
          <w:szCs w:val="24"/>
          <w:lang w:val="en-US"/>
        </w:rPr>
        <w:t>The final µXRF quantification output consists of mineral and pore-class maps presenting either a single class label or class mixtures per 20 µm pixel, with fewer than 4.48 % of pixels remaining unclassified</w:t>
      </w:r>
      <w:r w:rsidRPr="009F6F45">
        <w:rPr>
          <w:rFonts w:ascii="Times New Roman" w:hAnsi="Times New Roman" w:cs="Times New Roman"/>
          <w:sz w:val="24"/>
          <w:szCs w:val="24"/>
          <w:lang w:val="en-US"/>
        </w:rPr>
        <w:t>. These maps enabled quantification of the relative mineral and pore distributions across the samples and were particularly important for determining the primary mineralogical composition of the rocks and assessing the post-emplacement processes responsible for observed pore-type variations.</w:t>
      </w:r>
    </w:p>
    <w:p w14:paraId="360A7253" w14:textId="77777777" w:rsidR="009F6F45" w:rsidRPr="009F6F45" w:rsidRDefault="009F6F45" w:rsidP="009F6F45">
      <w:pPr>
        <w:spacing w:line="480" w:lineRule="auto"/>
        <w:jc w:val="both"/>
        <w:rPr>
          <w:rFonts w:ascii="Times New Roman" w:hAnsi="Times New Roman" w:cs="Times New Roman"/>
          <w:sz w:val="24"/>
          <w:szCs w:val="24"/>
          <w:lang w:val="en-US"/>
        </w:rPr>
      </w:pPr>
      <w:r w:rsidRPr="009F6F45">
        <w:rPr>
          <w:rFonts w:ascii="Times New Roman" w:hAnsi="Times New Roman" w:cs="Times New Roman"/>
          <w:sz w:val="24"/>
          <w:szCs w:val="24"/>
          <w:lang w:val="en-US"/>
        </w:rPr>
        <w:lastRenderedPageBreak/>
        <w:t xml:space="preserve">At the Thermo Fisher Scientific laboratory in Brno, SEM data was collected from 11 polished thin sections that were carbon-coated to suppress charging artefacts and analyzed under high-vacuum conditions. Backscattered electron (BSE) images were collected using an SDB BSE detector. Energy-dispersive X-ray spectroscopy (EDS) data were acquired using dual Bruker </w:t>
      </w:r>
      <w:proofErr w:type="spellStart"/>
      <w:r w:rsidRPr="009F6F45">
        <w:rPr>
          <w:rFonts w:ascii="Times New Roman" w:hAnsi="Times New Roman" w:cs="Times New Roman"/>
          <w:sz w:val="24"/>
          <w:szCs w:val="24"/>
          <w:lang w:val="en-US"/>
        </w:rPr>
        <w:t>XFlash</w:t>
      </w:r>
      <w:proofErr w:type="spellEnd"/>
      <w:r w:rsidRPr="009F6F45">
        <w:rPr>
          <w:rFonts w:ascii="Times New Roman" w:hAnsi="Times New Roman" w:cs="Times New Roman"/>
          <w:sz w:val="24"/>
          <w:szCs w:val="24"/>
          <w:lang w:val="en-US"/>
        </w:rPr>
        <w:t xml:space="preserve"> 7|60 detectors operated at up to 1 </w:t>
      </w:r>
      <w:proofErr w:type="spellStart"/>
      <w:r w:rsidRPr="009F6F45">
        <w:rPr>
          <w:rFonts w:ascii="Times New Roman" w:hAnsi="Times New Roman" w:cs="Times New Roman"/>
          <w:sz w:val="24"/>
          <w:szCs w:val="24"/>
          <w:lang w:val="en-US"/>
        </w:rPr>
        <w:t>Mcps</w:t>
      </w:r>
      <w:proofErr w:type="spellEnd"/>
      <w:r w:rsidRPr="009F6F45">
        <w:rPr>
          <w:rFonts w:ascii="Times New Roman" w:hAnsi="Times New Roman" w:cs="Times New Roman"/>
          <w:sz w:val="24"/>
          <w:szCs w:val="24"/>
          <w:lang w:val="en-US"/>
        </w:rPr>
        <w:t xml:space="preserve"> per detector (2 </w:t>
      </w:r>
      <w:proofErr w:type="spellStart"/>
      <w:r w:rsidRPr="009F6F45">
        <w:rPr>
          <w:rFonts w:ascii="Times New Roman" w:hAnsi="Times New Roman" w:cs="Times New Roman"/>
          <w:sz w:val="24"/>
          <w:szCs w:val="24"/>
          <w:lang w:val="en-US"/>
        </w:rPr>
        <w:t>Mcps</w:t>
      </w:r>
      <w:proofErr w:type="spellEnd"/>
      <w:r w:rsidRPr="009F6F45">
        <w:rPr>
          <w:rFonts w:ascii="Times New Roman" w:hAnsi="Times New Roman" w:cs="Times New Roman"/>
          <w:sz w:val="24"/>
          <w:szCs w:val="24"/>
          <w:lang w:val="en-US"/>
        </w:rPr>
        <w:t xml:space="preserve"> combined maximum throughput). SEM–EDS mapping was performed at an accelerating voltage of 20 kV, and beam current was optimized using a Cu standard to achieve approximately 40% detector dead time. A two-tier mapping approach was employed to balance analytical throughput and spatial resolution. Each specimen was first surveyed using a large-area overview map comprising a BSE image mosaic acquired and automatically stitched within the Maps environment, with BSE acquisition decoupled from EDS, and co-registered EDS spectral imaging used to generate ZAF-corrected elemental and mineral maps. Overview mineral and elemental maps were acquired using 10 µm EDS point spacing (pixel size) to provide representative textural and compositional context across a broad field of view. Regions of interest (ROIs) were subsequently selected from the overview mosaics to target specific textures and mineral assemblages for higher-resolution characterization. </w:t>
      </w:r>
    </w:p>
    <w:p w14:paraId="49D0B783" w14:textId="77777777" w:rsidR="009F6F45" w:rsidRPr="009F6F45" w:rsidRDefault="009F6F45" w:rsidP="009F6F45">
      <w:pPr>
        <w:spacing w:line="480" w:lineRule="auto"/>
        <w:jc w:val="both"/>
        <w:rPr>
          <w:rFonts w:ascii="Times New Roman" w:hAnsi="Times New Roman" w:cs="Times New Roman"/>
          <w:sz w:val="24"/>
          <w:szCs w:val="24"/>
          <w:lang w:val="en-US"/>
        </w:rPr>
      </w:pPr>
      <w:r w:rsidRPr="009F6F45">
        <w:rPr>
          <w:rFonts w:ascii="Times New Roman" w:hAnsi="Times New Roman" w:cs="Times New Roman"/>
          <w:sz w:val="24"/>
          <w:szCs w:val="24"/>
          <w:lang w:val="en-US"/>
        </w:rPr>
        <w:t xml:space="preserve">ROI mapping was acquired using 1–2 µm EDS point spacing, enabling improved definition of grain boundaries, fine intergrowths, and compositional heterogeneity at the microscale. ROI step size was adjusted between 1 and 2 µm depending on the analytical objective. Mineral classification was carried out in the </w:t>
      </w:r>
      <w:proofErr w:type="spellStart"/>
      <w:r w:rsidRPr="009F6F45">
        <w:rPr>
          <w:rFonts w:ascii="Times New Roman" w:hAnsi="Times New Roman" w:cs="Times New Roman"/>
          <w:sz w:val="24"/>
          <w:szCs w:val="24"/>
          <w:lang w:val="en-US"/>
        </w:rPr>
        <w:t>Nanomin</w:t>
      </w:r>
      <w:proofErr w:type="spellEnd"/>
      <w:r w:rsidRPr="009F6F45">
        <w:rPr>
          <w:rFonts w:ascii="Times New Roman" w:hAnsi="Times New Roman" w:cs="Times New Roman"/>
          <w:sz w:val="24"/>
          <w:szCs w:val="24"/>
          <w:lang w:val="en-US"/>
        </w:rPr>
        <w:t xml:space="preserve"> software from Thermo Fisher Scientific using a full-spectrum matching approach, whereby each measured EDS spectrum is compared against reference spectra in a user-defined mineral library. Mineral identity is assigned using an error minimization routine that selects the mineral or combination of minerals that best matches the measured spectrum, minimizing reliance on manually defined compositional boundaries. To address solid-solution </w:t>
      </w:r>
      <w:r w:rsidRPr="009F6F45">
        <w:rPr>
          <w:rFonts w:ascii="Times New Roman" w:hAnsi="Times New Roman" w:cs="Times New Roman"/>
          <w:sz w:val="24"/>
          <w:szCs w:val="24"/>
          <w:lang w:val="en-US"/>
        </w:rPr>
        <w:lastRenderedPageBreak/>
        <w:t xml:space="preserve">series and mixed spectra from grain boundaries or sub-beam intergrowths, the workflow incorporated both solid-solution support and spectral deconvolution. Solid-solution support allows interpolation between defined endmembers, enabling representation of intermediate compositions without exhaustive manual definitions. Mixed-spectrum handling allows deconvolution of spectra and assignment of multiple phases within a single pixel, reducing the number of unclassified pixels and improving phase boundary fidelity. Where minerals exhibit limited elemental substitutions rather than complete solid solutions, elemental replacement logic was applied to better reflect geologically realistic chemistries while preserving primary mineral identity. </w:t>
      </w:r>
    </w:p>
    <w:p w14:paraId="671D02DD" w14:textId="77777777" w:rsidR="009F6F45" w:rsidRPr="009F6F45" w:rsidRDefault="009F6F45" w:rsidP="009F6F45">
      <w:pPr>
        <w:spacing w:line="480" w:lineRule="auto"/>
        <w:jc w:val="both"/>
        <w:rPr>
          <w:rFonts w:ascii="Times New Roman" w:hAnsi="Times New Roman" w:cs="Times New Roman"/>
          <w:sz w:val="24"/>
          <w:szCs w:val="24"/>
          <w:lang w:val="en-US"/>
        </w:rPr>
      </w:pPr>
      <w:r w:rsidRPr="009F6F45">
        <w:rPr>
          <w:rFonts w:ascii="Times New Roman" w:hAnsi="Times New Roman" w:cs="Times New Roman"/>
          <w:sz w:val="24"/>
          <w:szCs w:val="24"/>
          <w:lang w:val="en-US"/>
        </w:rPr>
        <w:t xml:space="preserve">Elemental assays and mineral chemistry were then derived using the Sum Spectrum Element Quantification algorithm, in which the mineral chemistry was calculated for each detected mineral phase and used to determine elemental deportment. The method is standards-based, uses reference spectra from the mineral database, applies ZAF correction, and employs top-hat background removal. A minimum X-ray count threshold was defined for direct quantification; if a mineral-phase sum spectrum did not meet this threshold, the corresponding mineral composition from the database was used instead. For each mineral phase, only spectra with pure classification were considered, and the top 25% of spectra with the highest spectral match were used to generate a mineral-specific sum spectrum. Where sufficient counts were available, standards-based quantification was applied; otherwise, database compositions were used. For minerals containing light, undetectable elements (carbon and lighter atomic number), these elements were assigned using fixed stoichiometries from the mineral database. Detectable elements were quantified from the sum spectrum and re-normalized accordingly. For oxide, silicate, carbonate, phosphate, and sulphate minerals, oxygen was calculated automatically using fixed element-to-oxide ratios, while standards-based quantification was applied to all other elements. Final results were converted and </w:t>
      </w:r>
      <w:r w:rsidRPr="009F6F45">
        <w:rPr>
          <w:rFonts w:ascii="Times New Roman" w:hAnsi="Times New Roman" w:cs="Times New Roman"/>
          <w:sz w:val="24"/>
          <w:szCs w:val="24"/>
          <w:lang w:val="en-US"/>
        </w:rPr>
        <w:lastRenderedPageBreak/>
        <w:t>normalized to obtain weight percentages for all elements in each mineral phase for reporting and export.</w:t>
      </w:r>
    </w:p>
    <w:p w14:paraId="5F03D62A" w14:textId="77777777" w:rsidR="009F6F45" w:rsidRPr="009F6F45" w:rsidRDefault="009F6F45" w:rsidP="009F6F45">
      <w:pPr>
        <w:spacing w:after="120" w:line="480" w:lineRule="auto"/>
        <w:jc w:val="both"/>
        <w:rPr>
          <w:rFonts w:ascii="Times New Roman" w:hAnsi="Times New Roman" w:cs="Times New Roman"/>
          <w:b/>
          <w:bCs/>
          <w:sz w:val="24"/>
          <w:szCs w:val="24"/>
          <w:lang w:val="en-US"/>
        </w:rPr>
      </w:pPr>
      <w:r w:rsidRPr="009F6F45">
        <w:rPr>
          <w:rFonts w:ascii="Times New Roman" w:hAnsi="Times New Roman" w:cs="Times New Roman"/>
          <w:b/>
          <w:bCs/>
          <w:sz w:val="24"/>
          <w:szCs w:val="24"/>
          <w:lang w:val="en-US"/>
        </w:rPr>
        <w:t xml:space="preserve">Bulk Geochemical Analysis </w:t>
      </w:r>
    </w:p>
    <w:p w14:paraId="313BE918" w14:textId="77777777" w:rsidR="009F6F45" w:rsidRPr="009F6F45" w:rsidRDefault="009F6F45" w:rsidP="009F6F45">
      <w:pPr>
        <w:spacing w:line="480" w:lineRule="auto"/>
        <w:jc w:val="both"/>
      </w:pPr>
      <w:r w:rsidRPr="009F6F45">
        <w:rPr>
          <w:rFonts w:ascii="Times New Roman" w:hAnsi="Times New Roman" w:cs="Times New Roman"/>
          <w:sz w:val="24"/>
          <w:szCs w:val="24"/>
          <w:lang w:val="en-US"/>
        </w:rPr>
        <w:t xml:space="preserve">Major- and trace-element compositions (n=54 and 53, respectively) were determined by wavelength dispersive X-ray Fluorescence (WD-XRF) at the </w:t>
      </w:r>
      <w:proofErr w:type="spellStart"/>
      <w:r w:rsidRPr="009F6F45">
        <w:rPr>
          <w:rFonts w:ascii="Times New Roman" w:hAnsi="Times New Roman" w:cs="Times New Roman"/>
          <w:sz w:val="24"/>
          <w:szCs w:val="24"/>
          <w:lang w:val="en-US"/>
        </w:rPr>
        <w:t>Geohouse</w:t>
      </w:r>
      <w:proofErr w:type="spellEnd"/>
      <w:r w:rsidRPr="009F6F45">
        <w:rPr>
          <w:rFonts w:ascii="Times New Roman" w:hAnsi="Times New Roman" w:cs="Times New Roman"/>
          <w:sz w:val="24"/>
          <w:szCs w:val="24"/>
          <w:lang w:val="en-US"/>
        </w:rPr>
        <w:t xml:space="preserve"> shared facilities of the University of Turku (UTU) and </w:t>
      </w:r>
      <w:proofErr w:type="spellStart"/>
      <w:r w:rsidRPr="009F6F45">
        <w:rPr>
          <w:rFonts w:ascii="Times New Roman" w:hAnsi="Times New Roman" w:cs="Times New Roman"/>
          <w:sz w:val="24"/>
          <w:szCs w:val="24"/>
          <w:lang w:val="en-US"/>
        </w:rPr>
        <w:t>Åbo</w:t>
      </w:r>
      <w:proofErr w:type="spellEnd"/>
      <w:r w:rsidRPr="009F6F45">
        <w:rPr>
          <w:rFonts w:ascii="Times New Roman" w:hAnsi="Times New Roman" w:cs="Times New Roman"/>
          <w:sz w:val="24"/>
          <w:szCs w:val="24"/>
          <w:lang w:val="en-US"/>
        </w:rPr>
        <w:t xml:space="preserve"> </w:t>
      </w:r>
      <w:proofErr w:type="spellStart"/>
      <w:r w:rsidRPr="009F6F45">
        <w:rPr>
          <w:rFonts w:ascii="Times New Roman" w:hAnsi="Times New Roman" w:cs="Times New Roman"/>
          <w:sz w:val="24"/>
          <w:szCs w:val="24"/>
          <w:lang w:val="en-US"/>
        </w:rPr>
        <w:t>Akademi</w:t>
      </w:r>
      <w:proofErr w:type="spellEnd"/>
      <w:r w:rsidRPr="009F6F45">
        <w:rPr>
          <w:rFonts w:ascii="Times New Roman" w:hAnsi="Times New Roman" w:cs="Times New Roman"/>
          <w:sz w:val="24"/>
          <w:szCs w:val="24"/>
          <w:lang w:val="en-US"/>
        </w:rPr>
        <w:t xml:space="preserve"> University (ÅU), Finland, using Malvern </w:t>
      </w:r>
      <w:proofErr w:type="spellStart"/>
      <w:r w:rsidRPr="009F6F45">
        <w:rPr>
          <w:rFonts w:ascii="Times New Roman" w:hAnsi="Times New Roman" w:cs="Times New Roman"/>
          <w:sz w:val="24"/>
          <w:szCs w:val="24"/>
          <w:lang w:val="en-US"/>
        </w:rPr>
        <w:t>Panalytical</w:t>
      </w:r>
      <w:proofErr w:type="spellEnd"/>
      <w:r w:rsidRPr="009F6F45">
        <w:rPr>
          <w:rFonts w:ascii="Times New Roman" w:hAnsi="Times New Roman" w:cs="Times New Roman"/>
          <w:sz w:val="24"/>
          <w:szCs w:val="24"/>
          <w:lang w:val="en-US"/>
        </w:rPr>
        <w:t xml:space="preserve"> </w:t>
      </w:r>
      <w:proofErr w:type="spellStart"/>
      <w:r w:rsidRPr="009F6F45">
        <w:rPr>
          <w:rFonts w:ascii="Times New Roman" w:hAnsi="Times New Roman" w:cs="Times New Roman"/>
          <w:sz w:val="24"/>
          <w:szCs w:val="24"/>
          <w:lang w:val="en-US"/>
        </w:rPr>
        <w:t>Zetium</w:t>
      </w:r>
      <w:proofErr w:type="spellEnd"/>
      <w:r w:rsidRPr="009F6F45">
        <w:rPr>
          <w:rFonts w:ascii="Times New Roman" w:hAnsi="Times New Roman" w:cs="Times New Roman"/>
          <w:sz w:val="24"/>
          <w:szCs w:val="24"/>
          <w:lang w:val="en-US"/>
        </w:rPr>
        <w:t xml:space="preserve"> with a 3 kW Rh-anode x-ray tube as a primary x-ray source. Sample powders were dried overnight at 105°C and then ignited for 1.5h at 1000°C. Loss on ignition (L.O.I.) was calculated from the weight loss. Glass beads (for major element oxide analysis) were prepared by mixing ~1 g of ignited powder with 10.5 g of Li-tetraborate – Li-metaborate – </w:t>
      </w:r>
      <w:proofErr w:type="spellStart"/>
      <w:r w:rsidRPr="009F6F45">
        <w:rPr>
          <w:rFonts w:ascii="Times New Roman" w:hAnsi="Times New Roman" w:cs="Times New Roman"/>
          <w:sz w:val="24"/>
          <w:szCs w:val="24"/>
          <w:lang w:val="en-US"/>
        </w:rPr>
        <w:t>LiBr</w:t>
      </w:r>
      <w:proofErr w:type="spellEnd"/>
      <w:r w:rsidRPr="009F6F45">
        <w:rPr>
          <w:rFonts w:ascii="Times New Roman" w:hAnsi="Times New Roman" w:cs="Times New Roman"/>
          <w:sz w:val="24"/>
          <w:szCs w:val="24"/>
          <w:lang w:val="en-US"/>
        </w:rPr>
        <w:t xml:space="preserve"> mixture (49.75-49.75-0.5 </w:t>
      </w:r>
      <w:proofErr w:type="spellStart"/>
      <w:r w:rsidRPr="009F6F45">
        <w:rPr>
          <w:rFonts w:ascii="Times New Roman" w:hAnsi="Times New Roman" w:cs="Times New Roman"/>
          <w:sz w:val="24"/>
          <w:szCs w:val="24"/>
          <w:lang w:val="en-US"/>
        </w:rPr>
        <w:t>wt</w:t>
      </w:r>
      <w:proofErr w:type="spellEnd"/>
      <w:r w:rsidRPr="009F6F45">
        <w:rPr>
          <w:rFonts w:ascii="Times New Roman" w:hAnsi="Times New Roman" w:cs="Times New Roman"/>
          <w:sz w:val="24"/>
          <w:szCs w:val="24"/>
          <w:lang w:val="en-US"/>
        </w:rPr>
        <w:t xml:space="preserve">%; </w:t>
      </w:r>
      <w:proofErr w:type="spellStart"/>
      <w:r w:rsidRPr="009F6F45">
        <w:rPr>
          <w:rFonts w:ascii="Times New Roman" w:hAnsi="Times New Roman" w:cs="Times New Roman"/>
          <w:sz w:val="24"/>
          <w:szCs w:val="24"/>
          <w:lang w:val="en-US"/>
        </w:rPr>
        <w:t>Claisse</w:t>
      </w:r>
      <w:proofErr w:type="spellEnd"/>
      <w:r w:rsidRPr="009F6F45">
        <w:rPr>
          <w:rFonts w:ascii="Times New Roman" w:hAnsi="Times New Roman" w:cs="Times New Roman"/>
          <w:sz w:val="24"/>
          <w:szCs w:val="24"/>
          <w:lang w:val="en-US"/>
        </w:rPr>
        <w:t xml:space="preserve"> C-0620-60) and fused at 1050°C in a </w:t>
      </w:r>
      <w:proofErr w:type="spellStart"/>
      <w:r w:rsidRPr="009F6F45">
        <w:rPr>
          <w:rFonts w:ascii="Times New Roman" w:hAnsi="Times New Roman" w:cs="Times New Roman"/>
          <w:sz w:val="24"/>
          <w:szCs w:val="24"/>
          <w:lang w:val="en-US"/>
        </w:rPr>
        <w:t>Claisse</w:t>
      </w:r>
      <w:proofErr w:type="spellEnd"/>
      <w:r w:rsidRPr="009F6F45">
        <w:rPr>
          <w:rFonts w:ascii="Times New Roman" w:hAnsi="Times New Roman" w:cs="Times New Roman"/>
          <w:sz w:val="24"/>
          <w:szCs w:val="24"/>
          <w:lang w:val="en-US"/>
        </w:rPr>
        <w:t xml:space="preserve"> </w:t>
      </w:r>
      <w:proofErr w:type="spellStart"/>
      <w:r w:rsidRPr="009F6F45">
        <w:rPr>
          <w:rFonts w:ascii="Times New Roman" w:hAnsi="Times New Roman" w:cs="Times New Roman"/>
          <w:sz w:val="24"/>
          <w:szCs w:val="24"/>
          <w:lang w:val="en-US"/>
        </w:rPr>
        <w:t>LeNeo</w:t>
      </w:r>
      <w:proofErr w:type="spellEnd"/>
      <w:r w:rsidRPr="009F6F45">
        <w:rPr>
          <w:rFonts w:ascii="Times New Roman" w:hAnsi="Times New Roman" w:cs="Times New Roman"/>
          <w:sz w:val="24"/>
          <w:szCs w:val="24"/>
          <w:lang w:val="en-US"/>
        </w:rPr>
        <w:t xml:space="preserve"> automatic fluxer. Pressed powder pellets (for trace element analysis) were prepared by weighing 12 g of dried sample powder and 3 g of binder (</w:t>
      </w:r>
      <w:proofErr w:type="spellStart"/>
      <w:r w:rsidRPr="009F6F45">
        <w:rPr>
          <w:rFonts w:ascii="Times New Roman" w:hAnsi="Times New Roman" w:cs="Times New Roman"/>
          <w:sz w:val="24"/>
          <w:szCs w:val="24"/>
          <w:lang w:val="en-US"/>
        </w:rPr>
        <w:t>Fluxana</w:t>
      </w:r>
      <w:proofErr w:type="spellEnd"/>
      <w:r w:rsidRPr="009F6F45">
        <w:rPr>
          <w:rFonts w:ascii="Times New Roman" w:hAnsi="Times New Roman" w:cs="Times New Roman"/>
          <w:sz w:val="24"/>
          <w:szCs w:val="24"/>
          <w:lang w:val="en-US"/>
        </w:rPr>
        <w:t xml:space="preserve"> </w:t>
      </w:r>
      <w:proofErr w:type="spellStart"/>
      <w:r w:rsidRPr="009F6F45">
        <w:rPr>
          <w:rFonts w:ascii="Times New Roman" w:hAnsi="Times New Roman" w:cs="Times New Roman"/>
          <w:sz w:val="24"/>
          <w:szCs w:val="24"/>
          <w:lang w:val="en-US"/>
        </w:rPr>
        <w:t>Cereox</w:t>
      </w:r>
      <w:proofErr w:type="spellEnd"/>
      <w:r w:rsidRPr="009F6F45">
        <w:rPr>
          <w:rFonts w:ascii="Times New Roman" w:hAnsi="Times New Roman" w:cs="Times New Roman"/>
          <w:sz w:val="24"/>
          <w:szCs w:val="24"/>
          <w:lang w:val="en-US"/>
        </w:rPr>
        <w:t xml:space="preserve"> wax powder) into plastic containers with a PTFE bead and were shaken in a Mixer Mill (SPEX </w:t>
      </w:r>
      <w:proofErr w:type="spellStart"/>
      <w:r w:rsidRPr="009F6F45">
        <w:rPr>
          <w:rFonts w:ascii="Times New Roman" w:hAnsi="Times New Roman" w:cs="Times New Roman"/>
          <w:sz w:val="24"/>
          <w:szCs w:val="24"/>
          <w:lang w:val="en-US"/>
        </w:rPr>
        <w:t>Certiprep</w:t>
      </w:r>
      <w:proofErr w:type="spellEnd"/>
      <w:r w:rsidRPr="009F6F45">
        <w:rPr>
          <w:rFonts w:ascii="Times New Roman" w:hAnsi="Times New Roman" w:cs="Times New Roman"/>
          <w:sz w:val="24"/>
          <w:szCs w:val="24"/>
          <w:lang w:val="en-US"/>
        </w:rPr>
        <w:t xml:space="preserve">) for three minutes. The mixture was poured into a </w:t>
      </w:r>
      <w:proofErr w:type="spellStart"/>
      <w:r w:rsidRPr="009F6F45">
        <w:rPr>
          <w:rFonts w:ascii="Times New Roman" w:hAnsi="Times New Roman" w:cs="Times New Roman"/>
          <w:sz w:val="24"/>
          <w:szCs w:val="24"/>
          <w:lang w:val="en-US"/>
        </w:rPr>
        <w:t>mould</w:t>
      </w:r>
      <w:proofErr w:type="spellEnd"/>
      <w:r w:rsidRPr="009F6F45">
        <w:rPr>
          <w:rFonts w:ascii="Times New Roman" w:hAnsi="Times New Roman" w:cs="Times New Roman"/>
          <w:sz w:val="24"/>
          <w:szCs w:val="24"/>
          <w:lang w:val="en-US"/>
        </w:rPr>
        <w:t xml:space="preserve"> with </w:t>
      </w:r>
      <w:proofErr w:type="spellStart"/>
      <w:r w:rsidRPr="009F6F45">
        <w:rPr>
          <w:rFonts w:ascii="Times New Roman" w:hAnsi="Times New Roman" w:cs="Times New Roman"/>
          <w:sz w:val="24"/>
          <w:szCs w:val="24"/>
          <w:lang w:val="en-US"/>
        </w:rPr>
        <w:t>aluminium</w:t>
      </w:r>
      <w:proofErr w:type="spellEnd"/>
      <w:r w:rsidRPr="009F6F45">
        <w:rPr>
          <w:rFonts w:ascii="Times New Roman" w:hAnsi="Times New Roman" w:cs="Times New Roman"/>
          <w:sz w:val="24"/>
          <w:szCs w:val="24"/>
          <w:lang w:val="en-US"/>
        </w:rPr>
        <w:t xml:space="preserve"> cup for backing and pellets were pressed in a 40 mm diameter die by a hydraulic press held at 20 tons for three minutes. The data collection and quantification of major and trace element concentrations was controlled by the </w:t>
      </w:r>
      <w:proofErr w:type="spellStart"/>
      <w:r w:rsidRPr="009F6F45">
        <w:rPr>
          <w:rFonts w:ascii="Times New Roman" w:hAnsi="Times New Roman" w:cs="Times New Roman"/>
          <w:sz w:val="24"/>
          <w:szCs w:val="24"/>
          <w:lang w:val="en-US"/>
        </w:rPr>
        <w:t>SuperQ</w:t>
      </w:r>
      <w:proofErr w:type="spellEnd"/>
      <w:r w:rsidRPr="009F6F45">
        <w:rPr>
          <w:rFonts w:ascii="Times New Roman" w:hAnsi="Times New Roman" w:cs="Times New Roman"/>
          <w:sz w:val="24"/>
          <w:szCs w:val="24"/>
          <w:lang w:val="en-US"/>
        </w:rPr>
        <w:t xml:space="preserve"> software package and the calibrations are based on the WROXI and </w:t>
      </w:r>
      <w:proofErr w:type="spellStart"/>
      <w:r w:rsidRPr="009F6F45">
        <w:rPr>
          <w:rFonts w:ascii="Times New Roman" w:hAnsi="Times New Roman" w:cs="Times New Roman"/>
          <w:sz w:val="24"/>
          <w:szCs w:val="24"/>
          <w:lang w:val="en-US"/>
        </w:rPr>
        <w:t>ProTrace</w:t>
      </w:r>
      <w:proofErr w:type="spellEnd"/>
      <w:r w:rsidRPr="009F6F45">
        <w:rPr>
          <w:rFonts w:ascii="Times New Roman" w:hAnsi="Times New Roman" w:cs="Times New Roman"/>
          <w:sz w:val="24"/>
          <w:szCs w:val="24"/>
          <w:lang w:val="en-US"/>
        </w:rPr>
        <w:t xml:space="preserve"> calibration packages by Malvern </w:t>
      </w:r>
      <w:proofErr w:type="spellStart"/>
      <w:r w:rsidRPr="009F6F45">
        <w:rPr>
          <w:rFonts w:ascii="Times New Roman" w:hAnsi="Times New Roman" w:cs="Times New Roman"/>
          <w:sz w:val="24"/>
          <w:szCs w:val="24"/>
          <w:lang w:val="en-US"/>
        </w:rPr>
        <w:t>Panalytical</w:t>
      </w:r>
      <w:proofErr w:type="spellEnd"/>
      <w:r w:rsidRPr="009F6F45">
        <w:rPr>
          <w:rFonts w:ascii="Times New Roman" w:hAnsi="Times New Roman" w:cs="Times New Roman"/>
          <w:sz w:val="24"/>
          <w:szCs w:val="24"/>
          <w:lang w:val="en-US"/>
        </w:rPr>
        <w:t xml:space="preserve"> B.V., Almelo, Netherlands.</w:t>
      </w:r>
    </w:p>
    <w:p w14:paraId="6269FD68" w14:textId="77777777" w:rsidR="009F6F45" w:rsidRPr="009F6F45" w:rsidRDefault="009F6F45" w:rsidP="009F6F45">
      <w:pPr>
        <w:spacing w:line="480" w:lineRule="auto"/>
        <w:jc w:val="both"/>
        <w:rPr>
          <w:rFonts w:ascii="Times New Roman" w:hAnsi="Times New Roman" w:cs="Times New Roman"/>
          <w:sz w:val="24"/>
          <w:szCs w:val="24"/>
          <w:lang w:val="en-US"/>
        </w:rPr>
      </w:pPr>
      <w:r w:rsidRPr="009F6F45">
        <w:rPr>
          <w:rFonts w:ascii="Times New Roman" w:hAnsi="Times New Roman" w:cs="Times New Roman"/>
          <w:sz w:val="24"/>
          <w:szCs w:val="24"/>
          <w:lang w:val="en-US"/>
        </w:rPr>
        <w:t xml:space="preserve">Data for Fish Canyon Tuff (FCT) and Merriam Crater Basalt (MCB) standard measurements is provided in the Supplementary Material. The major element oxide data shows high accuracy (≤1 % divergence from the recommended values) and precision (coefficient of variation ≤2 %). In case </w:t>
      </w:r>
      <w:r w:rsidRPr="009F6F45">
        <w:rPr>
          <w:rFonts w:ascii="Times New Roman" w:hAnsi="Times New Roman" w:cs="Times New Roman"/>
          <w:sz w:val="24"/>
          <w:szCs w:val="24"/>
          <w:lang w:val="en-US"/>
        </w:rPr>
        <w:lastRenderedPageBreak/>
        <w:t>of trace elements, the precision and especially accuracy vary considerably. The precision (coefficient of variation) for trace elements found in concentrations above 10 ppm is always better than 11 %. This is also true for trace elements found in concentrations below 10 ppm (but above limit of detection), except for Yb (34 %) and Hf (16 %). Accuracy (divergence from recommended values) is generally better than 10-20 %, except for Sc, Yb, Hf, Pb, Th, and U (the values vary for the different standards, see Supplementary Material). In addition, there is no standard data available for Cl, F, and S. Taking this into account, we recommend that data for Cl, F, S, Sc, Yb, Hf, Pb, Th, and U should only be used for comparative purposes and not considered as absolute values (we have marked this also in the Supplementary Material). In this paper, we do not consider mass transfer or mass balance. However, the fact that also these elements show intergroup variation (see Figs. 10-12) and correlate with petrography and mineral composition shows that such comparative use is meaningful.</w:t>
      </w:r>
    </w:p>
    <w:p w14:paraId="172B67C2" w14:textId="77777777" w:rsidR="009F6F45" w:rsidRPr="009F6F45" w:rsidRDefault="009F6F45" w:rsidP="009F6F45">
      <w:pPr>
        <w:spacing w:line="480" w:lineRule="auto"/>
        <w:jc w:val="both"/>
        <w:rPr>
          <w:rFonts w:ascii="Times New Roman" w:hAnsi="Times New Roman" w:cs="Times New Roman"/>
          <w:sz w:val="24"/>
          <w:szCs w:val="24"/>
          <w:lang w:val="en-US"/>
        </w:rPr>
      </w:pPr>
    </w:p>
    <w:p w14:paraId="7738434F" w14:textId="77777777" w:rsidR="009F6F45" w:rsidRPr="009F6F45" w:rsidRDefault="009F6F45" w:rsidP="009F6F45">
      <w:pPr>
        <w:spacing w:after="120" w:line="480" w:lineRule="auto"/>
        <w:jc w:val="both"/>
        <w:rPr>
          <w:rFonts w:ascii="Times New Roman" w:hAnsi="Times New Roman" w:cs="Times New Roman"/>
          <w:b/>
          <w:bCs/>
          <w:sz w:val="24"/>
          <w:szCs w:val="24"/>
          <w:lang w:val="en-US"/>
        </w:rPr>
      </w:pPr>
      <w:r w:rsidRPr="009F6F45">
        <w:rPr>
          <w:rFonts w:ascii="Times New Roman" w:hAnsi="Times New Roman" w:cs="Times New Roman"/>
          <w:b/>
          <w:bCs/>
          <w:sz w:val="24"/>
          <w:szCs w:val="24"/>
          <w:lang w:val="en-US"/>
        </w:rPr>
        <w:t>X-ray Diffraction (XRD)</w:t>
      </w:r>
    </w:p>
    <w:p w14:paraId="447B12A1" w14:textId="77777777" w:rsidR="009F6F45" w:rsidRPr="009F6F45" w:rsidRDefault="009F6F45" w:rsidP="009F6F45">
      <w:pPr>
        <w:spacing w:line="480" w:lineRule="auto"/>
        <w:jc w:val="both"/>
        <w:rPr>
          <w:rFonts w:ascii="Times New Roman" w:hAnsi="Times New Roman" w:cs="Times New Roman"/>
          <w:sz w:val="24"/>
          <w:szCs w:val="24"/>
          <w:lang w:val="en-US"/>
        </w:rPr>
      </w:pPr>
      <w:r w:rsidRPr="009F6F45">
        <w:rPr>
          <w:rFonts w:ascii="Times New Roman" w:hAnsi="Times New Roman" w:cs="Times New Roman"/>
          <w:sz w:val="24"/>
          <w:szCs w:val="24"/>
          <w:lang w:val="en-US"/>
        </w:rPr>
        <w:t xml:space="preserve">Bulk mineralogical compositions of 15 representative samples were determined by powder XRD at the </w:t>
      </w:r>
      <w:proofErr w:type="spellStart"/>
      <w:r w:rsidRPr="009F6F45">
        <w:rPr>
          <w:rFonts w:ascii="Times New Roman" w:hAnsi="Times New Roman" w:cs="Times New Roman"/>
          <w:sz w:val="24"/>
          <w:szCs w:val="24"/>
          <w:lang w:val="en-US"/>
        </w:rPr>
        <w:t>Geohouse</w:t>
      </w:r>
      <w:proofErr w:type="spellEnd"/>
      <w:r w:rsidRPr="009F6F45">
        <w:rPr>
          <w:rFonts w:ascii="Times New Roman" w:hAnsi="Times New Roman" w:cs="Times New Roman"/>
          <w:sz w:val="24"/>
          <w:szCs w:val="24"/>
          <w:lang w:val="en-US"/>
        </w:rPr>
        <w:t xml:space="preserve"> facilities using a </w:t>
      </w:r>
      <w:proofErr w:type="spellStart"/>
      <w:r w:rsidRPr="009F6F45">
        <w:rPr>
          <w:rFonts w:ascii="Times New Roman" w:hAnsi="Times New Roman" w:cs="Times New Roman"/>
          <w:sz w:val="24"/>
          <w:szCs w:val="24"/>
          <w:lang w:val="en-US"/>
        </w:rPr>
        <w:t>PANalytical</w:t>
      </w:r>
      <w:proofErr w:type="spellEnd"/>
      <w:r w:rsidRPr="009F6F45">
        <w:rPr>
          <w:rFonts w:ascii="Times New Roman" w:hAnsi="Times New Roman" w:cs="Times New Roman"/>
          <w:sz w:val="24"/>
          <w:szCs w:val="24"/>
          <w:lang w:val="en-US"/>
        </w:rPr>
        <w:t xml:space="preserve"> PW3830 diffractometer with Cu–Kα radiation (λ = 1.5406 Å). Target mineral domains were mechanically separated from hand specimens using a steel point and gentle hammering to isolate visually homogeneous material. The selected fragments were then grounded to a fine powder in an agate mortar and pestle to avoid contamination. Powder mounts were prepared to minimize preferred orientation effects. Diffraction patterns were acquired over a 2θ range of 3°–75° with a step size of 0.01° and a counting time of 1 s per step. Mineral phases were identified using standard reference databases, and relative abundances were estimated </w:t>
      </w:r>
      <w:r w:rsidRPr="009F6F45">
        <w:rPr>
          <w:rFonts w:ascii="Times New Roman" w:hAnsi="Times New Roman" w:cs="Times New Roman"/>
          <w:sz w:val="24"/>
          <w:szCs w:val="24"/>
          <w:lang w:val="en-US"/>
        </w:rPr>
        <w:lastRenderedPageBreak/>
        <w:t>from peak intensities. The XRD data provide constraints on the distribution of primary igneous minerals and secondary alteration phases and were integrated with petrographic observations to define alteration assemblages and support facies classification.</w:t>
      </w:r>
    </w:p>
    <w:p w14:paraId="408677BD" w14:textId="77777777" w:rsidR="009F6F45" w:rsidRPr="009F6F45" w:rsidRDefault="009F6F45" w:rsidP="009F6F45">
      <w:pPr>
        <w:spacing w:after="120" w:line="480" w:lineRule="auto"/>
        <w:jc w:val="both"/>
        <w:rPr>
          <w:rFonts w:ascii="Times New Roman" w:hAnsi="Times New Roman" w:cs="Times New Roman"/>
          <w:b/>
          <w:bCs/>
          <w:sz w:val="24"/>
          <w:szCs w:val="24"/>
          <w:lang w:val="en-US"/>
        </w:rPr>
      </w:pPr>
      <w:r w:rsidRPr="009F6F45">
        <w:rPr>
          <w:rFonts w:ascii="Times New Roman" w:hAnsi="Times New Roman" w:cs="Times New Roman"/>
          <w:b/>
          <w:bCs/>
          <w:sz w:val="24"/>
          <w:szCs w:val="24"/>
          <w:lang w:val="en-US"/>
        </w:rPr>
        <w:t>X-ray Computed Tomography Scanning (XCT)</w:t>
      </w:r>
    </w:p>
    <w:p w14:paraId="01AC71EB" w14:textId="3ACCB596" w:rsidR="009F6F45" w:rsidRPr="009F6F45" w:rsidRDefault="009F6F45" w:rsidP="009F6F45">
      <w:pPr>
        <w:spacing w:line="480" w:lineRule="auto"/>
        <w:jc w:val="both"/>
        <w:rPr>
          <w:rFonts w:ascii="Times New Roman" w:hAnsi="Times New Roman" w:cs="Times New Roman"/>
          <w:sz w:val="24"/>
          <w:szCs w:val="24"/>
          <w:lang w:val="en-US"/>
        </w:rPr>
      </w:pPr>
      <w:r w:rsidRPr="009F6F45">
        <w:rPr>
          <w:rFonts w:ascii="Times New Roman" w:hAnsi="Times New Roman" w:cs="Times New Roman"/>
          <w:sz w:val="24"/>
          <w:szCs w:val="24"/>
          <w:lang w:val="en-US"/>
        </w:rPr>
        <w:t xml:space="preserve">XCT scans were acquired at the GTK X-ray Computed Tomography Laboratory in Espoo, Finland, using a GE Phoenix </w:t>
      </w:r>
      <w:proofErr w:type="spellStart"/>
      <w:r w:rsidRPr="009F6F45">
        <w:rPr>
          <w:rFonts w:ascii="Times New Roman" w:hAnsi="Times New Roman" w:cs="Times New Roman"/>
          <w:sz w:val="24"/>
          <w:szCs w:val="24"/>
          <w:lang w:val="en-US"/>
        </w:rPr>
        <w:t>v|tome|x</w:t>
      </w:r>
      <w:proofErr w:type="spellEnd"/>
      <w:r w:rsidRPr="009F6F45">
        <w:rPr>
          <w:rFonts w:ascii="Times New Roman" w:hAnsi="Times New Roman" w:cs="Times New Roman"/>
          <w:sz w:val="24"/>
          <w:szCs w:val="24"/>
          <w:lang w:val="en-US"/>
        </w:rPr>
        <w:t xml:space="preserve"> scanner, following the methods described in Bischoff et al. (2024) and Kuva et al. (2025). A representative block measuring </w:t>
      </w:r>
      <w:r w:rsidR="00A0690E" w:rsidRPr="00A0690E">
        <w:rPr>
          <w:rFonts w:ascii="Times New Roman" w:hAnsi="Times New Roman" w:cs="Times New Roman"/>
          <w:sz w:val="24"/>
          <w:szCs w:val="24"/>
          <w:lang w:val="en-US"/>
        </w:rPr>
        <w:t>30 x 33 x 55 mm</w:t>
      </w:r>
      <w:r w:rsidR="00A0690E">
        <w:rPr>
          <w:rFonts w:ascii="Times New Roman" w:hAnsi="Times New Roman" w:cs="Times New Roman"/>
          <w:sz w:val="24"/>
          <w:szCs w:val="24"/>
          <w:lang w:val="en-US"/>
        </w:rPr>
        <w:t xml:space="preserve"> </w:t>
      </w:r>
      <w:r w:rsidRPr="009F6F45">
        <w:rPr>
          <w:rFonts w:ascii="Times New Roman" w:hAnsi="Times New Roman" w:cs="Times New Roman"/>
          <w:sz w:val="24"/>
          <w:szCs w:val="24"/>
          <w:lang w:val="en-US"/>
        </w:rPr>
        <w:t xml:space="preserve">from the High-Density Fracture Zone (HDFZ), described in the first part of this work (Nordbäck et al., 2026), was scanned at 24.5 </w:t>
      </w:r>
      <w:proofErr w:type="spellStart"/>
      <w:r w:rsidRPr="009F6F45">
        <w:rPr>
          <w:rFonts w:ascii="Times New Roman" w:hAnsi="Times New Roman" w:cs="Times New Roman"/>
          <w:sz w:val="24"/>
          <w:szCs w:val="24"/>
          <w:lang w:val="en-US"/>
        </w:rPr>
        <w:t>μm</w:t>
      </w:r>
      <w:proofErr w:type="spellEnd"/>
      <w:r w:rsidRPr="009F6F45">
        <w:rPr>
          <w:rFonts w:ascii="Times New Roman" w:hAnsi="Times New Roman" w:cs="Times New Roman"/>
          <w:sz w:val="24"/>
          <w:szCs w:val="24"/>
          <w:lang w:val="en-US"/>
        </w:rPr>
        <w:t xml:space="preserve"> resolution, generating 8100 projections over 270 min during three vertically offset scans. Images were processed using Mask Segmentation and 2-Phase Watershed in </w:t>
      </w:r>
      <w:proofErr w:type="spellStart"/>
      <w:r w:rsidRPr="009F6F45">
        <w:rPr>
          <w:rFonts w:ascii="Times New Roman" w:hAnsi="Times New Roman" w:cs="Times New Roman"/>
          <w:sz w:val="24"/>
          <w:szCs w:val="24"/>
          <w:lang w:val="en-US"/>
        </w:rPr>
        <w:t>PerGeos</w:t>
      </w:r>
      <w:proofErr w:type="spellEnd"/>
      <w:r w:rsidRPr="009F6F45">
        <w:rPr>
          <w:rFonts w:ascii="Times New Roman" w:hAnsi="Times New Roman" w:cs="Times New Roman"/>
          <w:sz w:val="24"/>
          <w:szCs w:val="24"/>
          <w:lang w:val="en-US"/>
        </w:rPr>
        <w:t xml:space="preserve"> 2020.2 to highlight low-density voids, and pore connectivity was analyzed with the labeling tool, assigning unique labels to each connected pore body.</w:t>
      </w:r>
    </w:p>
    <w:p w14:paraId="4F9AF932" w14:textId="77777777" w:rsidR="009F6F45" w:rsidRPr="009F6F45" w:rsidRDefault="009F6F45" w:rsidP="009F6F45">
      <w:pPr>
        <w:spacing w:after="120" w:line="480" w:lineRule="auto"/>
        <w:jc w:val="both"/>
        <w:rPr>
          <w:rFonts w:ascii="Times New Roman" w:hAnsi="Times New Roman" w:cs="Times New Roman"/>
          <w:b/>
          <w:bCs/>
          <w:sz w:val="24"/>
          <w:szCs w:val="24"/>
          <w:lang w:val="en-US"/>
        </w:rPr>
      </w:pPr>
      <w:r w:rsidRPr="009F6F45">
        <w:rPr>
          <w:rFonts w:ascii="Times New Roman" w:hAnsi="Times New Roman" w:cs="Times New Roman"/>
          <w:b/>
          <w:bCs/>
          <w:sz w:val="24"/>
          <w:szCs w:val="24"/>
          <w:lang w:val="en-US"/>
        </w:rPr>
        <w:t>Petrophysical Measurements</w:t>
      </w:r>
    </w:p>
    <w:p w14:paraId="0756CF2F" w14:textId="77777777" w:rsidR="009F6F45" w:rsidRPr="009F6F45" w:rsidRDefault="009F6F45" w:rsidP="009F6F45">
      <w:pPr>
        <w:spacing w:line="480" w:lineRule="auto"/>
        <w:jc w:val="both"/>
        <w:rPr>
          <w:rFonts w:ascii="Times New Roman" w:hAnsi="Times New Roman" w:cs="Times New Roman"/>
          <w:sz w:val="24"/>
          <w:szCs w:val="24"/>
          <w:lang w:val="en-US"/>
        </w:rPr>
      </w:pPr>
      <w:r w:rsidRPr="009F6F45">
        <w:rPr>
          <w:rFonts w:ascii="Times New Roman" w:hAnsi="Times New Roman" w:cs="Times New Roman"/>
          <w:sz w:val="24"/>
          <w:szCs w:val="24"/>
          <w:lang w:val="en-US"/>
        </w:rPr>
        <w:t>Petrophysical properties were measured on the 39 cylindrical cores samples at the laboratories of the GTK and the Strasbourg Institute of Earth &amp; Environment (University of Strasbourg, France). All samples were ~19.8 mm in diameter with a nominal length of ~40 mm. Samples containing large fractures or intense alteration were wrapped in adhesive tape to prevent damage during testing. Supplementary Material provides a detailed compilation of the methods applied to each sample along with their respective results.</w:t>
      </w:r>
    </w:p>
    <w:p w14:paraId="2856E44A" w14:textId="77777777" w:rsidR="009F6F45" w:rsidRPr="009F6F45" w:rsidRDefault="009F6F45" w:rsidP="009F6F45">
      <w:pPr>
        <w:spacing w:line="480" w:lineRule="auto"/>
        <w:jc w:val="both"/>
        <w:rPr>
          <w:rFonts w:ascii="Times New Roman" w:hAnsi="Times New Roman" w:cs="Times New Roman"/>
          <w:sz w:val="24"/>
          <w:szCs w:val="24"/>
          <w:lang w:val="en-US"/>
        </w:rPr>
      </w:pPr>
      <w:r w:rsidRPr="009F6F45">
        <w:rPr>
          <w:rFonts w:ascii="Times New Roman" w:hAnsi="Times New Roman" w:cs="Times New Roman"/>
          <w:sz w:val="24"/>
          <w:szCs w:val="24"/>
          <w:lang w:val="en-US"/>
        </w:rPr>
        <w:t xml:space="preserve">At the GTK laboratory, all 39 samples were measured for bulk density, connected porosity, P-wave velocity, magnetic susceptibility, electric resistivity, and thermal properties, including thermal conductivity and specific heat capacity. Samples were not oven-dried prior to </w:t>
      </w:r>
      <w:r w:rsidRPr="009F6F45">
        <w:rPr>
          <w:rFonts w:ascii="Times New Roman" w:hAnsi="Times New Roman" w:cs="Times New Roman"/>
          <w:sz w:val="24"/>
          <w:szCs w:val="24"/>
          <w:lang w:val="en-US"/>
        </w:rPr>
        <w:lastRenderedPageBreak/>
        <w:t>measurements, except for porosity determination and dry-condition thermal measurements. Bulk density and connected porosity were determined using the triple-weight water-saturation method. Samples were first fully saturated by immersion in water for 72 h. and subsequently weighed in air (after removing surface water with a towel) and while suspended in water using a precision balance with an accuracy of 0.01 g. Following these measurements, samples were oven-dried in a Binder Type 34 oven at 105 °C for 3 days, after which the dry mass was measured. Bulk density and porosity were calculated using Archimedes’ principle. P-wave velocity (</w:t>
      </w:r>
      <w:proofErr w:type="spellStart"/>
      <w:r w:rsidRPr="009F6F45">
        <w:rPr>
          <w:rFonts w:ascii="Times New Roman" w:hAnsi="Times New Roman" w:cs="Times New Roman"/>
          <w:sz w:val="24"/>
          <w:szCs w:val="24"/>
          <w:lang w:val="en-US"/>
        </w:rPr>
        <w:t>Vp</w:t>
      </w:r>
      <w:proofErr w:type="spellEnd"/>
      <w:r w:rsidRPr="009F6F45">
        <w:rPr>
          <w:rFonts w:ascii="Times New Roman" w:hAnsi="Times New Roman" w:cs="Times New Roman"/>
          <w:sz w:val="24"/>
          <w:szCs w:val="24"/>
          <w:lang w:val="en-US"/>
        </w:rPr>
        <w:t xml:space="preserve">) was measured under water-saturated conditions using a GTK-built ultrasonic device operating at a frequency of 1 </w:t>
      </w:r>
      <w:proofErr w:type="spellStart"/>
      <w:r w:rsidRPr="009F6F45">
        <w:rPr>
          <w:rFonts w:ascii="Times New Roman" w:hAnsi="Times New Roman" w:cs="Times New Roman"/>
          <w:sz w:val="24"/>
          <w:szCs w:val="24"/>
          <w:lang w:val="en-US"/>
        </w:rPr>
        <w:t>MHz.</w:t>
      </w:r>
      <w:proofErr w:type="spellEnd"/>
      <w:r w:rsidRPr="009F6F45">
        <w:rPr>
          <w:rFonts w:ascii="Times New Roman" w:hAnsi="Times New Roman" w:cs="Times New Roman"/>
          <w:sz w:val="24"/>
          <w:szCs w:val="24"/>
          <w:lang w:val="en-US"/>
        </w:rPr>
        <w:t xml:space="preserve"> The travel time of the acoustic pulse through the sample was recorded, yielding a measurement accuracy of approximately ±10 m/s. In addition, P- and S-wave velocities (</w:t>
      </w:r>
      <w:proofErr w:type="spellStart"/>
      <w:r w:rsidRPr="009F6F45">
        <w:rPr>
          <w:rFonts w:ascii="Times New Roman" w:hAnsi="Times New Roman" w:cs="Times New Roman"/>
          <w:sz w:val="24"/>
          <w:szCs w:val="24"/>
          <w:lang w:val="en-US"/>
        </w:rPr>
        <w:t>Vp</w:t>
      </w:r>
      <w:proofErr w:type="spellEnd"/>
      <w:r w:rsidRPr="009F6F45">
        <w:rPr>
          <w:rFonts w:ascii="Times New Roman" w:hAnsi="Times New Roman" w:cs="Times New Roman"/>
          <w:sz w:val="24"/>
          <w:szCs w:val="24"/>
          <w:lang w:val="en-US"/>
        </w:rPr>
        <w:t xml:space="preserve"> and Vs) under wet conditions were measured on 22 samples from this subset at Oy Rock Physics Finland Ltd, as detailed in the Supplementary Material. Magnetic susceptibility was measured using both a low-frequency AC susceptibility bridge developed at GTK and an AGICO MFK1-FA </w:t>
      </w:r>
      <w:proofErr w:type="spellStart"/>
      <w:r w:rsidRPr="009F6F45">
        <w:rPr>
          <w:rFonts w:ascii="Times New Roman" w:hAnsi="Times New Roman" w:cs="Times New Roman"/>
          <w:sz w:val="24"/>
          <w:szCs w:val="24"/>
          <w:lang w:val="en-US"/>
        </w:rPr>
        <w:t>Kappabridge</w:t>
      </w:r>
      <w:proofErr w:type="spellEnd"/>
      <w:r w:rsidRPr="009F6F45">
        <w:rPr>
          <w:rFonts w:ascii="Times New Roman" w:hAnsi="Times New Roman" w:cs="Times New Roman"/>
          <w:sz w:val="24"/>
          <w:szCs w:val="24"/>
          <w:lang w:val="en-US"/>
        </w:rPr>
        <w:t xml:space="preserve">. The use of two independent measurement systems allowed cross-validation of susceptibility values and improved measurement reliability. Electrical resistivity was determined as apparent resistivity using both inductive and galvanic methods. Inductive measurements were conducted using the GTK AC bridge, while galvanic measurements were carried out on water-saturated samples using GTK-built and commercial devices. Measurements were performed at multiple frequencies (0.1, 10, and 500 Hz) to assess frequency-dependent electrical behavior. Galvanic measurements represent apparent resistivity values, as electrode–sample interface resistance is inherently included in the measurements, and the use of multiple frequencies allows assessment of frequency-dependent effects, including induced polarization. Thermal conductivity and specific heat capacity were measured under wet and dry conditions using a Hot Disk TPS 2200 </w:t>
      </w:r>
      <w:r w:rsidRPr="009F6F45">
        <w:rPr>
          <w:rFonts w:ascii="Times New Roman" w:hAnsi="Times New Roman" w:cs="Times New Roman"/>
          <w:sz w:val="24"/>
          <w:szCs w:val="24"/>
          <w:lang w:val="en-US"/>
        </w:rPr>
        <w:lastRenderedPageBreak/>
        <w:t>Thermal Constants Analyzer applying the transient plane source (TPS) method (Gustafsson, 1991; Heap et al., 2020). Measurements were performed using a Kapton-insulated sensor (model 5501, radius 6.403 mm, or model 5465, radius 3.189 mm, depending on sample size). Data were processed using the Hot Disk Thermal Constants Analyzer software (version 7.6.35).</w:t>
      </w:r>
    </w:p>
    <w:p w14:paraId="2880B6C9" w14:textId="77777777" w:rsidR="009F6F45" w:rsidRPr="009F6F45" w:rsidRDefault="009F6F45" w:rsidP="009F6F45">
      <w:pPr>
        <w:spacing w:line="480" w:lineRule="auto"/>
        <w:jc w:val="both"/>
        <w:rPr>
          <w:rFonts w:ascii="Times New Roman" w:hAnsi="Times New Roman" w:cs="Times New Roman"/>
          <w:sz w:val="24"/>
          <w:szCs w:val="24"/>
          <w:lang w:val="en-US"/>
        </w:rPr>
      </w:pPr>
      <w:r w:rsidRPr="009F6F45">
        <w:rPr>
          <w:rFonts w:ascii="Times New Roman" w:hAnsi="Times New Roman" w:cs="Times New Roman"/>
          <w:sz w:val="24"/>
          <w:szCs w:val="24"/>
          <w:lang w:val="en-US"/>
        </w:rPr>
        <w:t xml:space="preserve">At the Strasbourg Institute of Earth &amp; Environment, 19 samples were measured for bulk dry density, porosity, and permeability at a confining pressure of 1 MPa. For four samples, permeability was also measured under confining pressures up to 50 MPa. Samples were initially </w:t>
      </w:r>
      <w:bookmarkStart w:id="0" w:name="_Int_Pd5S2pOx"/>
      <w:r w:rsidRPr="009F6F45">
        <w:rPr>
          <w:rFonts w:ascii="Times New Roman" w:hAnsi="Times New Roman" w:cs="Times New Roman"/>
          <w:sz w:val="24"/>
          <w:szCs w:val="24"/>
          <w:lang w:val="en-US"/>
        </w:rPr>
        <w:t>vacuum-dried</w:t>
      </w:r>
      <w:bookmarkEnd w:id="0"/>
      <w:r w:rsidRPr="009F6F45">
        <w:rPr>
          <w:rFonts w:ascii="Times New Roman" w:hAnsi="Times New Roman" w:cs="Times New Roman"/>
          <w:sz w:val="24"/>
          <w:szCs w:val="24"/>
          <w:lang w:val="en-US"/>
        </w:rPr>
        <w:t xml:space="preserve"> at 40 °C for at least 48 h. Bulk density was calculated using the dry mass, measured with a digital balance (accuracy 0.001 g), and the sample dimensions, measured with digital calipers (accuracy 0.01 mm). Effective (connected) porosity was determined from the bulk sample volume and the skeletal volume measured with a helium pycnometer (Micromeritics </w:t>
      </w:r>
      <w:proofErr w:type="spellStart"/>
      <w:r w:rsidRPr="009F6F45">
        <w:rPr>
          <w:rFonts w:ascii="Times New Roman" w:hAnsi="Times New Roman" w:cs="Times New Roman"/>
          <w:sz w:val="24"/>
          <w:szCs w:val="24"/>
          <w:lang w:val="en-US"/>
        </w:rPr>
        <w:t>AccuPyc</w:t>
      </w:r>
      <w:proofErr w:type="spellEnd"/>
      <w:r w:rsidRPr="009F6F45">
        <w:rPr>
          <w:rFonts w:ascii="Times New Roman" w:hAnsi="Times New Roman" w:cs="Times New Roman"/>
          <w:sz w:val="24"/>
          <w:szCs w:val="24"/>
          <w:lang w:val="en-US"/>
        </w:rPr>
        <w:t xml:space="preserve"> II; accuracy 0.0001 cm³). Permeability measurements were performed at 1 MPa using a benchtop gas (nitrogen) permeameter (see schematics in Heap and Kennedy, 2016; Farquharson et al., 2016) using either the steady-state method (for high permeability samples) or the pulse-decay method (for low permeability samples). Prior to the measurements, the samples were left at 1 MPa for one hour to allow for microstructural equilibration. For the steady-state method, five volumetric flow rates were measured for five different differential pore pressures. Permeability was then calculated using the method described in Heap et al. (2017). When necessary, the data were corrected for </w:t>
      </w:r>
      <w:proofErr w:type="spellStart"/>
      <w:r w:rsidRPr="009F6F45">
        <w:rPr>
          <w:rFonts w:ascii="Times New Roman" w:hAnsi="Times New Roman" w:cs="Times New Roman"/>
          <w:sz w:val="24"/>
          <w:szCs w:val="24"/>
          <w:lang w:val="en-US"/>
        </w:rPr>
        <w:t>Klinkenberg</w:t>
      </w:r>
      <w:proofErr w:type="spellEnd"/>
      <w:r w:rsidRPr="009F6F45">
        <w:rPr>
          <w:rFonts w:ascii="Times New Roman" w:hAnsi="Times New Roman" w:cs="Times New Roman"/>
          <w:sz w:val="24"/>
          <w:szCs w:val="24"/>
          <w:lang w:val="en-US"/>
        </w:rPr>
        <w:t xml:space="preserve"> or </w:t>
      </w:r>
      <w:proofErr w:type="spellStart"/>
      <w:r w:rsidRPr="009F6F45">
        <w:rPr>
          <w:rFonts w:ascii="Times New Roman" w:hAnsi="Times New Roman" w:cs="Times New Roman"/>
          <w:sz w:val="24"/>
          <w:szCs w:val="24"/>
          <w:lang w:val="en-US"/>
        </w:rPr>
        <w:t>Forchheimer</w:t>
      </w:r>
      <w:proofErr w:type="spellEnd"/>
      <w:r w:rsidRPr="009F6F45">
        <w:rPr>
          <w:rFonts w:ascii="Times New Roman" w:hAnsi="Times New Roman" w:cs="Times New Roman"/>
          <w:sz w:val="24"/>
          <w:szCs w:val="24"/>
          <w:lang w:val="en-US"/>
        </w:rPr>
        <w:t xml:space="preserve"> corrections. For the pulse-decay method, the decay of an upstream pore pressure reservoir (at 0.2 MPa) was measured as a function of time and permeability was determined using the method described in Brace et al. (1968). The pulse-decay data were also checked for </w:t>
      </w:r>
      <w:proofErr w:type="spellStart"/>
      <w:r w:rsidRPr="009F6F45">
        <w:rPr>
          <w:rFonts w:ascii="Times New Roman" w:hAnsi="Times New Roman" w:cs="Times New Roman"/>
          <w:sz w:val="24"/>
          <w:szCs w:val="24"/>
          <w:lang w:val="en-US"/>
        </w:rPr>
        <w:t>Klinkenberg</w:t>
      </w:r>
      <w:proofErr w:type="spellEnd"/>
      <w:r w:rsidRPr="009F6F45">
        <w:rPr>
          <w:rFonts w:ascii="Times New Roman" w:hAnsi="Times New Roman" w:cs="Times New Roman"/>
          <w:sz w:val="24"/>
          <w:szCs w:val="24"/>
          <w:lang w:val="en-US"/>
        </w:rPr>
        <w:t xml:space="preserve"> or </w:t>
      </w:r>
      <w:proofErr w:type="spellStart"/>
      <w:r w:rsidRPr="009F6F45">
        <w:rPr>
          <w:rFonts w:ascii="Times New Roman" w:hAnsi="Times New Roman" w:cs="Times New Roman"/>
          <w:sz w:val="24"/>
          <w:szCs w:val="24"/>
          <w:lang w:val="en-US"/>
        </w:rPr>
        <w:t>Forchheimer</w:t>
      </w:r>
      <w:proofErr w:type="spellEnd"/>
      <w:r w:rsidRPr="009F6F45">
        <w:rPr>
          <w:rFonts w:ascii="Times New Roman" w:hAnsi="Times New Roman" w:cs="Times New Roman"/>
          <w:sz w:val="24"/>
          <w:szCs w:val="24"/>
          <w:lang w:val="en-US"/>
        </w:rPr>
        <w:t xml:space="preserve"> corrections, which were applied when necessary (for the equations, see Heap et al., 2017). Permeability measurements were also performed on four cores, </w:t>
      </w:r>
      <w:r w:rsidRPr="009F6F45">
        <w:rPr>
          <w:rFonts w:ascii="Times New Roman" w:hAnsi="Times New Roman" w:cs="Times New Roman"/>
          <w:sz w:val="24"/>
          <w:szCs w:val="24"/>
          <w:lang w:val="en-US"/>
        </w:rPr>
        <w:lastRenderedPageBreak/>
        <w:t>with confining pressures ranging from 1 to 50 MPa, simulating depths of 0 to ~2 km in a crystalline crust of density 2600 kg/m³. The cylindrical cores were vacuum-dried at 40 °C for 12 h, jacketed in Viton sleeves, and equilibrated at each confining pressure for 24 h. Argon gas permeability was measured using either: (i) the steady-state method (for higher permeability, &gt;10⁻¹⁶ m²), where a constant pressure gradient was applied and the outlet flow measured; permeability was calculated using a modified Darcy’s law for compressible fluids (</w:t>
      </w:r>
      <w:proofErr w:type="spellStart"/>
      <w:r w:rsidRPr="009F6F45">
        <w:rPr>
          <w:rFonts w:ascii="Times New Roman" w:hAnsi="Times New Roman" w:cs="Times New Roman"/>
          <w:sz w:val="24"/>
          <w:szCs w:val="24"/>
          <w:lang w:val="en-US"/>
        </w:rPr>
        <w:t>Scheidegger</w:t>
      </w:r>
      <w:proofErr w:type="spellEnd"/>
      <w:r w:rsidRPr="009F6F45">
        <w:rPr>
          <w:rFonts w:ascii="Times New Roman" w:hAnsi="Times New Roman" w:cs="Times New Roman"/>
          <w:sz w:val="24"/>
          <w:szCs w:val="24"/>
          <w:lang w:val="en-US"/>
        </w:rPr>
        <w:t xml:space="preserve">, 1974): (ii) the pulse-decay method (for lower permeability, &lt;10⁻¹⁶ m²), where the decay of the pressure gradient was monitored after closing the upstream inlet, and permeability was derived using Darcy’s law at the interface between the gas reservoir and the sample (Brace et al., 1968). </w:t>
      </w:r>
      <w:proofErr w:type="spellStart"/>
      <w:r w:rsidRPr="009F6F45">
        <w:rPr>
          <w:rFonts w:ascii="Times New Roman" w:hAnsi="Times New Roman" w:cs="Times New Roman"/>
          <w:sz w:val="24"/>
          <w:szCs w:val="24"/>
          <w:lang w:val="en-US"/>
        </w:rPr>
        <w:t>Forchheimer</w:t>
      </w:r>
      <w:proofErr w:type="spellEnd"/>
      <w:r w:rsidRPr="009F6F45">
        <w:rPr>
          <w:rFonts w:ascii="Times New Roman" w:hAnsi="Times New Roman" w:cs="Times New Roman"/>
          <w:sz w:val="24"/>
          <w:szCs w:val="24"/>
          <w:lang w:val="en-US"/>
        </w:rPr>
        <w:t xml:space="preserve"> corrections for inertial effects or gas slippage </w:t>
      </w:r>
      <w:proofErr w:type="spellStart"/>
      <w:r w:rsidRPr="009F6F45">
        <w:rPr>
          <w:rFonts w:ascii="Times New Roman" w:hAnsi="Times New Roman" w:cs="Times New Roman"/>
          <w:sz w:val="24"/>
          <w:szCs w:val="24"/>
          <w:lang w:val="en-US"/>
        </w:rPr>
        <w:t>Klinkenberg</w:t>
      </w:r>
      <w:proofErr w:type="spellEnd"/>
      <w:r w:rsidRPr="009F6F45">
        <w:rPr>
          <w:rFonts w:ascii="Times New Roman" w:hAnsi="Times New Roman" w:cs="Times New Roman"/>
          <w:sz w:val="24"/>
          <w:szCs w:val="24"/>
          <w:lang w:val="en-US"/>
        </w:rPr>
        <w:t xml:space="preserve"> correction were applied when necessary (Supplementary Material). The procedure was repeated for each confining pressure, with ~12 h equilibration per step, resulting in a total experiment time of ~240 h per sample. </w:t>
      </w:r>
    </w:p>
    <w:p w14:paraId="6CF116EE" w14:textId="77777777" w:rsidR="009F6F45" w:rsidRPr="009F6F45" w:rsidRDefault="009F6F45" w:rsidP="009F6F45">
      <w:pPr>
        <w:spacing w:line="480" w:lineRule="auto"/>
        <w:jc w:val="both"/>
        <w:rPr>
          <w:rFonts w:ascii="Times New Roman" w:hAnsi="Times New Roman" w:cs="Times New Roman"/>
          <w:sz w:val="24"/>
          <w:szCs w:val="24"/>
          <w:lang w:val="en-US"/>
        </w:rPr>
      </w:pPr>
      <w:r w:rsidRPr="009F6F45">
        <w:rPr>
          <w:rFonts w:ascii="Times New Roman" w:hAnsi="Times New Roman" w:cs="Times New Roman"/>
          <w:sz w:val="24"/>
          <w:szCs w:val="24"/>
          <w:lang w:val="en-US"/>
        </w:rPr>
        <w:t>When porosity values were available from both the triple-weighing and helium pycnometer methods (Supplementary Material), results from the pycnometer were preferred. This choice reflects the fact that the triple-weighing method can underestimate the porosity of samples that contain large surface pores, which results in an underestimation of the saturated mass.</w:t>
      </w:r>
    </w:p>
    <w:p w14:paraId="7809A776" w14:textId="77777777" w:rsidR="009F6F45" w:rsidRPr="009F6F45" w:rsidRDefault="009F6F45" w:rsidP="009F6F45">
      <w:pPr>
        <w:spacing w:after="120" w:line="480" w:lineRule="auto"/>
        <w:jc w:val="both"/>
        <w:rPr>
          <w:rFonts w:ascii="Times New Roman" w:hAnsi="Times New Roman" w:cs="Times New Roman"/>
          <w:b/>
          <w:bCs/>
          <w:sz w:val="24"/>
          <w:szCs w:val="24"/>
          <w:lang w:val="en-US"/>
        </w:rPr>
      </w:pPr>
      <w:r w:rsidRPr="009F6F45">
        <w:rPr>
          <w:rFonts w:ascii="Times New Roman" w:hAnsi="Times New Roman" w:cs="Times New Roman"/>
          <w:b/>
          <w:bCs/>
          <w:sz w:val="24"/>
          <w:szCs w:val="24"/>
          <w:lang w:val="en-US"/>
        </w:rPr>
        <w:t>Isotopic dating of magmatic and alteration minerals</w:t>
      </w:r>
      <w:r w:rsidRPr="009F6F45">
        <w:t xml:space="preserve"> </w:t>
      </w:r>
    </w:p>
    <w:p w14:paraId="256A5593" w14:textId="77777777" w:rsidR="009F6F45" w:rsidRPr="009F6F45" w:rsidRDefault="009F6F45" w:rsidP="009F6F45">
      <w:pPr>
        <w:spacing w:after="160" w:line="480" w:lineRule="auto"/>
        <w:jc w:val="both"/>
        <w:rPr>
          <w:rFonts w:ascii="Times New Roman" w:eastAsia="Times New Roman" w:hAnsi="Times New Roman" w:cs="Times New Roman"/>
          <w:sz w:val="24"/>
          <w:szCs w:val="24"/>
          <w:lang w:val="en-US"/>
        </w:rPr>
      </w:pPr>
      <w:r w:rsidRPr="009F6F45">
        <w:rPr>
          <w:rFonts w:ascii="Times New Roman" w:eastAsia="Times New Roman" w:hAnsi="Times New Roman" w:cs="Times New Roman"/>
          <w:sz w:val="24"/>
          <w:szCs w:val="24"/>
          <w:lang w:val="en-US"/>
        </w:rPr>
        <w:t xml:space="preserve">The zircon and titanite U-Pb isotope age determinations were conducted at the Finnish Geosciences Research Laboratory facilities at the Geological Survey of Finland (GTK), Espoo. The analyses were performed using a Nu Plasma </w:t>
      </w:r>
      <w:proofErr w:type="spellStart"/>
      <w:r w:rsidRPr="009F6F45">
        <w:rPr>
          <w:rFonts w:ascii="Times New Roman" w:eastAsia="Times New Roman" w:hAnsi="Times New Roman" w:cs="Times New Roman"/>
          <w:sz w:val="24"/>
          <w:szCs w:val="24"/>
          <w:lang w:val="en-US"/>
        </w:rPr>
        <w:t>AttoM</w:t>
      </w:r>
      <w:proofErr w:type="spellEnd"/>
      <w:r w:rsidRPr="009F6F45">
        <w:rPr>
          <w:rFonts w:ascii="Times New Roman" w:eastAsia="Times New Roman" w:hAnsi="Times New Roman" w:cs="Times New Roman"/>
          <w:sz w:val="24"/>
          <w:szCs w:val="24"/>
          <w:lang w:val="en-US"/>
        </w:rPr>
        <w:t xml:space="preserve"> LA-SC-ICP-MS (Laser Ablation Single Collector Inductively Coupled Plasma Mass Spectrometer). Ablation was done with a Teledyne Excite laser ablation system that was connected to the </w:t>
      </w:r>
      <w:proofErr w:type="spellStart"/>
      <w:r w:rsidRPr="009F6F45">
        <w:rPr>
          <w:rFonts w:ascii="Times New Roman" w:eastAsia="Times New Roman" w:hAnsi="Times New Roman" w:cs="Times New Roman"/>
          <w:sz w:val="24"/>
          <w:szCs w:val="24"/>
          <w:lang w:val="en-US"/>
        </w:rPr>
        <w:t>AttoM</w:t>
      </w:r>
      <w:proofErr w:type="spellEnd"/>
      <w:r w:rsidRPr="009F6F45">
        <w:rPr>
          <w:rFonts w:ascii="Times New Roman" w:eastAsia="Times New Roman" w:hAnsi="Times New Roman" w:cs="Times New Roman"/>
          <w:sz w:val="24"/>
          <w:szCs w:val="24"/>
          <w:lang w:val="en-US"/>
        </w:rPr>
        <w:t xml:space="preserve"> device. Samples were ablated in He </w:t>
      </w:r>
      <w:r w:rsidRPr="009F6F45">
        <w:rPr>
          <w:rFonts w:ascii="Times New Roman" w:eastAsia="Times New Roman" w:hAnsi="Times New Roman" w:cs="Times New Roman"/>
          <w:sz w:val="24"/>
          <w:szCs w:val="24"/>
          <w:lang w:val="en-US"/>
        </w:rPr>
        <w:lastRenderedPageBreak/>
        <w:t xml:space="preserve">gas (gas flow=0.4 and 0.1 l/min) in a </w:t>
      </w:r>
      <w:proofErr w:type="spellStart"/>
      <w:r w:rsidRPr="009F6F45">
        <w:rPr>
          <w:rFonts w:ascii="Times New Roman" w:eastAsia="Times New Roman" w:hAnsi="Times New Roman" w:cs="Times New Roman"/>
          <w:sz w:val="24"/>
          <w:szCs w:val="24"/>
          <w:lang w:val="en-US"/>
        </w:rPr>
        <w:t>HelEx</w:t>
      </w:r>
      <w:proofErr w:type="spellEnd"/>
      <w:r w:rsidRPr="009F6F45">
        <w:rPr>
          <w:rFonts w:ascii="Times New Roman" w:eastAsia="Times New Roman" w:hAnsi="Times New Roman" w:cs="Times New Roman"/>
          <w:sz w:val="24"/>
          <w:szCs w:val="24"/>
          <w:lang w:val="en-US"/>
        </w:rPr>
        <w:t xml:space="preserve"> ablation cell during the analyses (Müller et al. 2009). Argon was mixed into the He aerosol before entering to plasma (</w:t>
      </w:r>
      <w:proofErr w:type="spellStart"/>
      <w:r w:rsidRPr="009F6F45">
        <w:rPr>
          <w:rFonts w:ascii="Times New Roman" w:eastAsia="Times New Roman" w:hAnsi="Times New Roman" w:cs="Times New Roman"/>
          <w:sz w:val="24"/>
          <w:szCs w:val="24"/>
          <w:lang w:val="en-US"/>
        </w:rPr>
        <w:t>Ar</w:t>
      </w:r>
      <w:proofErr w:type="spellEnd"/>
      <w:r w:rsidRPr="009F6F45">
        <w:rPr>
          <w:rFonts w:ascii="Times New Roman" w:eastAsia="Times New Roman" w:hAnsi="Times New Roman" w:cs="Times New Roman"/>
          <w:sz w:val="24"/>
          <w:szCs w:val="24"/>
          <w:lang w:val="en-US"/>
        </w:rPr>
        <w:t xml:space="preserve"> gas flow=0.85 l/min). The spot size was adjusted to each mineral phase individually: 25 </w:t>
      </w:r>
      <w:proofErr w:type="spellStart"/>
      <w:r w:rsidRPr="009F6F45">
        <w:rPr>
          <w:rFonts w:ascii="Times New Roman" w:eastAsia="Times New Roman" w:hAnsi="Times New Roman" w:cs="Times New Roman"/>
          <w:sz w:val="24"/>
          <w:szCs w:val="24"/>
          <w:lang w:val="en-US"/>
        </w:rPr>
        <w:t>μm</w:t>
      </w:r>
      <w:proofErr w:type="spellEnd"/>
      <w:r w:rsidRPr="009F6F45">
        <w:rPr>
          <w:rFonts w:ascii="Times New Roman" w:eastAsia="Times New Roman" w:hAnsi="Times New Roman" w:cs="Times New Roman"/>
          <w:sz w:val="24"/>
          <w:szCs w:val="24"/>
          <w:lang w:val="en-US"/>
        </w:rPr>
        <w:t xml:space="preserve"> in diameter for zircon and 35 </w:t>
      </w:r>
      <w:proofErr w:type="spellStart"/>
      <w:r w:rsidRPr="009F6F45">
        <w:rPr>
          <w:rFonts w:ascii="Times New Roman" w:eastAsia="Times New Roman" w:hAnsi="Times New Roman" w:cs="Times New Roman"/>
          <w:sz w:val="24"/>
          <w:szCs w:val="24"/>
          <w:lang w:val="en-US"/>
        </w:rPr>
        <w:t>μm</w:t>
      </w:r>
      <w:proofErr w:type="spellEnd"/>
      <w:r w:rsidRPr="009F6F45">
        <w:rPr>
          <w:rFonts w:ascii="Times New Roman" w:eastAsia="Times New Roman" w:hAnsi="Times New Roman" w:cs="Times New Roman"/>
          <w:sz w:val="24"/>
          <w:szCs w:val="24"/>
          <w:lang w:val="en-US"/>
        </w:rPr>
        <w:t xml:space="preserve"> for titanite. Pulse frequency was 5 Hz. The energy of the laser was 65% of 5.0 </w:t>
      </w:r>
      <w:proofErr w:type="spellStart"/>
      <w:r w:rsidRPr="009F6F45">
        <w:rPr>
          <w:rFonts w:ascii="Times New Roman" w:eastAsia="Times New Roman" w:hAnsi="Times New Roman" w:cs="Times New Roman"/>
          <w:sz w:val="24"/>
          <w:szCs w:val="24"/>
          <w:lang w:val="en-US"/>
        </w:rPr>
        <w:t>mJ</w:t>
      </w:r>
      <w:proofErr w:type="spellEnd"/>
      <w:r w:rsidRPr="009F6F45">
        <w:rPr>
          <w:rFonts w:ascii="Times New Roman" w:eastAsia="Times New Roman" w:hAnsi="Times New Roman" w:cs="Times New Roman"/>
          <w:sz w:val="24"/>
          <w:szCs w:val="24"/>
          <w:lang w:val="en-US"/>
        </w:rPr>
        <w:t xml:space="preserve"> producing an on-sample fluence of 3.56 J/cm². Pre-ablation consisted of 10 pulses using a slightly larger spot than during the analysis, followed by 20 seconds with laser off to sweep clean the cell prior to on-mass background measurement. Ablation for analysis then followed with a 30 second stationary beam. ²³⁵U was calculated from the counts measured at mass number ²³⁸U using the natural ratio of ²³⁸U/²³⁵U = 137.88. The raw data from the analyses were corrected for background, mass discrimination, laser induced elemental fractionation, and drift in ion counter gains and reduced to U-Pb isotope ratios by using concordant calibration standard with known ages. </w:t>
      </w:r>
    </w:p>
    <w:p w14:paraId="7B61BE0B" w14:textId="77777777" w:rsidR="009F6F45" w:rsidRPr="009F6F45" w:rsidRDefault="009F6F45" w:rsidP="009F6F45">
      <w:pPr>
        <w:spacing w:after="160" w:line="480" w:lineRule="auto"/>
        <w:jc w:val="both"/>
        <w:rPr>
          <w:rFonts w:ascii="Times New Roman" w:eastAsia="Times New Roman" w:hAnsi="Times New Roman" w:cs="Times New Roman"/>
          <w:sz w:val="24"/>
          <w:szCs w:val="24"/>
          <w:lang w:val="en-US"/>
        </w:rPr>
      </w:pPr>
      <w:r w:rsidRPr="009F6F45">
        <w:rPr>
          <w:rFonts w:ascii="Times New Roman" w:eastAsia="Times New Roman" w:hAnsi="Times New Roman" w:cs="Times New Roman"/>
          <w:sz w:val="24"/>
          <w:szCs w:val="24"/>
          <w:u w:val="single"/>
          <w:lang w:val="en-US"/>
        </w:rPr>
        <w:t>Zircon</w:t>
      </w:r>
      <w:r w:rsidRPr="009F6F45">
        <w:rPr>
          <w:rFonts w:ascii="Times New Roman" w:eastAsia="Times New Roman" w:hAnsi="Times New Roman" w:cs="Times New Roman"/>
          <w:sz w:val="24"/>
          <w:szCs w:val="24"/>
          <w:lang w:val="en-US"/>
        </w:rPr>
        <w:t xml:space="preserve">: GJ-1 (602 Ma; </w:t>
      </w:r>
      <w:proofErr w:type="spellStart"/>
      <w:r w:rsidRPr="009F6F45">
        <w:rPr>
          <w:rFonts w:ascii="Times New Roman" w:eastAsia="Times New Roman" w:hAnsi="Times New Roman" w:cs="Times New Roman"/>
          <w:sz w:val="24"/>
          <w:szCs w:val="24"/>
          <w:lang w:val="en-US"/>
        </w:rPr>
        <w:t>Horstwood</w:t>
      </w:r>
      <w:proofErr w:type="spellEnd"/>
      <w:r w:rsidRPr="009F6F45">
        <w:rPr>
          <w:rFonts w:ascii="Times New Roman" w:eastAsia="Times New Roman" w:hAnsi="Times New Roman" w:cs="Times New Roman"/>
          <w:sz w:val="24"/>
          <w:szCs w:val="24"/>
          <w:lang w:val="en-US"/>
        </w:rPr>
        <w:t xml:space="preserve"> et al. 2016) was used as the primary reference material for zircon analyses and internal zircon standards A382 (1877 Ma; </w:t>
      </w:r>
      <w:proofErr w:type="spellStart"/>
      <w:r w:rsidRPr="009F6F45">
        <w:rPr>
          <w:rFonts w:ascii="Times New Roman" w:eastAsia="Times New Roman" w:hAnsi="Times New Roman" w:cs="Times New Roman"/>
          <w:sz w:val="24"/>
          <w:szCs w:val="24"/>
          <w:lang w:val="en-US"/>
        </w:rPr>
        <w:t>Huhma</w:t>
      </w:r>
      <w:proofErr w:type="spellEnd"/>
      <w:r w:rsidRPr="009F6F45">
        <w:rPr>
          <w:rFonts w:ascii="Times New Roman" w:eastAsia="Times New Roman" w:hAnsi="Times New Roman" w:cs="Times New Roman"/>
          <w:sz w:val="24"/>
          <w:szCs w:val="24"/>
          <w:lang w:val="en-US"/>
        </w:rPr>
        <w:t xml:space="preserve"> et al., 2012) and A1772 (2712 Ma; </w:t>
      </w:r>
      <w:proofErr w:type="spellStart"/>
      <w:r w:rsidRPr="009F6F45">
        <w:rPr>
          <w:rFonts w:ascii="Times New Roman" w:eastAsia="Times New Roman" w:hAnsi="Times New Roman" w:cs="Times New Roman"/>
          <w:sz w:val="24"/>
          <w:szCs w:val="24"/>
          <w:lang w:val="en-US"/>
        </w:rPr>
        <w:t>Huhma</w:t>
      </w:r>
      <w:proofErr w:type="spellEnd"/>
      <w:r w:rsidRPr="009F6F45">
        <w:rPr>
          <w:rFonts w:ascii="Times New Roman" w:eastAsia="Times New Roman" w:hAnsi="Times New Roman" w:cs="Times New Roman"/>
          <w:sz w:val="24"/>
          <w:szCs w:val="24"/>
          <w:lang w:val="en-US"/>
        </w:rPr>
        <w:t xml:space="preserve"> et al., 2012) were </w:t>
      </w:r>
      <w:proofErr w:type="spellStart"/>
      <w:r w:rsidRPr="009F6F45">
        <w:rPr>
          <w:rFonts w:ascii="Times New Roman" w:eastAsia="Times New Roman" w:hAnsi="Times New Roman" w:cs="Times New Roman"/>
          <w:sz w:val="24"/>
          <w:szCs w:val="24"/>
          <w:lang w:val="en-US"/>
        </w:rPr>
        <w:t>analysed</w:t>
      </w:r>
      <w:proofErr w:type="spellEnd"/>
      <w:r w:rsidRPr="009F6F45">
        <w:rPr>
          <w:rFonts w:ascii="Times New Roman" w:eastAsia="Times New Roman" w:hAnsi="Times New Roman" w:cs="Times New Roman"/>
          <w:sz w:val="24"/>
          <w:szCs w:val="24"/>
          <w:lang w:val="en-US"/>
        </w:rPr>
        <w:t xml:space="preserve"> in the same analytical session. The standards were run at the beginning and end of each analytical session, as well as during analytical sessions in roughly regular intervals between every ten sample analyses. The data reduction for zircon U-Pb raw data was performed with Glitter 4.4.4 software (Van </w:t>
      </w:r>
      <w:proofErr w:type="spellStart"/>
      <w:r w:rsidRPr="009F6F45">
        <w:rPr>
          <w:rFonts w:ascii="Times New Roman" w:eastAsia="Times New Roman" w:hAnsi="Times New Roman" w:cs="Times New Roman"/>
          <w:sz w:val="24"/>
          <w:szCs w:val="24"/>
          <w:lang w:val="en-US"/>
        </w:rPr>
        <w:t>Achterberg</w:t>
      </w:r>
      <w:proofErr w:type="spellEnd"/>
      <w:r w:rsidRPr="009F6F45">
        <w:rPr>
          <w:rFonts w:ascii="Times New Roman" w:eastAsia="Times New Roman" w:hAnsi="Times New Roman" w:cs="Times New Roman"/>
          <w:sz w:val="24"/>
          <w:szCs w:val="24"/>
          <w:lang w:val="en-US"/>
        </w:rPr>
        <w:t xml:space="preserve"> et al. 2001), which includes visualization of the isotope data and allows the user to calibrate standards and optimize the selection of each analysis based on signal and time. Outliners of the raw data were also filtered with Glitter. Further data reduction included error propagation and common Pb corrections, which were calculated with an in-house (GTK) Microsoft Excel spreadsheet written by Yann </w:t>
      </w:r>
      <w:proofErr w:type="spellStart"/>
      <w:r w:rsidRPr="009F6F45">
        <w:rPr>
          <w:rFonts w:ascii="Times New Roman" w:eastAsia="Times New Roman" w:hAnsi="Times New Roman" w:cs="Times New Roman"/>
          <w:sz w:val="24"/>
          <w:szCs w:val="24"/>
          <w:lang w:val="en-US"/>
        </w:rPr>
        <w:t>Lahaye</w:t>
      </w:r>
      <w:proofErr w:type="spellEnd"/>
      <w:r w:rsidRPr="009F6F45">
        <w:rPr>
          <w:rFonts w:ascii="Times New Roman" w:eastAsia="Times New Roman" w:hAnsi="Times New Roman" w:cs="Times New Roman"/>
          <w:sz w:val="24"/>
          <w:szCs w:val="24"/>
          <w:lang w:val="en-US"/>
        </w:rPr>
        <w:t xml:space="preserve"> and Hugh O’Brien. The data was plotted and age calculated using </w:t>
      </w:r>
      <w:proofErr w:type="spellStart"/>
      <w:r w:rsidRPr="009F6F45">
        <w:rPr>
          <w:rFonts w:ascii="Times New Roman" w:eastAsia="Times New Roman" w:hAnsi="Times New Roman" w:cs="Times New Roman"/>
          <w:sz w:val="24"/>
          <w:szCs w:val="24"/>
          <w:lang w:val="en-US"/>
        </w:rPr>
        <w:t>Isoplot</w:t>
      </w:r>
      <w:proofErr w:type="spellEnd"/>
      <w:r w:rsidRPr="009F6F45">
        <w:rPr>
          <w:rFonts w:ascii="Times New Roman" w:eastAsia="Times New Roman" w:hAnsi="Times New Roman" w:cs="Times New Roman"/>
          <w:sz w:val="24"/>
          <w:szCs w:val="24"/>
          <w:lang w:val="en-US"/>
        </w:rPr>
        <w:t xml:space="preserve"> 4.15 (Ludwig, 2012).</w:t>
      </w:r>
    </w:p>
    <w:p w14:paraId="6FC49D6F" w14:textId="77777777" w:rsidR="009F6F45" w:rsidRPr="009F6F45" w:rsidRDefault="009F6F45" w:rsidP="009F6F45">
      <w:pPr>
        <w:spacing w:after="160" w:line="480" w:lineRule="auto"/>
        <w:jc w:val="both"/>
        <w:rPr>
          <w:rFonts w:ascii="Times New Roman" w:eastAsia="Times New Roman" w:hAnsi="Times New Roman" w:cs="Times New Roman"/>
          <w:sz w:val="24"/>
          <w:szCs w:val="24"/>
          <w:lang w:val="en-US"/>
        </w:rPr>
      </w:pPr>
      <w:r w:rsidRPr="009F6F45">
        <w:rPr>
          <w:rFonts w:ascii="Times New Roman" w:eastAsia="Times New Roman" w:hAnsi="Times New Roman" w:cs="Times New Roman"/>
          <w:sz w:val="24"/>
          <w:szCs w:val="24"/>
          <w:u w:val="single"/>
          <w:lang w:val="en-US"/>
        </w:rPr>
        <w:lastRenderedPageBreak/>
        <w:t>Titanite</w:t>
      </w:r>
      <w:r w:rsidRPr="009F6F45">
        <w:rPr>
          <w:rFonts w:ascii="Times New Roman" w:eastAsia="Times New Roman" w:hAnsi="Times New Roman" w:cs="Times New Roman"/>
          <w:sz w:val="24"/>
          <w:szCs w:val="24"/>
          <w:lang w:val="en-US"/>
        </w:rPr>
        <w:t xml:space="preserve">: MKED1 (1518 Ma; </w:t>
      </w:r>
      <w:proofErr w:type="spellStart"/>
      <w:r w:rsidRPr="009F6F45">
        <w:rPr>
          <w:rFonts w:ascii="Times New Roman" w:eastAsia="Times New Roman" w:hAnsi="Times New Roman" w:cs="Times New Roman"/>
          <w:sz w:val="24"/>
          <w:szCs w:val="24"/>
          <w:lang w:val="en-US"/>
        </w:rPr>
        <w:t>Spandler</w:t>
      </w:r>
      <w:proofErr w:type="spellEnd"/>
      <w:r w:rsidRPr="009F6F45">
        <w:rPr>
          <w:rFonts w:ascii="Times New Roman" w:eastAsia="Times New Roman" w:hAnsi="Times New Roman" w:cs="Times New Roman"/>
          <w:sz w:val="24"/>
          <w:szCs w:val="24"/>
          <w:lang w:val="en-US"/>
        </w:rPr>
        <w:t xml:space="preserve"> et al., 2016) was used as the primary reference material for titanite with internal standard A1756 (titanite in-house std; 1857 Ma). Raw data was monitored online by Glitter and corrected offline using Saturn software (Silva et al. 2023). The optimal signal of each analysis was selected based on signal and time. The </w:t>
      </w:r>
      <w:r w:rsidRPr="009F6F45">
        <w:rPr>
          <w:rFonts w:ascii="Times New Roman" w:eastAsia="Times New Roman" w:hAnsi="Times New Roman" w:cs="Times New Roman"/>
          <w:sz w:val="24"/>
          <w:szCs w:val="24"/>
          <w:vertAlign w:val="superscript"/>
          <w:lang w:val="en-US"/>
        </w:rPr>
        <w:t>207</w:t>
      </w:r>
      <w:r w:rsidRPr="009F6F45">
        <w:rPr>
          <w:rFonts w:ascii="Times New Roman" w:eastAsia="Times New Roman" w:hAnsi="Times New Roman" w:cs="Times New Roman"/>
          <w:sz w:val="24"/>
          <w:szCs w:val="24"/>
          <w:lang w:val="en-US"/>
        </w:rPr>
        <w:t>Pb/</w:t>
      </w:r>
      <w:r w:rsidRPr="009F6F45">
        <w:rPr>
          <w:rFonts w:ascii="Times New Roman" w:eastAsia="Times New Roman" w:hAnsi="Times New Roman" w:cs="Times New Roman"/>
          <w:sz w:val="24"/>
          <w:szCs w:val="24"/>
          <w:vertAlign w:val="superscript"/>
          <w:lang w:val="en-US"/>
        </w:rPr>
        <w:t>206</w:t>
      </w:r>
      <w:r w:rsidRPr="009F6F45">
        <w:rPr>
          <w:rFonts w:ascii="Times New Roman" w:eastAsia="Times New Roman" w:hAnsi="Times New Roman" w:cs="Times New Roman"/>
          <w:sz w:val="24"/>
          <w:szCs w:val="24"/>
          <w:lang w:val="en-US"/>
        </w:rPr>
        <w:t xml:space="preserve">Pb ratio was corrected for mass discrimination and the </w:t>
      </w:r>
      <w:r w:rsidRPr="009F6F45">
        <w:rPr>
          <w:rFonts w:ascii="Times New Roman" w:eastAsia="Times New Roman" w:hAnsi="Times New Roman" w:cs="Times New Roman"/>
          <w:sz w:val="24"/>
          <w:szCs w:val="24"/>
          <w:vertAlign w:val="superscript"/>
          <w:lang w:val="en-US"/>
        </w:rPr>
        <w:t>206</w:t>
      </w:r>
      <w:r w:rsidRPr="009F6F45">
        <w:rPr>
          <w:rFonts w:ascii="Times New Roman" w:eastAsia="Times New Roman" w:hAnsi="Times New Roman" w:cs="Times New Roman"/>
          <w:sz w:val="24"/>
          <w:szCs w:val="24"/>
          <w:lang w:val="en-US"/>
        </w:rPr>
        <w:t>Pb/</w:t>
      </w:r>
      <w:r w:rsidRPr="009F6F45">
        <w:rPr>
          <w:rFonts w:ascii="Times New Roman" w:eastAsia="Times New Roman" w:hAnsi="Times New Roman" w:cs="Times New Roman"/>
          <w:sz w:val="24"/>
          <w:szCs w:val="24"/>
          <w:vertAlign w:val="superscript"/>
          <w:lang w:val="en-US"/>
        </w:rPr>
        <w:t>238</w:t>
      </w:r>
      <w:r w:rsidRPr="009F6F45">
        <w:rPr>
          <w:rFonts w:ascii="Times New Roman" w:eastAsia="Times New Roman" w:hAnsi="Times New Roman" w:cs="Times New Roman"/>
          <w:sz w:val="24"/>
          <w:szCs w:val="24"/>
          <w:lang w:val="en-US"/>
        </w:rPr>
        <w:t>U ratio for elemental fractionation, including drift over the 3 h (titanite) of sequence time, using the primary standard. A common Pb correction has not been applied for the titanite U-Pb analysis as a result of the high variability of the data (e.g., Chew et al., 2014). This also means that the U–Pb ages are calculated using a linear regression within the Tera–</w:t>
      </w:r>
      <w:proofErr w:type="spellStart"/>
      <w:r w:rsidRPr="009F6F45">
        <w:rPr>
          <w:rFonts w:ascii="Times New Roman" w:eastAsia="Times New Roman" w:hAnsi="Times New Roman" w:cs="Times New Roman"/>
          <w:sz w:val="24"/>
          <w:szCs w:val="24"/>
          <w:lang w:val="en-US"/>
        </w:rPr>
        <w:t>Wasserburg</w:t>
      </w:r>
      <w:proofErr w:type="spellEnd"/>
      <w:r w:rsidRPr="009F6F45">
        <w:rPr>
          <w:rFonts w:ascii="Times New Roman" w:eastAsia="Times New Roman" w:hAnsi="Times New Roman" w:cs="Times New Roman"/>
          <w:sz w:val="24"/>
          <w:szCs w:val="24"/>
          <w:lang w:val="en-US"/>
        </w:rPr>
        <w:t xml:space="preserve"> </w:t>
      </w:r>
      <w:proofErr w:type="spellStart"/>
      <w:r w:rsidRPr="009F6F45">
        <w:rPr>
          <w:rFonts w:ascii="Times New Roman" w:eastAsia="Times New Roman" w:hAnsi="Times New Roman" w:cs="Times New Roman"/>
          <w:sz w:val="24"/>
          <w:szCs w:val="24"/>
          <w:lang w:val="en-US"/>
        </w:rPr>
        <w:t>concordia</w:t>
      </w:r>
      <w:proofErr w:type="spellEnd"/>
      <w:r w:rsidRPr="009F6F45">
        <w:rPr>
          <w:rFonts w:ascii="Times New Roman" w:eastAsia="Times New Roman" w:hAnsi="Times New Roman" w:cs="Times New Roman"/>
          <w:sz w:val="24"/>
          <w:szCs w:val="24"/>
          <w:lang w:val="en-US"/>
        </w:rPr>
        <w:t xml:space="preserve"> diagrams (Tera and </w:t>
      </w:r>
      <w:proofErr w:type="spellStart"/>
      <w:r w:rsidRPr="009F6F45">
        <w:rPr>
          <w:rFonts w:ascii="Times New Roman" w:eastAsia="Times New Roman" w:hAnsi="Times New Roman" w:cs="Times New Roman"/>
          <w:sz w:val="24"/>
          <w:szCs w:val="24"/>
          <w:lang w:val="en-US"/>
        </w:rPr>
        <w:t>Wasserburg</w:t>
      </w:r>
      <w:proofErr w:type="spellEnd"/>
      <w:r w:rsidRPr="009F6F45">
        <w:rPr>
          <w:rFonts w:ascii="Times New Roman" w:eastAsia="Times New Roman" w:hAnsi="Times New Roman" w:cs="Times New Roman"/>
          <w:sz w:val="24"/>
          <w:szCs w:val="24"/>
          <w:lang w:val="en-US"/>
        </w:rPr>
        <w:t xml:space="preserve">, 1972) as the titanite and garnet incorporate a mixture of non-radiogenic (during the </w:t>
      </w:r>
      <w:proofErr w:type="spellStart"/>
      <w:r w:rsidRPr="009F6F45">
        <w:rPr>
          <w:rFonts w:ascii="Times New Roman" w:eastAsia="Times New Roman" w:hAnsi="Times New Roman" w:cs="Times New Roman"/>
          <w:sz w:val="24"/>
          <w:szCs w:val="24"/>
          <w:lang w:val="en-US"/>
        </w:rPr>
        <w:t>crystallisation</w:t>
      </w:r>
      <w:proofErr w:type="spellEnd"/>
      <w:r w:rsidRPr="009F6F45">
        <w:rPr>
          <w:rFonts w:ascii="Times New Roman" w:eastAsia="Times New Roman" w:hAnsi="Times New Roman" w:cs="Times New Roman"/>
          <w:sz w:val="24"/>
          <w:szCs w:val="24"/>
          <w:lang w:val="en-US"/>
        </w:rPr>
        <w:t xml:space="preserve">) and radiogenic Pb formed as a result of the in-situ decay of U. All the U–Pb dates are defined as the lower intercept with the </w:t>
      </w:r>
      <w:proofErr w:type="spellStart"/>
      <w:r w:rsidRPr="009F6F45">
        <w:rPr>
          <w:rFonts w:ascii="Times New Roman" w:eastAsia="Times New Roman" w:hAnsi="Times New Roman" w:cs="Times New Roman"/>
          <w:sz w:val="24"/>
          <w:szCs w:val="24"/>
          <w:lang w:val="en-US"/>
        </w:rPr>
        <w:t>concordia</w:t>
      </w:r>
      <w:proofErr w:type="spellEnd"/>
      <w:r w:rsidRPr="009F6F45">
        <w:rPr>
          <w:rFonts w:ascii="Times New Roman" w:eastAsia="Times New Roman" w:hAnsi="Times New Roman" w:cs="Times New Roman"/>
          <w:sz w:val="24"/>
          <w:szCs w:val="24"/>
          <w:lang w:val="en-US"/>
        </w:rPr>
        <w:t xml:space="preserve"> curve as determined by linear regression of discordant arrays with the reported ages calculated using </w:t>
      </w:r>
      <w:proofErr w:type="spellStart"/>
      <w:r w:rsidRPr="009F6F45">
        <w:rPr>
          <w:rFonts w:ascii="Times New Roman" w:eastAsia="Times New Roman" w:hAnsi="Times New Roman" w:cs="Times New Roman"/>
          <w:sz w:val="24"/>
          <w:szCs w:val="24"/>
          <w:lang w:val="en-US"/>
        </w:rPr>
        <w:t>Isoplot</w:t>
      </w:r>
      <w:proofErr w:type="spellEnd"/>
      <w:r w:rsidRPr="009F6F45">
        <w:rPr>
          <w:rFonts w:ascii="Times New Roman" w:eastAsia="Times New Roman" w:hAnsi="Times New Roman" w:cs="Times New Roman"/>
          <w:sz w:val="24"/>
          <w:szCs w:val="24"/>
          <w:lang w:val="en-US"/>
        </w:rPr>
        <w:t xml:space="preserve"> 4.15 (Ludwig, 2012). The uncertainties are reported at the </w:t>
      </w:r>
      <w:proofErr w:type="gramStart"/>
      <w:r w:rsidRPr="009F6F45">
        <w:rPr>
          <w:rFonts w:ascii="Times New Roman" w:eastAsia="Times New Roman" w:hAnsi="Times New Roman" w:cs="Times New Roman"/>
          <w:sz w:val="24"/>
          <w:szCs w:val="24"/>
          <w:lang w:val="en-US"/>
        </w:rPr>
        <w:t>2 sigma</w:t>
      </w:r>
      <w:proofErr w:type="gramEnd"/>
      <w:r w:rsidRPr="009F6F45">
        <w:rPr>
          <w:rFonts w:ascii="Times New Roman" w:eastAsia="Times New Roman" w:hAnsi="Times New Roman" w:cs="Times New Roman"/>
          <w:sz w:val="24"/>
          <w:szCs w:val="24"/>
          <w:lang w:val="en-US"/>
        </w:rPr>
        <w:t xml:space="preserve"> level. The initial composition of common Pb is defined by a two-component mixing line between radiogenic Pb composition on the </w:t>
      </w:r>
      <w:proofErr w:type="spellStart"/>
      <w:r w:rsidRPr="009F6F45">
        <w:rPr>
          <w:rFonts w:ascii="Times New Roman" w:eastAsia="Times New Roman" w:hAnsi="Times New Roman" w:cs="Times New Roman"/>
          <w:sz w:val="24"/>
          <w:szCs w:val="24"/>
          <w:lang w:val="en-US"/>
        </w:rPr>
        <w:t>concordia</w:t>
      </w:r>
      <w:proofErr w:type="spellEnd"/>
      <w:r w:rsidRPr="009F6F45">
        <w:rPr>
          <w:rFonts w:ascii="Times New Roman" w:eastAsia="Times New Roman" w:hAnsi="Times New Roman" w:cs="Times New Roman"/>
          <w:sz w:val="24"/>
          <w:szCs w:val="24"/>
          <w:lang w:val="en-US"/>
        </w:rPr>
        <w:t xml:space="preserve"> curve and common Pb at the intersection with the </w:t>
      </w:r>
      <w:r w:rsidRPr="009F6F45">
        <w:rPr>
          <w:rFonts w:ascii="Times New Roman" w:eastAsia="Times New Roman" w:hAnsi="Times New Roman" w:cs="Times New Roman"/>
          <w:sz w:val="24"/>
          <w:szCs w:val="24"/>
          <w:vertAlign w:val="superscript"/>
          <w:lang w:val="en-US"/>
        </w:rPr>
        <w:t>207</w:t>
      </w:r>
      <w:r w:rsidRPr="009F6F45">
        <w:rPr>
          <w:rFonts w:ascii="Times New Roman" w:eastAsia="Times New Roman" w:hAnsi="Times New Roman" w:cs="Times New Roman"/>
          <w:sz w:val="24"/>
          <w:szCs w:val="24"/>
          <w:lang w:val="en-US"/>
        </w:rPr>
        <w:t>Pb/</w:t>
      </w:r>
      <w:r w:rsidRPr="009F6F45">
        <w:rPr>
          <w:rFonts w:ascii="Times New Roman" w:eastAsia="Times New Roman" w:hAnsi="Times New Roman" w:cs="Times New Roman"/>
          <w:sz w:val="24"/>
          <w:szCs w:val="24"/>
          <w:vertAlign w:val="superscript"/>
          <w:lang w:val="en-US"/>
        </w:rPr>
        <w:t>206</w:t>
      </w:r>
      <w:r w:rsidRPr="009F6F45">
        <w:rPr>
          <w:rFonts w:ascii="Times New Roman" w:eastAsia="Times New Roman" w:hAnsi="Times New Roman" w:cs="Times New Roman"/>
          <w:sz w:val="24"/>
          <w:szCs w:val="24"/>
          <w:lang w:val="en-US"/>
        </w:rPr>
        <w:t>Pb axis (e.g., Andersen et al., 2019).</w:t>
      </w:r>
    </w:p>
    <w:p w14:paraId="64D8ABD3" w14:textId="77777777" w:rsidR="009F6F45" w:rsidRPr="009F6F45" w:rsidRDefault="009F6F45" w:rsidP="009F6F45">
      <w:pPr>
        <w:spacing w:after="120" w:line="480" w:lineRule="auto"/>
        <w:jc w:val="both"/>
        <w:rPr>
          <w:rFonts w:ascii="Times New Roman" w:hAnsi="Times New Roman" w:cs="Times New Roman"/>
          <w:b/>
          <w:bCs/>
          <w:sz w:val="24"/>
          <w:szCs w:val="24"/>
          <w:lang w:val="en-US"/>
        </w:rPr>
      </w:pPr>
      <w:r w:rsidRPr="009F6F45">
        <w:rPr>
          <w:rFonts w:ascii="Times New Roman" w:hAnsi="Times New Roman" w:cs="Times New Roman"/>
          <w:b/>
          <w:bCs/>
          <w:sz w:val="24"/>
          <w:szCs w:val="24"/>
          <w:lang w:val="en-US"/>
        </w:rPr>
        <w:t>References</w:t>
      </w:r>
    </w:p>
    <w:p w14:paraId="6744AB45" w14:textId="77777777" w:rsidR="009F6F45" w:rsidRPr="009F6F45" w:rsidRDefault="009F6F45" w:rsidP="009F6F45">
      <w:pPr>
        <w:jc w:val="both"/>
        <w:rPr>
          <w:rStyle w:val="Hyperlink"/>
          <w:lang w:val="en-US"/>
        </w:rPr>
      </w:pPr>
      <w:r w:rsidRPr="009F6F45">
        <w:rPr>
          <w:rFonts w:ascii="Times New Roman" w:hAnsi="Times New Roman" w:cs="Times New Roman"/>
          <w:lang w:val="en-US"/>
        </w:rPr>
        <w:t xml:space="preserve">Andersen, T., </w:t>
      </w:r>
      <w:proofErr w:type="spellStart"/>
      <w:r w:rsidRPr="009F6F45">
        <w:rPr>
          <w:rFonts w:ascii="Times New Roman" w:hAnsi="Times New Roman" w:cs="Times New Roman"/>
          <w:lang w:val="en-US"/>
        </w:rPr>
        <w:t>Elburg</w:t>
      </w:r>
      <w:proofErr w:type="spellEnd"/>
      <w:r w:rsidRPr="009F6F45">
        <w:rPr>
          <w:rFonts w:ascii="Times New Roman" w:hAnsi="Times New Roman" w:cs="Times New Roman"/>
          <w:lang w:val="en-US"/>
        </w:rPr>
        <w:t xml:space="preserve">, M. A., </w:t>
      </w:r>
      <w:proofErr w:type="spellStart"/>
      <w:r w:rsidRPr="009F6F45">
        <w:rPr>
          <w:rFonts w:ascii="Times New Roman" w:hAnsi="Times New Roman" w:cs="Times New Roman"/>
          <w:lang w:val="en-US"/>
        </w:rPr>
        <w:t>Magwaza</w:t>
      </w:r>
      <w:proofErr w:type="spellEnd"/>
      <w:r w:rsidRPr="009F6F45">
        <w:rPr>
          <w:rFonts w:ascii="Times New Roman" w:hAnsi="Times New Roman" w:cs="Times New Roman"/>
          <w:lang w:val="en-US"/>
        </w:rPr>
        <w:t xml:space="preserve">, B. N., 2019. Sources of bias in detrital zircon geochronology: Discordance, concealed lead loss and common lead correction. Earth-Science Reviews 197, 102899. </w:t>
      </w:r>
      <w:hyperlink r:id="rId7" w:history="1">
        <w:r w:rsidRPr="009F6F45">
          <w:rPr>
            <w:rStyle w:val="Hyperlink"/>
            <w:lang w:val="en-US"/>
          </w:rPr>
          <w:t>10.1016/j.earscirev.2019.102899</w:t>
        </w:r>
      </w:hyperlink>
    </w:p>
    <w:p w14:paraId="506B6C4D" w14:textId="77777777" w:rsidR="009F6F45" w:rsidRPr="009F6F45" w:rsidRDefault="009F6F45" w:rsidP="009F6F45">
      <w:pPr>
        <w:jc w:val="both"/>
        <w:rPr>
          <w:rFonts w:ascii="Times New Roman" w:hAnsi="Times New Roman" w:cs="Times New Roman"/>
          <w:lang w:val="en-US"/>
        </w:rPr>
      </w:pPr>
      <w:r w:rsidRPr="009F6F45">
        <w:rPr>
          <w:rFonts w:ascii="Times New Roman" w:hAnsi="Times New Roman" w:cs="Times New Roman"/>
          <w:lang w:val="en-US"/>
        </w:rPr>
        <w:t xml:space="preserve">Brace, W.F., Walsh, J.B., &amp; </w:t>
      </w:r>
      <w:proofErr w:type="spellStart"/>
      <w:r w:rsidRPr="009F6F45">
        <w:rPr>
          <w:rFonts w:ascii="Times New Roman" w:hAnsi="Times New Roman" w:cs="Times New Roman"/>
          <w:lang w:val="en-US"/>
        </w:rPr>
        <w:t>Frangos</w:t>
      </w:r>
      <w:proofErr w:type="spellEnd"/>
      <w:r w:rsidRPr="009F6F45">
        <w:rPr>
          <w:rFonts w:ascii="Times New Roman" w:hAnsi="Times New Roman" w:cs="Times New Roman"/>
          <w:lang w:val="en-US"/>
        </w:rPr>
        <w:t xml:space="preserve">, W.T. (1968). Permeability of granite under high pressure. Journal of Geophysical Research, 73(6), 2225–2236. </w:t>
      </w:r>
      <w:hyperlink r:id="rId8" w:history="1">
        <w:r w:rsidRPr="009F6F45">
          <w:rPr>
            <w:rStyle w:val="Hyperlink"/>
            <w:lang w:val="en-US"/>
          </w:rPr>
          <w:t>https://doi.org/10.1029/JB073i006p02225</w:t>
        </w:r>
      </w:hyperlink>
    </w:p>
    <w:p w14:paraId="4426B7F0" w14:textId="77777777" w:rsidR="009F6F45" w:rsidRPr="009F6F45" w:rsidRDefault="009F6F45" w:rsidP="009F6F45">
      <w:pPr>
        <w:jc w:val="both"/>
        <w:rPr>
          <w:rFonts w:ascii="Times New Roman" w:hAnsi="Times New Roman" w:cs="Times New Roman"/>
          <w:lang w:val="en-US"/>
        </w:rPr>
      </w:pPr>
      <w:r w:rsidRPr="009F6F45">
        <w:rPr>
          <w:rFonts w:ascii="Times New Roman" w:hAnsi="Times New Roman" w:cs="Times New Roman"/>
          <w:lang w:val="en-US"/>
        </w:rPr>
        <w:t>Bruker (2018). Mineral composition analysis using the M4 TORNADO AMICS. XRF 469, Micro-XRF Application Note. Bruker Nano GmbH.</w:t>
      </w:r>
    </w:p>
    <w:p w14:paraId="1C6B5698" w14:textId="77777777" w:rsidR="009F6F45" w:rsidRPr="009F6F45" w:rsidRDefault="009F6F45" w:rsidP="009F6F45">
      <w:pPr>
        <w:jc w:val="both"/>
        <w:rPr>
          <w:rStyle w:val="Hyperlink"/>
          <w:lang w:val="en-US"/>
        </w:rPr>
      </w:pPr>
      <w:proofErr w:type="spellStart"/>
      <w:r w:rsidRPr="009F6F45">
        <w:rPr>
          <w:rFonts w:ascii="Times New Roman" w:hAnsi="Times New Roman" w:cs="Times New Roman"/>
          <w:lang w:val="en-US"/>
        </w:rPr>
        <w:lastRenderedPageBreak/>
        <w:t>Budzyń</w:t>
      </w:r>
      <w:proofErr w:type="spellEnd"/>
      <w:r w:rsidRPr="009F6F45">
        <w:rPr>
          <w:rFonts w:ascii="Times New Roman" w:hAnsi="Times New Roman" w:cs="Times New Roman"/>
          <w:lang w:val="en-US"/>
        </w:rPr>
        <w:t xml:space="preserve">, B., </w:t>
      </w:r>
      <w:proofErr w:type="spellStart"/>
      <w:r w:rsidRPr="009F6F45">
        <w:rPr>
          <w:rFonts w:ascii="Times New Roman" w:hAnsi="Times New Roman" w:cs="Times New Roman"/>
          <w:lang w:val="en-US"/>
        </w:rPr>
        <w:t>Sláma</w:t>
      </w:r>
      <w:proofErr w:type="spellEnd"/>
      <w:r w:rsidRPr="009F6F45">
        <w:rPr>
          <w:rFonts w:ascii="Times New Roman" w:hAnsi="Times New Roman" w:cs="Times New Roman"/>
          <w:lang w:val="en-US"/>
        </w:rPr>
        <w:t xml:space="preserve">, J., Corfu, F., Crowley, J., Schmitz, M., Williams, M. L., &amp; </w:t>
      </w:r>
      <w:proofErr w:type="spellStart"/>
      <w:r w:rsidRPr="009F6F45">
        <w:rPr>
          <w:rFonts w:ascii="Times New Roman" w:hAnsi="Times New Roman" w:cs="Times New Roman"/>
          <w:lang w:val="en-US"/>
        </w:rPr>
        <w:t>Włodek</w:t>
      </w:r>
      <w:proofErr w:type="spellEnd"/>
      <w:r w:rsidRPr="009F6F45">
        <w:rPr>
          <w:rFonts w:ascii="Times New Roman" w:hAnsi="Times New Roman" w:cs="Times New Roman"/>
          <w:lang w:val="en-US"/>
        </w:rPr>
        <w:t>, A., 2021. TS-</w:t>
      </w:r>
      <w:proofErr w:type="spellStart"/>
      <w:r w:rsidRPr="009F6F45">
        <w:rPr>
          <w:rFonts w:ascii="Times New Roman" w:hAnsi="Times New Roman" w:cs="Times New Roman"/>
          <w:lang w:val="en-US"/>
        </w:rPr>
        <w:t>Mnz</w:t>
      </w:r>
      <w:proofErr w:type="spellEnd"/>
      <w:r w:rsidRPr="009F6F45">
        <w:rPr>
          <w:rFonts w:ascii="Times New Roman" w:hAnsi="Times New Roman" w:cs="Times New Roman"/>
          <w:lang w:val="en-US"/>
        </w:rPr>
        <w:t xml:space="preserve">–a new monazite age reference material for U-Th-Pb microanalysis. Chemical Geology, 572, 120195. </w:t>
      </w:r>
      <w:hyperlink r:id="rId9" w:history="1">
        <w:r w:rsidRPr="009F6F45">
          <w:rPr>
            <w:rStyle w:val="Hyperlink"/>
            <w:lang w:val="en-US"/>
          </w:rPr>
          <w:t>10.1016/j.chemgeo.2021.120195</w:t>
        </w:r>
      </w:hyperlink>
    </w:p>
    <w:p w14:paraId="5CE5C7FA" w14:textId="77777777" w:rsidR="009F6F45" w:rsidRPr="009F6F45" w:rsidRDefault="009F6F45" w:rsidP="009F6F45">
      <w:pPr>
        <w:jc w:val="both"/>
        <w:rPr>
          <w:rStyle w:val="Hyperlink"/>
          <w:lang w:val="en-US"/>
        </w:rPr>
      </w:pPr>
      <w:r w:rsidRPr="009F6F45">
        <w:rPr>
          <w:rFonts w:ascii="Times New Roman" w:hAnsi="Times New Roman" w:cs="Times New Roman"/>
          <w:u w:val="single"/>
          <w:lang w:val="en-US"/>
        </w:rPr>
        <w:t xml:space="preserve">Chew, D. M., Petrus, J. A., </w:t>
      </w:r>
      <w:proofErr w:type="spellStart"/>
      <w:r w:rsidRPr="009F6F45">
        <w:rPr>
          <w:rFonts w:ascii="Times New Roman" w:hAnsi="Times New Roman" w:cs="Times New Roman"/>
          <w:lang w:val="en-US"/>
        </w:rPr>
        <w:t>Kamber</w:t>
      </w:r>
      <w:proofErr w:type="spellEnd"/>
      <w:r w:rsidRPr="009F6F45">
        <w:rPr>
          <w:rFonts w:ascii="Times New Roman" w:hAnsi="Times New Roman" w:cs="Times New Roman"/>
          <w:lang w:val="en-US"/>
        </w:rPr>
        <w:t xml:space="preserve">, B. S., 2014. U–Pb LA–ICPMS dating using accessory mineral standards with variable common Pb. Chemical Geology 363, 185-199. </w:t>
      </w:r>
      <w:hyperlink r:id="rId10" w:history="1">
        <w:r w:rsidRPr="009F6F45">
          <w:rPr>
            <w:rStyle w:val="Hyperlink"/>
            <w:lang w:val="en-US"/>
          </w:rPr>
          <w:t>10.1016/j.chemgeo.2013.11.006</w:t>
        </w:r>
      </w:hyperlink>
    </w:p>
    <w:p w14:paraId="7635BBF3" w14:textId="77777777" w:rsidR="009F6F45" w:rsidRPr="009F6F45" w:rsidRDefault="009F6F45" w:rsidP="009F6F45">
      <w:pPr>
        <w:jc w:val="both"/>
        <w:rPr>
          <w:rFonts w:ascii="Times New Roman" w:hAnsi="Times New Roman" w:cs="Times New Roman"/>
          <w:lang w:val="en-US"/>
        </w:rPr>
      </w:pPr>
      <w:proofErr w:type="spellStart"/>
      <w:r w:rsidRPr="009F6F45">
        <w:rPr>
          <w:rFonts w:ascii="Times New Roman" w:hAnsi="Times New Roman" w:cs="Times New Roman"/>
          <w:lang w:val="en-US"/>
        </w:rPr>
        <w:t>Choquette</w:t>
      </w:r>
      <w:proofErr w:type="spellEnd"/>
      <w:r w:rsidRPr="009F6F45">
        <w:rPr>
          <w:rFonts w:ascii="Times New Roman" w:hAnsi="Times New Roman" w:cs="Times New Roman"/>
          <w:lang w:val="en-US"/>
        </w:rPr>
        <w:t xml:space="preserve">, P.W., &amp; Pray, L.C. (1970). Geologic nomenclature and classification of porosity in sedimentary carbonates. AAPG Bulletin, 54(2), 207–250. </w:t>
      </w:r>
      <w:hyperlink r:id="rId11" w:history="1">
        <w:r w:rsidRPr="009F6F45">
          <w:rPr>
            <w:rStyle w:val="Hyperlink"/>
            <w:lang w:val="en-US"/>
          </w:rPr>
          <w:t>https://doi.org/10.1306/5D25C98B-16C1-11D7-8645000102C1865D</w:t>
        </w:r>
      </w:hyperlink>
    </w:p>
    <w:p w14:paraId="06785C55" w14:textId="77777777" w:rsidR="009F6F45" w:rsidRPr="009F6F45" w:rsidRDefault="009F6F45" w:rsidP="009F6F45">
      <w:pPr>
        <w:jc w:val="both"/>
      </w:pPr>
      <w:r w:rsidRPr="009F6F45">
        <w:rPr>
          <w:rFonts w:ascii="Times New Roman" w:hAnsi="Times New Roman" w:cs="Times New Roman"/>
          <w:lang w:val="en-US"/>
        </w:rPr>
        <w:t xml:space="preserve">Farquharson, J.I., Heap, M.J., </w:t>
      </w:r>
      <w:proofErr w:type="spellStart"/>
      <w:r w:rsidRPr="009F6F45">
        <w:rPr>
          <w:rFonts w:ascii="Times New Roman" w:hAnsi="Times New Roman" w:cs="Times New Roman"/>
          <w:lang w:val="en-US"/>
        </w:rPr>
        <w:t>Lavallée</w:t>
      </w:r>
      <w:proofErr w:type="spellEnd"/>
      <w:r w:rsidRPr="009F6F45">
        <w:rPr>
          <w:rFonts w:ascii="Times New Roman" w:hAnsi="Times New Roman" w:cs="Times New Roman"/>
          <w:lang w:val="en-US"/>
        </w:rPr>
        <w:t xml:space="preserve">, Y., Varley, N.R., &amp; Baud, P. (2016). Evidence for the development of permeability anisotropy in lava domes and volcanic conduits. Journal of Volcanology and Geothermal Research, 323, 163–185. </w:t>
      </w:r>
      <w:hyperlink r:id="rId12">
        <w:r w:rsidRPr="009F6F45">
          <w:rPr>
            <w:rStyle w:val="Hyperlink"/>
            <w:lang w:val="en-US"/>
          </w:rPr>
          <w:t>https://doi.org/10.1016/j.jvolgeores.2016.05.007</w:t>
        </w:r>
      </w:hyperlink>
    </w:p>
    <w:p w14:paraId="527AD084" w14:textId="77777777" w:rsidR="009F6F45" w:rsidRPr="009F6F45" w:rsidRDefault="009F6F45" w:rsidP="009F6F45">
      <w:pPr>
        <w:jc w:val="both"/>
      </w:pPr>
      <w:r w:rsidRPr="009F6F45">
        <w:rPr>
          <w:rFonts w:ascii="Times New Roman" w:hAnsi="Times New Roman" w:cs="Times New Roman"/>
          <w:lang w:val="en-US"/>
        </w:rPr>
        <w:t xml:space="preserve">Gustafsson, S.E. (1991). Transient plane source techniques for thermal conductivity and thermal diffusivity measurements of solid materials. Review of Scientific Instruments, 62(3), 797–804. </w:t>
      </w:r>
      <w:hyperlink r:id="rId13">
        <w:r w:rsidRPr="009F6F45">
          <w:rPr>
            <w:rStyle w:val="Hyperlink"/>
            <w:lang w:val="en-US"/>
          </w:rPr>
          <w:t>https://doi.org/10.1063/1.1142087</w:t>
        </w:r>
      </w:hyperlink>
    </w:p>
    <w:p w14:paraId="4C9E352A" w14:textId="77777777" w:rsidR="009F6F45" w:rsidRPr="009F6F45" w:rsidRDefault="009F6F45" w:rsidP="009F6F45">
      <w:pPr>
        <w:jc w:val="both"/>
      </w:pPr>
      <w:r w:rsidRPr="009F6F45">
        <w:rPr>
          <w:rFonts w:ascii="Times New Roman" w:hAnsi="Times New Roman" w:cs="Times New Roman"/>
          <w:lang w:val="en-US"/>
        </w:rPr>
        <w:t xml:space="preserve">Heap, M.J., &amp; Kennedy, B.M. (2016). Exploring the scale-dependent permeability of fractured andesite. Earth and Planetary Science Letters, 447, 139–150. </w:t>
      </w:r>
      <w:hyperlink r:id="rId14">
        <w:r w:rsidRPr="009F6F45">
          <w:rPr>
            <w:rStyle w:val="Hyperlink"/>
            <w:lang w:val="en-US"/>
          </w:rPr>
          <w:t>https://doi.org/10.1016/j.epsl.2016.05.004</w:t>
        </w:r>
      </w:hyperlink>
    </w:p>
    <w:p w14:paraId="6C6A6499" w14:textId="77777777" w:rsidR="009F6F45" w:rsidRPr="009F6F45" w:rsidRDefault="009F6F45" w:rsidP="009F6F45">
      <w:pPr>
        <w:jc w:val="both"/>
      </w:pPr>
      <w:r w:rsidRPr="009F6F45">
        <w:rPr>
          <w:rFonts w:ascii="Times New Roman" w:hAnsi="Times New Roman" w:cs="Times New Roman"/>
          <w:lang w:val="en-US"/>
        </w:rPr>
        <w:t xml:space="preserve">Heap, M.J., Kushnir, A.R.L., </w:t>
      </w:r>
      <w:proofErr w:type="spellStart"/>
      <w:r w:rsidRPr="009F6F45">
        <w:rPr>
          <w:rFonts w:ascii="Times New Roman" w:hAnsi="Times New Roman" w:cs="Times New Roman"/>
          <w:lang w:val="en-US"/>
        </w:rPr>
        <w:t>Gilg</w:t>
      </w:r>
      <w:proofErr w:type="spellEnd"/>
      <w:r w:rsidRPr="009F6F45">
        <w:rPr>
          <w:rFonts w:ascii="Times New Roman" w:hAnsi="Times New Roman" w:cs="Times New Roman"/>
          <w:lang w:val="en-US"/>
        </w:rPr>
        <w:t xml:space="preserve">, H.A., Wadsworth, F.B., </w:t>
      </w:r>
      <w:proofErr w:type="spellStart"/>
      <w:r w:rsidRPr="009F6F45">
        <w:rPr>
          <w:rFonts w:ascii="Times New Roman" w:hAnsi="Times New Roman" w:cs="Times New Roman"/>
          <w:lang w:val="en-US"/>
        </w:rPr>
        <w:t>Reuschlé</w:t>
      </w:r>
      <w:proofErr w:type="spellEnd"/>
      <w:r w:rsidRPr="009F6F45">
        <w:rPr>
          <w:rFonts w:ascii="Times New Roman" w:hAnsi="Times New Roman" w:cs="Times New Roman"/>
          <w:lang w:val="en-US"/>
        </w:rPr>
        <w:t xml:space="preserve">, T., &amp; Baud, P. (2017). Microstructural and petrophysical properties of the </w:t>
      </w:r>
      <w:proofErr w:type="spellStart"/>
      <w:r w:rsidRPr="009F6F45">
        <w:rPr>
          <w:rFonts w:ascii="Times New Roman" w:hAnsi="Times New Roman" w:cs="Times New Roman"/>
          <w:lang w:val="en-US"/>
        </w:rPr>
        <w:t>Permo</w:t>
      </w:r>
      <w:proofErr w:type="spellEnd"/>
      <w:r w:rsidRPr="009F6F45">
        <w:rPr>
          <w:rFonts w:ascii="Times New Roman" w:hAnsi="Times New Roman" w:cs="Times New Roman"/>
          <w:lang w:val="en-US"/>
        </w:rPr>
        <w:t>-Triassic sandstones (</w:t>
      </w:r>
      <w:proofErr w:type="spellStart"/>
      <w:r w:rsidRPr="009F6F45">
        <w:rPr>
          <w:rFonts w:ascii="Times New Roman" w:hAnsi="Times New Roman" w:cs="Times New Roman"/>
          <w:lang w:val="en-US"/>
        </w:rPr>
        <w:t>Buntsandstein</w:t>
      </w:r>
      <w:proofErr w:type="spellEnd"/>
      <w:r w:rsidRPr="009F6F45">
        <w:rPr>
          <w:rFonts w:ascii="Times New Roman" w:hAnsi="Times New Roman" w:cs="Times New Roman"/>
          <w:lang w:val="en-US"/>
        </w:rPr>
        <w:t xml:space="preserve">) from the </w:t>
      </w:r>
      <w:proofErr w:type="spellStart"/>
      <w:r w:rsidRPr="009F6F45">
        <w:rPr>
          <w:rFonts w:ascii="Times New Roman" w:hAnsi="Times New Roman" w:cs="Times New Roman"/>
          <w:lang w:val="en-US"/>
        </w:rPr>
        <w:t>Soultz</w:t>
      </w:r>
      <w:proofErr w:type="spellEnd"/>
      <w:r w:rsidRPr="009F6F45">
        <w:rPr>
          <w:rFonts w:ascii="Times New Roman" w:hAnsi="Times New Roman" w:cs="Times New Roman"/>
          <w:lang w:val="en-US"/>
        </w:rPr>
        <w:t>-sous-</w:t>
      </w:r>
      <w:proofErr w:type="spellStart"/>
      <w:r w:rsidRPr="009F6F45">
        <w:rPr>
          <w:rFonts w:ascii="Times New Roman" w:hAnsi="Times New Roman" w:cs="Times New Roman"/>
          <w:lang w:val="en-US"/>
        </w:rPr>
        <w:t>Forêts</w:t>
      </w:r>
      <w:proofErr w:type="spellEnd"/>
      <w:r w:rsidRPr="009F6F45">
        <w:rPr>
          <w:rFonts w:ascii="Times New Roman" w:hAnsi="Times New Roman" w:cs="Times New Roman"/>
          <w:lang w:val="en-US"/>
        </w:rPr>
        <w:t xml:space="preserve"> geothermal site (France). Geothermal Energy, 5, 26. </w:t>
      </w:r>
      <w:hyperlink r:id="rId15">
        <w:r w:rsidRPr="009F6F45">
          <w:rPr>
            <w:rStyle w:val="Hyperlink"/>
            <w:lang w:val="en-US"/>
          </w:rPr>
          <w:t>https://doi.org/10.1186/s40517-017-0085-9</w:t>
        </w:r>
      </w:hyperlink>
    </w:p>
    <w:p w14:paraId="48A22157" w14:textId="77777777" w:rsidR="009F6F45" w:rsidRPr="009F6F45" w:rsidRDefault="009F6F45" w:rsidP="009F6F45">
      <w:pPr>
        <w:jc w:val="both"/>
        <w:rPr>
          <w:rStyle w:val="Hyperlink"/>
          <w:lang w:val="en-US"/>
        </w:rPr>
      </w:pPr>
      <w:proofErr w:type="spellStart"/>
      <w:r w:rsidRPr="009F6F45">
        <w:rPr>
          <w:rFonts w:ascii="Times New Roman" w:hAnsi="Times New Roman" w:cs="Times New Roman"/>
          <w:lang w:val="en-US"/>
        </w:rPr>
        <w:t>Horstwood</w:t>
      </w:r>
      <w:proofErr w:type="spellEnd"/>
      <w:r w:rsidRPr="009F6F45">
        <w:rPr>
          <w:rFonts w:ascii="Times New Roman" w:hAnsi="Times New Roman" w:cs="Times New Roman"/>
          <w:lang w:val="en-US"/>
        </w:rPr>
        <w:t xml:space="preserve"> MSA, </w:t>
      </w:r>
      <w:proofErr w:type="spellStart"/>
      <w:r w:rsidRPr="009F6F45">
        <w:rPr>
          <w:rFonts w:ascii="Times New Roman" w:hAnsi="Times New Roman" w:cs="Times New Roman"/>
          <w:lang w:val="en-US"/>
        </w:rPr>
        <w:t>Košler</w:t>
      </w:r>
      <w:proofErr w:type="spellEnd"/>
      <w:r w:rsidRPr="009F6F45">
        <w:rPr>
          <w:rFonts w:ascii="Times New Roman" w:hAnsi="Times New Roman" w:cs="Times New Roman"/>
          <w:lang w:val="en-US"/>
        </w:rPr>
        <w:t xml:space="preserve"> J, </w:t>
      </w:r>
      <w:proofErr w:type="spellStart"/>
      <w:r w:rsidRPr="009F6F45">
        <w:rPr>
          <w:rFonts w:ascii="Times New Roman" w:hAnsi="Times New Roman" w:cs="Times New Roman"/>
          <w:lang w:val="en-US"/>
        </w:rPr>
        <w:t>Gehrels</w:t>
      </w:r>
      <w:proofErr w:type="spellEnd"/>
      <w:r w:rsidRPr="009F6F45">
        <w:rPr>
          <w:rFonts w:ascii="Times New Roman" w:hAnsi="Times New Roman" w:cs="Times New Roman"/>
          <w:lang w:val="en-US"/>
        </w:rPr>
        <w:t xml:space="preserve"> G, Jackson SE, McLean NM, Paton C, Pearson NJ, </w:t>
      </w:r>
      <w:proofErr w:type="spellStart"/>
      <w:r w:rsidRPr="009F6F45">
        <w:rPr>
          <w:rFonts w:ascii="Times New Roman" w:hAnsi="Times New Roman" w:cs="Times New Roman"/>
          <w:lang w:val="en-US"/>
        </w:rPr>
        <w:t>Sircombe</w:t>
      </w:r>
      <w:proofErr w:type="spellEnd"/>
      <w:r w:rsidRPr="009F6F45">
        <w:rPr>
          <w:rFonts w:ascii="Times New Roman" w:hAnsi="Times New Roman" w:cs="Times New Roman"/>
          <w:lang w:val="en-US"/>
        </w:rPr>
        <w:t xml:space="preserve"> K, Sylvester P, </w:t>
      </w:r>
      <w:proofErr w:type="spellStart"/>
      <w:r w:rsidRPr="009F6F45">
        <w:rPr>
          <w:rFonts w:ascii="Times New Roman" w:hAnsi="Times New Roman" w:cs="Times New Roman"/>
          <w:lang w:val="en-US"/>
        </w:rPr>
        <w:t>Vermeesch</w:t>
      </w:r>
      <w:proofErr w:type="spellEnd"/>
      <w:r w:rsidRPr="009F6F45">
        <w:rPr>
          <w:rFonts w:ascii="Times New Roman" w:hAnsi="Times New Roman" w:cs="Times New Roman"/>
          <w:lang w:val="en-US"/>
        </w:rPr>
        <w:t xml:space="preserve"> P, Bowring JF, Condon DJ, Schoene B (2016) Community-derived standards for LA-ICP-MS U-(Th-)Pb geochronology-uncertainty propagation, age interpretation and data reporting. </w:t>
      </w:r>
      <w:proofErr w:type="spellStart"/>
      <w:r w:rsidRPr="009F6F45">
        <w:rPr>
          <w:rFonts w:ascii="Times New Roman" w:hAnsi="Times New Roman" w:cs="Times New Roman"/>
          <w:lang w:val="en-US"/>
        </w:rPr>
        <w:t>Geostandard</w:t>
      </w:r>
      <w:proofErr w:type="spellEnd"/>
      <w:r w:rsidRPr="009F6F45">
        <w:rPr>
          <w:rFonts w:ascii="Times New Roman" w:hAnsi="Times New Roman" w:cs="Times New Roman"/>
          <w:lang w:val="en-US"/>
        </w:rPr>
        <w:t xml:space="preserve"> and </w:t>
      </w:r>
      <w:proofErr w:type="spellStart"/>
      <w:r w:rsidRPr="009F6F45">
        <w:rPr>
          <w:rFonts w:ascii="Times New Roman" w:hAnsi="Times New Roman" w:cs="Times New Roman"/>
          <w:lang w:val="en-US"/>
        </w:rPr>
        <w:t>Geoanalytical</w:t>
      </w:r>
      <w:proofErr w:type="spellEnd"/>
      <w:r w:rsidRPr="009F6F45">
        <w:rPr>
          <w:rFonts w:ascii="Times New Roman" w:hAnsi="Times New Roman" w:cs="Times New Roman"/>
          <w:lang w:val="en-US"/>
        </w:rPr>
        <w:t xml:space="preserve"> Research, 40,11–332. </w:t>
      </w:r>
      <w:hyperlink r:id="rId16" w:history="1">
        <w:r w:rsidRPr="009F6F45">
          <w:rPr>
            <w:rStyle w:val="Hyperlink"/>
            <w:lang w:val="en-US"/>
          </w:rPr>
          <w:t>https://doi.org/10.1111/j.1751-908X.2016.00379.x</w:t>
        </w:r>
      </w:hyperlink>
    </w:p>
    <w:p w14:paraId="24AF3DC7" w14:textId="13D24A56" w:rsidR="009F6F45" w:rsidRPr="009F6F45" w:rsidRDefault="009F6F45" w:rsidP="009F6F45">
      <w:pPr>
        <w:jc w:val="both"/>
        <w:rPr>
          <w:rFonts w:ascii="Times New Roman" w:hAnsi="Times New Roman" w:cs="Times New Roman"/>
          <w:lang w:val="en-US"/>
        </w:rPr>
      </w:pPr>
      <w:proofErr w:type="spellStart"/>
      <w:r w:rsidRPr="00066466">
        <w:rPr>
          <w:rFonts w:ascii="Times New Roman" w:hAnsi="Times New Roman" w:cs="Times New Roman"/>
          <w:lang w:val="en-US"/>
        </w:rPr>
        <w:t>Huhma</w:t>
      </w:r>
      <w:proofErr w:type="spellEnd"/>
      <w:r w:rsidRPr="00066466">
        <w:rPr>
          <w:rFonts w:ascii="Times New Roman" w:hAnsi="Times New Roman" w:cs="Times New Roman"/>
          <w:lang w:val="en-US"/>
        </w:rPr>
        <w:t xml:space="preserve">, H., </w:t>
      </w:r>
      <w:proofErr w:type="spellStart"/>
      <w:r w:rsidRPr="00066466">
        <w:rPr>
          <w:rFonts w:ascii="Times New Roman" w:hAnsi="Times New Roman" w:cs="Times New Roman"/>
          <w:lang w:val="en-US"/>
        </w:rPr>
        <w:t>Mänttäri</w:t>
      </w:r>
      <w:proofErr w:type="spellEnd"/>
      <w:r w:rsidRPr="00066466">
        <w:rPr>
          <w:rFonts w:ascii="Times New Roman" w:hAnsi="Times New Roman" w:cs="Times New Roman"/>
          <w:lang w:val="en-US"/>
        </w:rPr>
        <w:t xml:space="preserve">, I., </w:t>
      </w:r>
      <w:proofErr w:type="spellStart"/>
      <w:r w:rsidRPr="00066466">
        <w:rPr>
          <w:rFonts w:ascii="Times New Roman" w:hAnsi="Times New Roman" w:cs="Times New Roman"/>
          <w:lang w:val="en-US"/>
        </w:rPr>
        <w:t>Peltonen</w:t>
      </w:r>
      <w:proofErr w:type="spellEnd"/>
      <w:r w:rsidRPr="00066466">
        <w:rPr>
          <w:rFonts w:ascii="Times New Roman" w:hAnsi="Times New Roman" w:cs="Times New Roman"/>
          <w:lang w:val="en-US"/>
        </w:rPr>
        <w:t xml:space="preserve">, P., </w:t>
      </w:r>
      <w:proofErr w:type="spellStart"/>
      <w:r w:rsidRPr="00066466">
        <w:rPr>
          <w:rFonts w:ascii="Times New Roman" w:hAnsi="Times New Roman" w:cs="Times New Roman"/>
          <w:lang w:val="en-US"/>
        </w:rPr>
        <w:t>Kontinen</w:t>
      </w:r>
      <w:proofErr w:type="spellEnd"/>
      <w:r w:rsidRPr="00066466">
        <w:rPr>
          <w:rFonts w:ascii="Times New Roman" w:hAnsi="Times New Roman" w:cs="Times New Roman"/>
          <w:lang w:val="en-US"/>
        </w:rPr>
        <w:t xml:space="preserve">, A., </w:t>
      </w:r>
      <w:proofErr w:type="spellStart"/>
      <w:r w:rsidRPr="00066466">
        <w:rPr>
          <w:rFonts w:ascii="Times New Roman" w:hAnsi="Times New Roman" w:cs="Times New Roman"/>
          <w:lang w:val="en-US"/>
        </w:rPr>
        <w:t>Halkoaho</w:t>
      </w:r>
      <w:proofErr w:type="spellEnd"/>
      <w:r w:rsidRPr="00066466">
        <w:rPr>
          <w:rFonts w:ascii="Times New Roman" w:hAnsi="Times New Roman" w:cs="Times New Roman"/>
          <w:lang w:val="en-US"/>
        </w:rPr>
        <w:t xml:space="preserve">, T., </w:t>
      </w:r>
      <w:proofErr w:type="spellStart"/>
      <w:r w:rsidRPr="00066466">
        <w:rPr>
          <w:rFonts w:ascii="Times New Roman" w:hAnsi="Times New Roman" w:cs="Times New Roman"/>
          <w:lang w:val="en-US"/>
        </w:rPr>
        <w:t>Hanski</w:t>
      </w:r>
      <w:proofErr w:type="spellEnd"/>
      <w:r w:rsidRPr="00066466">
        <w:rPr>
          <w:rFonts w:ascii="Times New Roman" w:hAnsi="Times New Roman" w:cs="Times New Roman"/>
          <w:lang w:val="en-US"/>
        </w:rPr>
        <w:t xml:space="preserve">, E., </w:t>
      </w:r>
      <w:proofErr w:type="spellStart"/>
      <w:r w:rsidRPr="00066466">
        <w:rPr>
          <w:rFonts w:ascii="Times New Roman" w:hAnsi="Times New Roman" w:cs="Times New Roman"/>
          <w:lang w:val="en-US"/>
        </w:rPr>
        <w:t>Hokkanen</w:t>
      </w:r>
      <w:proofErr w:type="spellEnd"/>
      <w:r w:rsidRPr="00066466">
        <w:rPr>
          <w:rFonts w:ascii="Times New Roman" w:hAnsi="Times New Roman" w:cs="Times New Roman"/>
          <w:lang w:val="en-US"/>
        </w:rPr>
        <w:t xml:space="preserve">, T., </w:t>
      </w:r>
      <w:proofErr w:type="spellStart"/>
      <w:r w:rsidRPr="00066466">
        <w:rPr>
          <w:rFonts w:ascii="Times New Roman" w:hAnsi="Times New Roman" w:cs="Times New Roman"/>
          <w:lang w:val="en-US"/>
        </w:rPr>
        <w:t>Hölttä</w:t>
      </w:r>
      <w:proofErr w:type="spellEnd"/>
      <w:r w:rsidRPr="00066466">
        <w:rPr>
          <w:rFonts w:ascii="Times New Roman" w:hAnsi="Times New Roman" w:cs="Times New Roman"/>
          <w:lang w:val="en-US"/>
        </w:rPr>
        <w:t xml:space="preserve">, P., </w:t>
      </w:r>
      <w:proofErr w:type="spellStart"/>
      <w:r w:rsidRPr="00066466">
        <w:rPr>
          <w:rFonts w:ascii="Times New Roman" w:hAnsi="Times New Roman" w:cs="Times New Roman"/>
          <w:lang w:val="en-US"/>
        </w:rPr>
        <w:t>Juopperi</w:t>
      </w:r>
      <w:proofErr w:type="spellEnd"/>
      <w:r w:rsidRPr="00066466">
        <w:rPr>
          <w:rFonts w:ascii="Times New Roman" w:hAnsi="Times New Roman" w:cs="Times New Roman"/>
          <w:lang w:val="en-US"/>
        </w:rPr>
        <w:t xml:space="preserve">, H., </w:t>
      </w:r>
      <w:proofErr w:type="spellStart"/>
      <w:r w:rsidRPr="00066466">
        <w:rPr>
          <w:rFonts w:ascii="Times New Roman" w:hAnsi="Times New Roman" w:cs="Times New Roman"/>
          <w:lang w:val="en-US"/>
        </w:rPr>
        <w:t>Konnunaho</w:t>
      </w:r>
      <w:proofErr w:type="spellEnd"/>
      <w:r w:rsidRPr="00066466">
        <w:rPr>
          <w:rFonts w:ascii="Times New Roman" w:hAnsi="Times New Roman" w:cs="Times New Roman"/>
          <w:lang w:val="en-US"/>
        </w:rPr>
        <w:t xml:space="preserve">, J., </w:t>
      </w:r>
      <w:proofErr w:type="spellStart"/>
      <w:r w:rsidRPr="00066466">
        <w:rPr>
          <w:rFonts w:ascii="Times New Roman" w:hAnsi="Times New Roman" w:cs="Times New Roman"/>
          <w:lang w:val="en-US"/>
        </w:rPr>
        <w:t>Lahaye</w:t>
      </w:r>
      <w:proofErr w:type="spellEnd"/>
      <w:r w:rsidRPr="00066466">
        <w:rPr>
          <w:rFonts w:ascii="Times New Roman" w:hAnsi="Times New Roman" w:cs="Times New Roman"/>
          <w:lang w:val="en-US"/>
        </w:rPr>
        <w:t xml:space="preserve">, Y., </w:t>
      </w:r>
      <w:proofErr w:type="spellStart"/>
      <w:r w:rsidRPr="00066466">
        <w:rPr>
          <w:rFonts w:ascii="Times New Roman" w:hAnsi="Times New Roman" w:cs="Times New Roman"/>
          <w:lang w:val="en-US"/>
        </w:rPr>
        <w:t>Luukkonen</w:t>
      </w:r>
      <w:proofErr w:type="spellEnd"/>
      <w:r w:rsidRPr="00066466">
        <w:rPr>
          <w:rFonts w:ascii="Times New Roman" w:hAnsi="Times New Roman" w:cs="Times New Roman"/>
          <w:lang w:val="en-US"/>
        </w:rPr>
        <w:t xml:space="preserve">, E., </w:t>
      </w:r>
      <w:proofErr w:type="spellStart"/>
      <w:r w:rsidRPr="00066466">
        <w:rPr>
          <w:rFonts w:ascii="Times New Roman" w:hAnsi="Times New Roman" w:cs="Times New Roman"/>
          <w:lang w:val="en-US"/>
        </w:rPr>
        <w:t>Pietikäinen</w:t>
      </w:r>
      <w:proofErr w:type="spellEnd"/>
      <w:r w:rsidRPr="00066466">
        <w:rPr>
          <w:rFonts w:ascii="Times New Roman" w:hAnsi="Times New Roman" w:cs="Times New Roman"/>
          <w:lang w:val="en-US"/>
        </w:rPr>
        <w:t xml:space="preserve">, K., </w:t>
      </w:r>
      <w:proofErr w:type="spellStart"/>
      <w:r w:rsidRPr="00066466">
        <w:rPr>
          <w:rFonts w:ascii="Times New Roman" w:hAnsi="Times New Roman" w:cs="Times New Roman"/>
          <w:lang w:val="en-US"/>
        </w:rPr>
        <w:t>Pulkkinen</w:t>
      </w:r>
      <w:proofErr w:type="spellEnd"/>
      <w:r w:rsidRPr="00066466">
        <w:rPr>
          <w:rFonts w:ascii="Times New Roman" w:hAnsi="Times New Roman" w:cs="Times New Roman"/>
          <w:lang w:val="en-US"/>
        </w:rPr>
        <w:t xml:space="preserve">, A., </w:t>
      </w:r>
      <w:proofErr w:type="spellStart"/>
      <w:r w:rsidRPr="00066466">
        <w:rPr>
          <w:rFonts w:ascii="Times New Roman" w:hAnsi="Times New Roman" w:cs="Times New Roman"/>
          <w:lang w:val="en-US"/>
        </w:rPr>
        <w:t>Sorjonen</w:t>
      </w:r>
      <w:proofErr w:type="spellEnd"/>
      <w:r w:rsidRPr="00066466">
        <w:rPr>
          <w:rFonts w:ascii="Times New Roman" w:hAnsi="Times New Roman" w:cs="Times New Roman"/>
          <w:lang w:val="en-US"/>
        </w:rPr>
        <w:t xml:space="preserve">-Ward, P., </w:t>
      </w:r>
      <w:proofErr w:type="spellStart"/>
      <w:r w:rsidRPr="00066466">
        <w:rPr>
          <w:rFonts w:ascii="Times New Roman" w:hAnsi="Times New Roman" w:cs="Times New Roman"/>
          <w:lang w:val="en-US"/>
        </w:rPr>
        <w:t>Vaasjoki</w:t>
      </w:r>
      <w:proofErr w:type="spellEnd"/>
      <w:r w:rsidRPr="00066466">
        <w:rPr>
          <w:rFonts w:ascii="Times New Roman" w:hAnsi="Times New Roman" w:cs="Times New Roman"/>
          <w:lang w:val="en-US"/>
        </w:rPr>
        <w:t xml:space="preserve">, M., Whitehouse, M., 2012. </w:t>
      </w:r>
      <w:r w:rsidRPr="009F6F45">
        <w:rPr>
          <w:rFonts w:ascii="Times New Roman" w:hAnsi="Times New Roman" w:cs="Times New Roman"/>
          <w:lang w:val="en-US"/>
        </w:rPr>
        <w:t xml:space="preserve">The age of the Archaean greenstone belts in Finland. In: </w:t>
      </w:r>
      <w:proofErr w:type="spellStart"/>
      <w:r w:rsidRPr="009F6F45">
        <w:rPr>
          <w:rFonts w:ascii="Times New Roman" w:hAnsi="Times New Roman" w:cs="Times New Roman"/>
          <w:lang w:val="en-US"/>
        </w:rPr>
        <w:t>Hölttä</w:t>
      </w:r>
      <w:proofErr w:type="spellEnd"/>
      <w:r w:rsidRPr="009F6F45">
        <w:rPr>
          <w:rFonts w:ascii="Times New Roman" w:hAnsi="Times New Roman" w:cs="Times New Roman"/>
          <w:lang w:val="en-US"/>
        </w:rPr>
        <w:t>, P. (edit), 2012. The Archean of the Karelian province in Finland. Geological Survey of Finland, Special Paper, 54, 74-175.</w:t>
      </w:r>
    </w:p>
    <w:p w14:paraId="71E1B882" w14:textId="77777777" w:rsidR="009F6F45" w:rsidRPr="009F6F45" w:rsidRDefault="009F6F45" w:rsidP="009F6F45">
      <w:pPr>
        <w:jc w:val="both"/>
        <w:rPr>
          <w:rFonts w:ascii="Times New Roman" w:hAnsi="Times New Roman" w:cs="Times New Roman"/>
          <w:lang w:val="fi-FI"/>
        </w:rPr>
      </w:pPr>
      <w:r w:rsidRPr="009F6F45">
        <w:rPr>
          <w:rFonts w:ascii="Times New Roman" w:hAnsi="Times New Roman" w:cs="Times New Roman"/>
          <w:lang w:val="en-US"/>
        </w:rPr>
        <w:t xml:space="preserve">Jolis, E.M., </w:t>
      </w:r>
      <w:proofErr w:type="spellStart"/>
      <w:r w:rsidRPr="009F6F45">
        <w:rPr>
          <w:rFonts w:ascii="Times New Roman" w:hAnsi="Times New Roman" w:cs="Times New Roman"/>
          <w:lang w:val="en-US"/>
        </w:rPr>
        <w:t>Szentpéteri</w:t>
      </w:r>
      <w:proofErr w:type="spellEnd"/>
      <w:r w:rsidRPr="009F6F45">
        <w:rPr>
          <w:rFonts w:ascii="Times New Roman" w:hAnsi="Times New Roman" w:cs="Times New Roman"/>
          <w:lang w:val="en-US"/>
        </w:rPr>
        <w:t xml:space="preserve">, K., O’Brien, H., Menzies, A.H., Nikkola, P., Heikkilä, P., Butcher, A.R., &amp; </w:t>
      </w:r>
      <w:proofErr w:type="spellStart"/>
      <w:r w:rsidRPr="009F6F45">
        <w:rPr>
          <w:rFonts w:ascii="Times New Roman" w:hAnsi="Times New Roman" w:cs="Times New Roman"/>
          <w:lang w:val="en-US"/>
        </w:rPr>
        <w:t>Heino</w:t>
      </w:r>
      <w:proofErr w:type="spellEnd"/>
      <w:r w:rsidRPr="009F6F45">
        <w:rPr>
          <w:rFonts w:ascii="Times New Roman" w:hAnsi="Times New Roman" w:cs="Times New Roman"/>
          <w:lang w:val="en-US"/>
        </w:rPr>
        <w:t xml:space="preserve">, P. (2025). Modern scanning- and micro-analytical spectroscopy—Technologies and workflow to </w:t>
      </w:r>
      <w:proofErr w:type="spellStart"/>
      <w:r w:rsidRPr="009F6F45">
        <w:rPr>
          <w:rFonts w:ascii="Times New Roman" w:hAnsi="Times New Roman" w:cs="Times New Roman"/>
          <w:lang w:val="en-US"/>
        </w:rPr>
        <w:t>characterise</w:t>
      </w:r>
      <w:proofErr w:type="spellEnd"/>
      <w:r w:rsidRPr="009F6F45">
        <w:rPr>
          <w:rFonts w:ascii="Times New Roman" w:hAnsi="Times New Roman" w:cs="Times New Roman"/>
          <w:lang w:val="en-US"/>
        </w:rPr>
        <w:t xml:space="preserve"> critical raw materials: A case study of the </w:t>
      </w:r>
      <w:proofErr w:type="spellStart"/>
      <w:r w:rsidRPr="009F6F45">
        <w:rPr>
          <w:rFonts w:ascii="Times New Roman" w:hAnsi="Times New Roman" w:cs="Times New Roman"/>
          <w:lang w:val="en-US"/>
        </w:rPr>
        <w:t>Sokli</w:t>
      </w:r>
      <w:proofErr w:type="spellEnd"/>
      <w:r w:rsidRPr="009F6F45">
        <w:rPr>
          <w:rFonts w:ascii="Times New Roman" w:hAnsi="Times New Roman" w:cs="Times New Roman"/>
          <w:lang w:val="en-US"/>
        </w:rPr>
        <w:t xml:space="preserve"> phosphate and rare earth elements deposit, Finland. </w:t>
      </w:r>
      <w:proofErr w:type="spellStart"/>
      <w:r w:rsidRPr="009F6F45">
        <w:rPr>
          <w:rFonts w:ascii="Times New Roman" w:hAnsi="Times New Roman" w:cs="Times New Roman"/>
          <w:lang w:val="fi-FI"/>
        </w:rPr>
        <w:t>Ore</w:t>
      </w:r>
      <w:proofErr w:type="spellEnd"/>
      <w:r w:rsidRPr="009F6F45">
        <w:rPr>
          <w:rFonts w:ascii="Times New Roman" w:hAnsi="Times New Roman" w:cs="Times New Roman"/>
          <w:lang w:val="fi-FI"/>
        </w:rPr>
        <w:t xml:space="preserve"> </w:t>
      </w:r>
      <w:proofErr w:type="spellStart"/>
      <w:r w:rsidRPr="009F6F45">
        <w:rPr>
          <w:rFonts w:ascii="Times New Roman" w:hAnsi="Times New Roman" w:cs="Times New Roman"/>
          <w:lang w:val="fi-FI"/>
        </w:rPr>
        <w:t>Geology</w:t>
      </w:r>
      <w:proofErr w:type="spellEnd"/>
      <w:r w:rsidRPr="009F6F45">
        <w:rPr>
          <w:rFonts w:ascii="Times New Roman" w:hAnsi="Times New Roman" w:cs="Times New Roman"/>
          <w:lang w:val="fi-FI"/>
        </w:rPr>
        <w:t xml:space="preserve"> </w:t>
      </w:r>
      <w:proofErr w:type="spellStart"/>
      <w:r w:rsidRPr="009F6F45">
        <w:rPr>
          <w:rFonts w:ascii="Times New Roman" w:hAnsi="Times New Roman" w:cs="Times New Roman"/>
          <w:lang w:val="fi-FI"/>
        </w:rPr>
        <w:t>Reviews</w:t>
      </w:r>
      <w:proofErr w:type="spellEnd"/>
      <w:r w:rsidRPr="009F6F45">
        <w:rPr>
          <w:rFonts w:ascii="Times New Roman" w:hAnsi="Times New Roman" w:cs="Times New Roman"/>
          <w:lang w:val="fi-FI"/>
        </w:rPr>
        <w:t xml:space="preserve">, 185, 106683. </w:t>
      </w:r>
      <w:hyperlink r:id="rId17" w:history="1">
        <w:r w:rsidRPr="009F6F45">
          <w:rPr>
            <w:rStyle w:val="Hyperlink"/>
            <w:lang w:val="fi-FI"/>
          </w:rPr>
          <w:t>https://doi.org/10.1016/j.oregeorev.2025.106683</w:t>
        </w:r>
      </w:hyperlink>
    </w:p>
    <w:p w14:paraId="7B703C6C" w14:textId="77777777" w:rsidR="009F6F45" w:rsidRPr="009F6F45" w:rsidRDefault="009F6F45" w:rsidP="009F6F45">
      <w:pPr>
        <w:jc w:val="both"/>
      </w:pPr>
      <w:r w:rsidRPr="009F6F45">
        <w:rPr>
          <w:rFonts w:ascii="Times New Roman" w:hAnsi="Times New Roman" w:cs="Times New Roman"/>
          <w:lang w:val="fi-FI"/>
        </w:rPr>
        <w:t xml:space="preserve">Kuva, J., </w:t>
      </w:r>
      <w:proofErr w:type="spellStart"/>
      <w:r w:rsidRPr="009F6F45">
        <w:rPr>
          <w:rFonts w:ascii="Times New Roman" w:hAnsi="Times New Roman" w:cs="Times New Roman"/>
          <w:lang w:val="fi-FI"/>
        </w:rPr>
        <w:t>Siitari</w:t>
      </w:r>
      <w:proofErr w:type="spellEnd"/>
      <w:r w:rsidRPr="009F6F45">
        <w:rPr>
          <w:rFonts w:ascii="Times New Roman" w:hAnsi="Times New Roman" w:cs="Times New Roman"/>
          <w:lang w:val="fi-FI"/>
        </w:rPr>
        <w:t xml:space="preserve">-Kauppi, M.K., Lindberg, A., Aaltonen, I., Turpeinen, T., </w:t>
      </w:r>
      <w:proofErr w:type="spellStart"/>
      <w:r w:rsidRPr="009F6F45">
        <w:rPr>
          <w:rFonts w:ascii="Times New Roman" w:hAnsi="Times New Roman" w:cs="Times New Roman"/>
          <w:lang w:val="fi-FI"/>
        </w:rPr>
        <w:t>Myllys</w:t>
      </w:r>
      <w:proofErr w:type="spellEnd"/>
      <w:r w:rsidRPr="009F6F45">
        <w:rPr>
          <w:rFonts w:ascii="Times New Roman" w:hAnsi="Times New Roman" w:cs="Times New Roman"/>
          <w:lang w:val="fi-FI"/>
        </w:rPr>
        <w:t xml:space="preserve">, M., &amp; Timonen, J. (2012). </w:t>
      </w:r>
      <w:r w:rsidRPr="009F6F45">
        <w:rPr>
          <w:rFonts w:ascii="Times New Roman" w:hAnsi="Times New Roman" w:cs="Times New Roman"/>
          <w:lang w:val="en-US"/>
        </w:rPr>
        <w:t xml:space="preserve">Microstructure, porosity and mineralogy around fractures in </w:t>
      </w:r>
      <w:proofErr w:type="spellStart"/>
      <w:r w:rsidRPr="009F6F45">
        <w:rPr>
          <w:rFonts w:ascii="Times New Roman" w:hAnsi="Times New Roman" w:cs="Times New Roman"/>
          <w:lang w:val="en-US"/>
        </w:rPr>
        <w:t>Olkiluoto</w:t>
      </w:r>
      <w:proofErr w:type="spellEnd"/>
      <w:r w:rsidRPr="009F6F45">
        <w:rPr>
          <w:rFonts w:ascii="Times New Roman" w:hAnsi="Times New Roman" w:cs="Times New Roman"/>
          <w:lang w:val="en-US"/>
        </w:rPr>
        <w:t xml:space="preserve"> bedrock. Engineering Geology, 139–140, 28–37. </w:t>
      </w:r>
      <w:hyperlink r:id="rId18">
        <w:r w:rsidRPr="009F6F45">
          <w:rPr>
            <w:rStyle w:val="Hyperlink"/>
            <w:lang w:val="en-US"/>
          </w:rPr>
          <w:t>https://doi.org/10.1016/j.enggeo.2012.04.008</w:t>
        </w:r>
      </w:hyperlink>
    </w:p>
    <w:p w14:paraId="1BCAFC57" w14:textId="77777777" w:rsidR="009F6F45" w:rsidRPr="009F6F45" w:rsidRDefault="009F6F45" w:rsidP="009F6F45">
      <w:pPr>
        <w:jc w:val="both"/>
        <w:rPr>
          <w:rFonts w:ascii="Times New Roman" w:hAnsi="Times New Roman" w:cs="Times New Roman"/>
          <w:lang w:val="en-US"/>
        </w:rPr>
      </w:pPr>
      <w:r w:rsidRPr="009F6F45">
        <w:rPr>
          <w:rFonts w:ascii="Times New Roman" w:hAnsi="Times New Roman" w:cs="Times New Roman"/>
          <w:lang w:val="en-US"/>
        </w:rPr>
        <w:lastRenderedPageBreak/>
        <w:t xml:space="preserve">Ludwig, K. R., 2012. User’s Manual for </w:t>
      </w:r>
      <w:proofErr w:type="spellStart"/>
      <w:r w:rsidRPr="009F6F45">
        <w:rPr>
          <w:rFonts w:ascii="Times New Roman" w:hAnsi="Times New Roman" w:cs="Times New Roman"/>
          <w:lang w:val="en-US"/>
        </w:rPr>
        <w:t>Isoplot</w:t>
      </w:r>
      <w:proofErr w:type="spellEnd"/>
      <w:r w:rsidRPr="009F6F45">
        <w:rPr>
          <w:rFonts w:ascii="Times New Roman" w:hAnsi="Times New Roman" w:cs="Times New Roman"/>
          <w:lang w:val="en-US"/>
        </w:rPr>
        <w:t xml:space="preserve"> 3.75, a geochronological toolkit for Microsoft Excel. Berkeley Geochronology Center Special Publication, 5, 1-72.</w:t>
      </w:r>
    </w:p>
    <w:p w14:paraId="553F47E2" w14:textId="77777777" w:rsidR="009F6F45" w:rsidRPr="009F6F45" w:rsidRDefault="009F6F45" w:rsidP="009F6F45">
      <w:pPr>
        <w:spacing w:after="0"/>
        <w:jc w:val="both"/>
      </w:pPr>
      <w:r w:rsidRPr="009F6F45">
        <w:rPr>
          <w:rFonts w:ascii="Times New Roman" w:hAnsi="Times New Roman" w:cs="Times New Roman"/>
          <w:lang w:val="en-US"/>
        </w:rPr>
        <w:t xml:space="preserve">Müller, W. M. Shelley, Miller, P., </w:t>
      </w:r>
      <w:proofErr w:type="spellStart"/>
      <w:r w:rsidRPr="009F6F45">
        <w:rPr>
          <w:rFonts w:ascii="Times New Roman" w:hAnsi="Times New Roman" w:cs="Times New Roman"/>
          <w:lang w:val="en-US"/>
        </w:rPr>
        <w:t>Broude</w:t>
      </w:r>
      <w:proofErr w:type="spellEnd"/>
      <w:r w:rsidRPr="009F6F45">
        <w:rPr>
          <w:rFonts w:ascii="Times New Roman" w:hAnsi="Times New Roman" w:cs="Times New Roman"/>
          <w:lang w:val="en-US"/>
        </w:rPr>
        <w:t xml:space="preserve">, S., 2009. Initial performance metrics of a new custom-designed </w:t>
      </w:r>
      <w:proofErr w:type="spellStart"/>
      <w:r w:rsidRPr="009F6F45">
        <w:rPr>
          <w:rFonts w:ascii="Times New Roman" w:hAnsi="Times New Roman" w:cs="Times New Roman"/>
          <w:lang w:val="en-US"/>
        </w:rPr>
        <w:t>ArF</w:t>
      </w:r>
      <w:proofErr w:type="spellEnd"/>
      <w:r w:rsidRPr="009F6F45">
        <w:rPr>
          <w:rFonts w:ascii="Times New Roman" w:hAnsi="Times New Roman" w:cs="Times New Roman"/>
          <w:lang w:val="en-US"/>
        </w:rPr>
        <w:t xml:space="preserve"> excimer LA-ICPMS system coupled to a two-volume laser-ablation cell. Journal of Analytical Atomic Spectrometry 24, 209-214. </w:t>
      </w:r>
      <w:hyperlink r:id="rId19" w:history="1">
        <w:r w:rsidRPr="009F6F45">
          <w:rPr>
            <w:rStyle w:val="Hyperlink"/>
            <w:lang w:val="en-US"/>
          </w:rPr>
          <w:t>https://doi.org/10.1039/b805995k</w:t>
        </w:r>
      </w:hyperlink>
    </w:p>
    <w:p w14:paraId="77B57E5E" w14:textId="77777777" w:rsidR="009F6F45" w:rsidRPr="009F6F45" w:rsidRDefault="009F6F45" w:rsidP="009F6F45">
      <w:pPr>
        <w:spacing w:after="0"/>
        <w:jc w:val="both"/>
        <w:rPr>
          <w:lang w:val="en-US"/>
        </w:rPr>
      </w:pPr>
    </w:p>
    <w:p w14:paraId="08BDD11D" w14:textId="77777777" w:rsidR="009F6F45" w:rsidRPr="009F6F45" w:rsidRDefault="009F6F45" w:rsidP="009F6F45">
      <w:pPr>
        <w:jc w:val="both"/>
        <w:rPr>
          <w:rFonts w:ascii="Times New Roman" w:hAnsi="Times New Roman" w:cs="Times New Roman"/>
          <w:lang w:val="en-US"/>
        </w:rPr>
      </w:pPr>
      <w:proofErr w:type="spellStart"/>
      <w:r w:rsidRPr="009F6F45">
        <w:rPr>
          <w:rFonts w:ascii="Times New Roman" w:hAnsi="Times New Roman" w:cs="Times New Roman"/>
          <w:lang w:val="en-US"/>
        </w:rPr>
        <w:t>Scheidegger</w:t>
      </w:r>
      <w:proofErr w:type="spellEnd"/>
      <w:r w:rsidRPr="009F6F45">
        <w:rPr>
          <w:rFonts w:ascii="Times New Roman" w:hAnsi="Times New Roman" w:cs="Times New Roman"/>
          <w:lang w:val="en-US"/>
        </w:rPr>
        <w:t xml:space="preserve">, A.E. (1974). The Physics of Flow Through Porous Media (3rd ed.). University of Toronto Press, Toronto, Canada. </w:t>
      </w:r>
      <w:hyperlink r:id="rId20">
        <w:r w:rsidRPr="009F6F45">
          <w:rPr>
            <w:rStyle w:val="Hyperlink"/>
            <w:lang w:val="en-US"/>
          </w:rPr>
          <w:t>https://doi.org/10.3138/9781487583750</w:t>
        </w:r>
      </w:hyperlink>
    </w:p>
    <w:p w14:paraId="750C0DD7" w14:textId="77777777" w:rsidR="009F6F45" w:rsidRPr="009F6F45" w:rsidRDefault="009F6F45" w:rsidP="009F6F45">
      <w:pPr>
        <w:spacing w:after="0"/>
        <w:jc w:val="both"/>
      </w:pPr>
      <w:r w:rsidRPr="009F6F45">
        <w:rPr>
          <w:rFonts w:ascii="Times New Roman" w:hAnsi="Times New Roman" w:cs="Times New Roman"/>
          <w:lang w:val="en-US"/>
        </w:rPr>
        <w:t xml:space="preserve">Silva, J. P., Lana, C., </w:t>
      </w:r>
      <w:proofErr w:type="spellStart"/>
      <w:r w:rsidRPr="009F6F45">
        <w:rPr>
          <w:rFonts w:ascii="Times New Roman" w:hAnsi="Times New Roman" w:cs="Times New Roman"/>
          <w:lang w:val="en-US"/>
        </w:rPr>
        <w:t>Mazoz</w:t>
      </w:r>
      <w:proofErr w:type="spellEnd"/>
      <w:r w:rsidRPr="009F6F45">
        <w:rPr>
          <w:rFonts w:ascii="Times New Roman" w:hAnsi="Times New Roman" w:cs="Times New Roman"/>
          <w:lang w:val="en-US"/>
        </w:rPr>
        <w:t xml:space="preserve">, A., Buick, I., Scholz, R., 2023. U‐Pb Saturn: New U‐Pb/Pb‐Pb Data Reduction Software for LA‐ICP‐MS. </w:t>
      </w:r>
      <w:proofErr w:type="spellStart"/>
      <w:r w:rsidRPr="009F6F45">
        <w:rPr>
          <w:rFonts w:ascii="Times New Roman" w:hAnsi="Times New Roman" w:cs="Times New Roman"/>
          <w:lang w:val="en-US"/>
        </w:rPr>
        <w:t>Geostandards</w:t>
      </w:r>
      <w:proofErr w:type="spellEnd"/>
      <w:r w:rsidRPr="009F6F45">
        <w:rPr>
          <w:rFonts w:ascii="Times New Roman" w:hAnsi="Times New Roman" w:cs="Times New Roman"/>
          <w:lang w:val="en-US"/>
        </w:rPr>
        <w:t xml:space="preserve"> and </w:t>
      </w:r>
      <w:proofErr w:type="spellStart"/>
      <w:r w:rsidRPr="009F6F45">
        <w:rPr>
          <w:rFonts w:ascii="Times New Roman" w:hAnsi="Times New Roman" w:cs="Times New Roman"/>
          <w:lang w:val="en-US"/>
        </w:rPr>
        <w:t>Geoanalytical</w:t>
      </w:r>
      <w:proofErr w:type="spellEnd"/>
      <w:r w:rsidRPr="009F6F45">
        <w:rPr>
          <w:rFonts w:ascii="Times New Roman" w:hAnsi="Times New Roman" w:cs="Times New Roman"/>
          <w:lang w:val="en-US"/>
        </w:rPr>
        <w:t xml:space="preserve"> Research, 47, 49-66. </w:t>
      </w:r>
      <w:hyperlink r:id="rId21" w:history="1">
        <w:r w:rsidRPr="009F6F45">
          <w:rPr>
            <w:rStyle w:val="Hyperlink"/>
            <w:lang w:val="en-US"/>
          </w:rPr>
          <w:t>https://doi.org/10.1111/ggr.12474</w:t>
        </w:r>
      </w:hyperlink>
    </w:p>
    <w:p w14:paraId="6A7BD5CF" w14:textId="77777777" w:rsidR="009F6F45" w:rsidRPr="009F6F45" w:rsidRDefault="009F6F45" w:rsidP="009F6F45">
      <w:pPr>
        <w:spacing w:after="0"/>
        <w:jc w:val="both"/>
        <w:rPr>
          <w:lang w:val="en-US"/>
        </w:rPr>
      </w:pPr>
    </w:p>
    <w:p w14:paraId="2BC644D6" w14:textId="77777777" w:rsidR="009F6F45" w:rsidRPr="009F6F45" w:rsidRDefault="009F6F45" w:rsidP="009F6F45">
      <w:pPr>
        <w:jc w:val="both"/>
        <w:rPr>
          <w:rStyle w:val="Hyperlink"/>
          <w:lang w:val="en-US"/>
        </w:rPr>
      </w:pPr>
      <w:proofErr w:type="spellStart"/>
      <w:r w:rsidRPr="009F6F45">
        <w:rPr>
          <w:rFonts w:ascii="Times New Roman" w:hAnsi="Times New Roman" w:cs="Times New Roman"/>
          <w:lang w:val="en-US"/>
        </w:rPr>
        <w:t>Spandler</w:t>
      </w:r>
      <w:proofErr w:type="spellEnd"/>
      <w:r w:rsidRPr="009F6F45">
        <w:rPr>
          <w:rFonts w:ascii="Times New Roman" w:hAnsi="Times New Roman" w:cs="Times New Roman"/>
          <w:lang w:val="en-US"/>
        </w:rPr>
        <w:t xml:space="preserve">, C., </w:t>
      </w:r>
      <w:proofErr w:type="spellStart"/>
      <w:r w:rsidRPr="009F6F45">
        <w:rPr>
          <w:rFonts w:ascii="Times New Roman" w:hAnsi="Times New Roman" w:cs="Times New Roman"/>
          <w:lang w:val="en-US"/>
        </w:rPr>
        <w:t>Hammerli</w:t>
      </w:r>
      <w:proofErr w:type="spellEnd"/>
      <w:r w:rsidRPr="009F6F45">
        <w:rPr>
          <w:rFonts w:ascii="Times New Roman" w:hAnsi="Times New Roman" w:cs="Times New Roman"/>
          <w:lang w:val="en-US"/>
        </w:rPr>
        <w:t xml:space="preserve">, J., Sha, P., Hilbert-Wolf, H., Hu, Y., Roberts, E., &amp; Schmitz, M., 2016. MKED1: A new titanite standard for in situ analysis of </w:t>
      </w:r>
      <w:proofErr w:type="spellStart"/>
      <w:r w:rsidRPr="009F6F45">
        <w:rPr>
          <w:rFonts w:ascii="Times New Roman" w:hAnsi="Times New Roman" w:cs="Times New Roman"/>
          <w:lang w:val="en-US"/>
        </w:rPr>
        <w:t>Sm</w:t>
      </w:r>
      <w:proofErr w:type="spellEnd"/>
      <w:r w:rsidRPr="009F6F45">
        <w:rPr>
          <w:rFonts w:ascii="Times New Roman" w:hAnsi="Times New Roman" w:cs="Times New Roman"/>
          <w:lang w:val="en-US"/>
        </w:rPr>
        <w:t xml:space="preserve">–Nd isotopes and U–Pb geochronology. Chemical Geology, 425, 110-126. </w:t>
      </w:r>
      <w:hyperlink r:id="rId22" w:history="1">
        <w:r w:rsidRPr="009F6F45">
          <w:rPr>
            <w:rStyle w:val="Hyperlink"/>
            <w:lang w:val="en-US"/>
          </w:rPr>
          <w:t>10.1016/j.chemgeo.2016.01.002</w:t>
        </w:r>
      </w:hyperlink>
    </w:p>
    <w:p w14:paraId="704B8906" w14:textId="77777777" w:rsidR="009F6F45" w:rsidRPr="009F6F45" w:rsidRDefault="009F6F45" w:rsidP="009F6F45">
      <w:pPr>
        <w:jc w:val="both"/>
      </w:pPr>
      <w:proofErr w:type="spellStart"/>
      <w:r w:rsidRPr="009F6F45">
        <w:rPr>
          <w:rFonts w:ascii="Times New Roman" w:hAnsi="Times New Roman" w:cs="Times New Roman"/>
          <w:lang w:val="en-US"/>
        </w:rPr>
        <w:t>Sruoga</w:t>
      </w:r>
      <w:proofErr w:type="spellEnd"/>
      <w:r w:rsidRPr="009F6F45">
        <w:rPr>
          <w:rFonts w:ascii="Times New Roman" w:hAnsi="Times New Roman" w:cs="Times New Roman"/>
          <w:lang w:val="en-US"/>
        </w:rPr>
        <w:t xml:space="preserve">, P., &amp; Rubinstein, N. (2007). Processes controlling porosity and permeability in volcanic reservoirs from the Austral and Neuquén basins, Argentina. AAPG Bulletin, 91(1), 115–129. </w:t>
      </w:r>
      <w:hyperlink r:id="rId23" w:history="1">
        <w:r w:rsidRPr="009F6F45">
          <w:rPr>
            <w:rStyle w:val="Hyperlink"/>
            <w:lang w:val="en-US"/>
          </w:rPr>
          <w:t>https://doi.org/10.1306/08290605173</w:t>
        </w:r>
      </w:hyperlink>
    </w:p>
    <w:p w14:paraId="1CD4AFBB" w14:textId="77777777" w:rsidR="009F6F45" w:rsidRPr="009F6F45" w:rsidRDefault="009F6F45" w:rsidP="009F6F45">
      <w:pPr>
        <w:jc w:val="both"/>
        <w:rPr>
          <w:rStyle w:val="Hyperlink"/>
          <w:lang w:val="en-US"/>
        </w:rPr>
      </w:pPr>
      <w:r w:rsidRPr="009F6F45">
        <w:rPr>
          <w:rFonts w:ascii="Times New Roman" w:hAnsi="Times New Roman" w:cs="Times New Roman"/>
          <w:lang w:val="en-US"/>
        </w:rPr>
        <w:t xml:space="preserve">Tera, F., </w:t>
      </w:r>
      <w:proofErr w:type="spellStart"/>
      <w:r w:rsidRPr="009F6F45">
        <w:rPr>
          <w:rFonts w:ascii="Times New Roman" w:hAnsi="Times New Roman" w:cs="Times New Roman"/>
          <w:lang w:val="en-US"/>
        </w:rPr>
        <w:t>Wasserburg</w:t>
      </w:r>
      <w:proofErr w:type="spellEnd"/>
      <w:r w:rsidRPr="009F6F45">
        <w:rPr>
          <w:rFonts w:ascii="Times New Roman" w:hAnsi="Times New Roman" w:cs="Times New Roman"/>
          <w:lang w:val="en-US"/>
        </w:rPr>
        <w:t xml:space="preserve">, G. J., 1972. U-Th-Pb systematics in three Apollo 14 basalts and the problem of initial Pb in lunar rocks. Earth and Planetary Science Letters 14, 281-304. </w:t>
      </w:r>
      <w:hyperlink r:id="rId24" w:history="1">
        <w:r w:rsidRPr="009F6F45">
          <w:rPr>
            <w:rStyle w:val="Hyperlink"/>
            <w:lang w:val="en-US"/>
          </w:rPr>
          <w:t>10.1016/0012-821</w:t>
        </w:r>
        <w:proofErr w:type="gramStart"/>
        <w:r w:rsidRPr="009F6F45">
          <w:rPr>
            <w:rStyle w:val="Hyperlink"/>
            <w:lang w:val="en-US"/>
          </w:rPr>
          <w:t>X(</w:t>
        </w:r>
        <w:proofErr w:type="gramEnd"/>
        <w:r w:rsidRPr="009F6F45">
          <w:rPr>
            <w:rStyle w:val="Hyperlink"/>
            <w:lang w:val="en-US"/>
          </w:rPr>
          <w:t>72)90128-8</w:t>
        </w:r>
      </w:hyperlink>
    </w:p>
    <w:p w14:paraId="266658D9" w14:textId="77777777" w:rsidR="009F6F45" w:rsidRDefault="009F6F45" w:rsidP="009F6F45">
      <w:pPr>
        <w:jc w:val="both"/>
        <w:rPr>
          <w:rFonts w:ascii="Times New Roman" w:hAnsi="Times New Roman" w:cs="Times New Roman"/>
          <w:lang w:val="en-US"/>
        </w:rPr>
      </w:pPr>
      <w:r w:rsidRPr="009F6F45">
        <w:rPr>
          <w:rFonts w:ascii="Times New Roman" w:hAnsi="Times New Roman" w:cs="Times New Roman"/>
          <w:lang w:val="en-US"/>
        </w:rPr>
        <w:t xml:space="preserve">Van </w:t>
      </w:r>
      <w:proofErr w:type="spellStart"/>
      <w:r w:rsidRPr="009F6F45">
        <w:rPr>
          <w:rFonts w:ascii="Times New Roman" w:hAnsi="Times New Roman" w:cs="Times New Roman"/>
          <w:lang w:val="en-US"/>
        </w:rPr>
        <w:t>Achterbergh</w:t>
      </w:r>
      <w:proofErr w:type="spellEnd"/>
      <w:r w:rsidRPr="009F6F45">
        <w:rPr>
          <w:rFonts w:ascii="Times New Roman" w:hAnsi="Times New Roman" w:cs="Times New Roman"/>
          <w:lang w:val="en-US"/>
        </w:rPr>
        <w:t>, E., Ryan, C. G., Griffin, W. L., 2001. GLITTER on-line interactive data reduction for the LA-ICPMS microprobe. Macquarie Research Ltd., Sydney.</w:t>
      </w:r>
    </w:p>
    <w:p w14:paraId="1273ABF4" w14:textId="77777777" w:rsidR="00142F41" w:rsidRDefault="00142F41"/>
    <w:sectPr w:rsidR="00142F41" w:rsidSect="005F6DE1">
      <w:footerReference w:type="even" r:id="rId25"/>
      <w:footerReference w:type="default" r:id="rId26"/>
      <w:footerReference w:type="first" r:id="rId27"/>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64C5B" w14:textId="77777777" w:rsidR="00773CF9" w:rsidRDefault="00066466">
      <w:pPr>
        <w:spacing w:after="0" w:line="240" w:lineRule="auto"/>
      </w:pPr>
      <w:r>
        <w:separator/>
      </w:r>
    </w:p>
  </w:endnote>
  <w:endnote w:type="continuationSeparator" w:id="0">
    <w:p w14:paraId="4C4D5E49" w14:textId="77777777" w:rsidR="00773CF9" w:rsidRDefault="00066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76CE5" w14:textId="77777777" w:rsidR="00B32734" w:rsidRDefault="009F6F45">
    <w:pPr>
      <w:pStyle w:val="Footer"/>
    </w:pPr>
    <w:r>
      <w:rPr>
        <w:noProof/>
      </w:rPr>
      <mc:AlternateContent>
        <mc:Choice Requires="wps">
          <w:drawing>
            <wp:anchor distT="0" distB="0" distL="0" distR="0" simplePos="0" relativeHeight="251660288" behindDoc="0" locked="0" layoutInCell="1" allowOverlap="1" wp14:anchorId="4F4BFBA0" wp14:editId="3100FC26">
              <wp:simplePos x="635" y="635"/>
              <wp:positionH relativeFrom="page">
                <wp:align>center</wp:align>
              </wp:positionH>
              <wp:positionV relativeFrom="page">
                <wp:align>bottom</wp:align>
              </wp:positionV>
              <wp:extent cx="504825" cy="307340"/>
              <wp:effectExtent l="0" t="0" r="9525" b="0"/>
              <wp:wrapNone/>
              <wp:docPr id="1215279579" name="Text Box 2"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07340"/>
                      </a:xfrm>
                      <a:prstGeom prst="rect">
                        <a:avLst/>
                      </a:prstGeom>
                      <a:noFill/>
                      <a:ln>
                        <a:noFill/>
                      </a:ln>
                    </wps:spPr>
                    <wps:txbx>
                      <w:txbxContent>
                        <w:p w14:paraId="088296AD" w14:textId="77777777" w:rsidR="00B32734" w:rsidRPr="00B32734" w:rsidRDefault="009F6F45" w:rsidP="00B32734">
                          <w:pPr>
                            <w:spacing w:after="0"/>
                            <w:rPr>
                              <w:rFonts w:ascii="Calibri" w:eastAsia="Calibri" w:hAnsi="Calibri" w:cs="Calibri"/>
                              <w:noProof/>
                              <w:color w:val="000000"/>
                              <w:sz w:val="14"/>
                              <w:szCs w:val="14"/>
                            </w:rPr>
                          </w:pPr>
                          <w:r w:rsidRPr="00B32734">
                            <w:rPr>
                              <w:rFonts w:ascii="Calibri" w:eastAsia="Calibri" w:hAnsi="Calibri" w:cs="Calibri"/>
                              <w:noProof/>
                              <w:color w:val="000000"/>
                              <w:sz w:val="14"/>
                              <w:szCs w:val="14"/>
                            </w:rPr>
                            <w:t>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4BFBA0" id="_x0000_t202" coordsize="21600,21600" o:spt="202" path="m,l,21600r21600,l21600,xe">
              <v:stroke joinstyle="miter"/>
              <v:path gradientshapeok="t" o:connecttype="rect"/>
            </v:shapetype>
            <v:shape id="Text Box 2" o:spid="_x0000_s1026" type="#_x0000_t202" alt="In-Confidence" style="position:absolute;margin-left:0;margin-top:0;width:39.75pt;height:24.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" filled="f" stroked="f">
              <v:textbox style="mso-fit-shape-to-text:t" inset="0,0,0,15pt">
                <w:txbxContent>
                  <w:p w14:paraId="088296AD" w14:textId="77777777" w:rsidR="00B32734" w:rsidRPr="00B32734" w:rsidRDefault="009F6F45" w:rsidP="00B32734">
                    <w:pPr>
                      <w:spacing w:after="0"/>
                      <w:rPr>
                        <w:rFonts w:ascii="Calibri" w:eastAsia="Calibri" w:hAnsi="Calibri" w:cs="Calibri"/>
                        <w:noProof/>
                        <w:color w:val="000000"/>
                        <w:sz w:val="14"/>
                        <w:szCs w:val="14"/>
                      </w:rPr>
                    </w:pPr>
                    <w:r w:rsidRPr="00B32734">
                      <w:rPr>
                        <w:rFonts w:ascii="Calibri" w:eastAsia="Calibri" w:hAnsi="Calibri" w:cs="Calibri"/>
                        <w:noProof/>
                        <w:color w:val="000000"/>
                        <w:sz w:val="14"/>
                        <w:szCs w:val="14"/>
                      </w:rPr>
                      <w:t>In-Confidence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7369418"/>
      <w:docPartObj>
        <w:docPartGallery w:val="Page Numbers (Bottom of Page)"/>
        <w:docPartUnique/>
      </w:docPartObj>
    </w:sdtPr>
    <w:sdtEndPr>
      <w:rPr>
        <w:noProof/>
      </w:rPr>
    </w:sdtEndPr>
    <w:sdtContent>
      <w:p w14:paraId="0FC403ED" w14:textId="77777777" w:rsidR="00D91DC8" w:rsidRDefault="00A0690E" w:rsidP="00183DE7">
        <w:pPr>
          <w:pStyle w:val="Footer"/>
          <w:jc w:val="right"/>
        </w:pPr>
        <w:sdt>
          <w:sdtPr>
            <w:id w:val="-1638491233"/>
            <w:docPartObj>
              <w:docPartGallery w:val="Page Numbers (Bottom of Page)"/>
              <w:docPartUnique/>
            </w:docPartObj>
          </w:sdtPr>
          <w:sdtEndPr>
            <w:rPr>
              <w:noProof/>
            </w:rPr>
          </w:sdtEndPr>
          <w:sdtContent>
            <w:r w:rsidR="009F6F45">
              <w:fldChar w:fldCharType="begin"/>
            </w:r>
            <w:r w:rsidR="009F6F45">
              <w:instrText xml:space="preserve"> PAGE   \* MERGEFORMAT </w:instrText>
            </w:r>
            <w:r w:rsidR="009F6F45">
              <w:fldChar w:fldCharType="separate"/>
            </w:r>
            <w:r w:rsidR="009F6F45">
              <w:rPr>
                <w:noProof/>
              </w:rPr>
              <w:t>2</w:t>
            </w:r>
            <w:r w:rsidR="009F6F45">
              <w:rPr>
                <w:noProof/>
              </w:rPr>
              <w:fldChar w:fldCharType="end"/>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5C55F" w14:textId="77777777" w:rsidR="00B32734" w:rsidRDefault="009F6F45">
    <w:pPr>
      <w:pStyle w:val="Footer"/>
    </w:pPr>
    <w:r>
      <w:rPr>
        <w:noProof/>
      </w:rPr>
      <mc:AlternateContent>
        <mc:Choice Requires="wps">
          <w:drawing>
            <wp:anchor distT="0" distB="0" distL="0" distR="0" simplePos="0" relativeHeight="251659264" behindDoc="0" locked="0" layoutInCell="1" allowOverlap="1" wp14:anchorId="0DD5FB2D" wp14:editId="651197C1">
              <wp:simplePos x="635" y="635"/>
              <wp:positionH relativeFrom="page">
                <wp:align>center</wp:align>
              </wp:positionH>
              <wp:positionV relativeFrom="page">
                <wp:align>bottom</wp:align>
              </wp:positionV>
              <wp:extent cx="504825" cy="307340"/>
              <wp:effectExtent l="0" t="0" r="9525" b="0"/>
              <wp:wrapNone/>
              <wp:docPr id="410027801" name="Text Box 1"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07340"/>
                      </a:xfrm>
                      <a:prstGeom prst="rect">
                        <a:avLst/>
                      </a:prstGeom>
                      <a:noFill/>
                      <a:ln>
                        <a:noFill/>
                      </a:ln>
                    </wps:spPr>
                    <wps:txbx>
                      <w:txbxContent>
                        <w:p w14:paraId="37E76824" w14:textId="77777777" w:rsidR="00B32734" w:rsidRPr="00B32734" w:rsidRDefault="009F6F45" w:rsidP="00B32734">
                          <w:pPr>
                            <w:spacing w:after="0"/>
                            <w:rPr>
                              <w:rFonts w:ascii="Calibri" w:eastAsia="Calibri" w:hAnsi="Calibri" w:cs="Calibri"/>
                              <w:noProof/>
                              <w:color w:val="000000"/>
                              <w:sz w:val="14"/>
                              <w:szCs w:val="14"/>
                            </w:rPr>
                          </w:pPr>
                          <w:r w:rsidRPr="00B32734">
                            <w:rPr>
                              <w:rFonts w:ascii="Calibri" w:eastAsia="Calibri" w:hAnsi="Calibri" w:cs="Calibri"/>
                              <w:noProof/>
                              <w:color w:val="000000"/>
                              <w:sz w:val="14"/>
                              <w:szCs w:val="14"/>
                            </w:rPr>
                            <w:t>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D5FB2D" id="_x0000_t202" coordsize="21600,21600" o:spt="202" path="m,l,21600r21600,l21600,xe">
              <v:stroke joinstyle="miter"/>
              <v:path gradientshapeok="t" o:connecttype="rect"/>
            </v:shapetype>
            <v:shape id="Text Box 1" o:spid="_x0000_s1027" type="#_x0000_t202" alt="In-Confidence" style="position:absolute;margin-left:0;margin-top:0;width:39.75pt;height:24.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" filled="f" stroked="f">
              <v:textbox style="mso-fit-shape-to-text:t" inset="0,0,0,15pt">
                <w:txbxContent>
                  <w:p w14:paraId="37E76824" w14:textId="77777777" w:rsidR="00B32734" w:rsidRPr="00B32734" w:rsidRDefault="009F6F45" w:rsidP="00B32734">
                    <w:pPr>
                      <w:spacing w:after="0"/>
                      <w:rPr>
                        <w:rFonts w:ascii="Calibri" w:eastAsia="Calibri" w:hAnsi="Calibri" w:cs="Calibri"/>
                        <w:noProof/>
                        <w:color w:val="000000"/>
                        <w:sz w:val="14"/>
                        <w:szCs w:val="14"/>
                      </w:rPr>
                    </w:pPr>
                    <w:r w:rsidRPr="00B32734">
                      <w:rPr>
                        <w:rFonts w:ascii="Calibri" w:eastAsia="Calibri" w:hAnsi="Calibri" w:cs="Calibri"/>
                        <w:noProof/>
                        <w:color w:val="000000"/>
                        <w:sz w:val="14"/>
                        <w:szCs w:val="14"/>
                      </w:rPr>
                      <w:t>In-Confidence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63F72" w14:textId="77777777" w:rsidR="00773CF9" w:rsidRDefault="00066466">
      <w:pPr>
        <w:spacing w:after="0" w:line="240" w:lineRule="auto"/>
      </w:pPr>
      <w:r>
        <w:separator/>
      </w:r>
    </w:p>
  </w:footnote>
  <w:footnote w:type="continuationSeparator" w:id="0">
    <w:p w14:paraId="37308A9D" w14:textId="77777777" w:rsidR="00773CF9" w:rsidRDefault="000664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2775B"/>
    <w:multiLevelType w:val="multilevel"/>
    <w:tmpl w:val="A600D4AA"/>
    <w:lvl w:ilvl="0">
      <w:start w:val="1"/>
      <w:numFmt w:val="decimal"/>
      <w:pStyle w:val="Heading1"/>
      <w:lvlText w:val="%1"/>
      <w:lvlJc w:val="left"/>
      <w:pPr>
        <w:ind w:left="3409" w:hanging="432"/>
      </w:pPr>
    </w:lvl>
    <w:lvl w:ilvl="1">
      <w:start w:val="1"/>
      <w:numFmt w:val="decimal"/>
      <w:pStyle w:val="Heading2"/>
      <w:lvlText w:val="%1.%2"/>
      <w:lvlJc w:val="left"/>
      <w:pPr>
        <w:ind w:left="8372" w:hanging="576"/>
      </w:pPr>
    </w:lvl>
    <w:lvl w:ilvl="2">
      <w:start w:val="1"/>
      <w:numFmt w:val="decimal"/>
      <w:pStyle w:val="Heading3"/>
      <w:lvlText w:val="%1.%2.%3"/>
      <w:lvlJc w:val="left"/>
      <w:pPr>
        <w:ind w:left="6674"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F45"/>
    <w:rsid w:val="00066466"/>
    <w:rsid w:val="00142F41"/>
    <w:rsid w:val="00773CF9"/>
    <w:rsid w:val="009F6F45"/>
    <w:rsid w:val="00A0690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2BEC7"/>
  <w15:chartTrackingRefBased/>
  <w15:docId w15:val="{B2CCCA2E-397E-459E-9EE3-8B1AE28C0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F45"/>
    <w:pPr>
      <w:spacing w:after="240"/>
    </w:pPr>
    <w:rPr>
      <w:rFonts w:eastAsiaTheme="minorEastAsia"/>
      <w:lang w:val="en-GB"/>
    </w:rPr>
  </w:style>
  <w:style w:type="paragraph" w:styleId="Heading1">
    <w:name w:val="heading 1"/>
    <w:basedOn w:val="Normal"/>
    <w:next w:val="Normal"/>
    <w:link w:val="Heading1Char"/>
    <w:uiPriority w:val="9"/>
    <w:qFormat/>
    <w:rsid w:val="009F6F45"/>
    <w:pPr>
      <w:keepNext/>
      <w:keepLines/>
      <w:numPr>
        <w:numId w:val="1"/>
      </w:numPr>
      <w:spacing w:before="360"/>
      <w:ind w:left="432"/>
      <w:outlineLvl w:val="0"/>
    </w:pPr>
    <w:rPr>
      <w:rFonts w:ascii="Times New Roman" w:eastAsiaTheme="majorEastAsia" w:hAnsi="Times New Roman" w:cstheme="majorBidi"/>
      <w:b/>
      <w:bCs/>
      <w:color w:val="000000" w:themeColor="text1"/>
      <w:sz w:val="32"/>
      <w:szCs w:val="36"/>
    </w:rPr>
  </w:style>
  <w:style w:type="paragraph" w:styleId="Heading2">
    <w:name w:val="heading 2"/>
    <w:basedOn w:val="Normal"/>
    <w:next w:val="Normal"/>
    <w:link w:val="Heading2Char"/>
    <w:autoRedefine/>
    <w:uiPriority w:val="9"/>
    <w:unhideWhenUsed/>
    <w:qFormat/>
    <w:rsid w:val="009F6F45"/>
    <w:pPr>
      <w:keepNext/>
      <w:keepLines/>
      <w:numPr>
        <w:ilvl w:val="1"/>
        <w:numId w:val="1"/>
      </w:numPr>
      <w:spacing w:before="360" w:after="120" w:line="480" w:lineRule="auto"/>
      <w:ind w:left="0" w:firstLine="0"/>
      <w:jc w:val="both"/>
      <w:outlineLvl w:val="1"/>
    </w:pPr>
    <w:rPr>
      <w:rFonts w:ascii="Times New Roman" w:eastAsiaTheme="majorEastAsia" w:hAnsi="Times New Roman" w:cs="Times New Roman"/>
      <w:b/>
      <w:bCs/>
      <w:color w:val="000000" w:themeColor="text1"/>
      <w:sz w:val="28"/>
      <w:szCs w:val="28"/>
      <w:lang w:val="en-US"/>
    </w:rPr>
  </w:style>
  <w:style w:type="paragraph" w:styleId="Heading3">
    <w:name w:val="heading 3"/>
    <w:basedOn w:val="Normal"/>
    <w:next w:val="Normal"/>
    <w:link w:val="Heading3Char"/>
    <w:autoRedefine/>
    <w:uiPriority w:val="9"/>
    <w:unhideWhenUsed/>
    <w:qFormat/>
    <w:rsid w:val="009F6F45"/>
    <w:pPr>
      <w:keepNext/>
      <w:keepLines/>
      <w:numPr>
        <w:ilvl w:val="2"/>
        <w:numId w:val="1"/>
      </w:numPr>
      <w:spacing w:before="200" w:after="0"/>
      <w:ind w:left="0" w:firstLine="0"/>
      <w:outlineLvl w:val="2"/>
    </w:pPr>
    <w:rPr>
      <w:rFonts w:ascii="Times New Roman" w:eastAsiaTheme="majorEastAsia" w:hAnsi="Times New Roman" w:cstheme="majorBidi"/>
      <w:b/>
      <w:bCs/>
      <w:color w:val="000000" w:themeColor="text1"/>
      <w:sz w:val="24"/>
    </w:rPr>
  </w:style>
  <w:style w:type="paragraph" w:styleId="Heading4">
    <w:name w:val="heading 4"/>
    <w:basedOn w:val="Normal"/>
    <w:next w:val="Normal"/>
    <w:link w:val="Heading4Char"/>
    <w:uiPriority w:val="9"/>
    <w:unhideWhenUsed/>
    <w:qFormat/>
    <w:rsid w:val="009F6F45"/>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9F6F45"/>
    <w:pPr>
      <w:keepNext/>
      <w:keepLines/>
      <w:numPr>
        <w:ilvl w:val="4"/>
        <w:numId w:val="1"/>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9F6F45"/>
    <w:pPr>
      <w:keepNext/>
      <w:keepLines/>
      <w:numPr>
        <w:ilvl w:val="5"/>
        <w:numId w:val="1"/>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9F6F45"/>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F6F45"/>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F6F45"/>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6F45"/>
    <w:rPr>
      <w:rFonts w:ascii="Times New Roman" w:eastAsiaTheme="majorEastAsia" w:hAnsi="Times New Roman" w:cstheme="majorBidi"/>
      <w:b/>
      <w:bCs/>
      <w:color w:val="000000" w:themeColor="text1"/>
      <w:sz w:val="32"/>
      <w:szCs w:val="36"/>
      <w:lang w:val="en-GB"/>
    </w:rPr>
  </w:style>
  <w:style w:type="character" w:customStyle="1" w:styleId="Heading2Char">
    <w:name w:val="Heading 2 Char"/>
    <w:basedOn w:val="DefaultParagraphFont"/>
    <w:link w:val="Heading2"/>
    <w:uiPriority w:val="9"/>
    <w:rsid w:val="009F6F45"/>
    <w:rPr>
      <w:rFonts w:ascii="Times New Roman" w:eastAsiaTheme="majorEastAsia" w:hAnsi="Times New Roman" w:cs="Times New Roman"/>
      <w:b/>
      <w:bCs/>
      <w:color w:val="000000" w:themeColor="text1"/>
      <w:sz w:val="28"/>
      <w:szCs w:val="28"/>
      <w:lang w:val="en-US"/>
    </w:rPr>
  </w:style>
  <w:style w:type="character" w:customStyle="1" w:styleId="Heading3Char">
    <w:name w:val="Heading 3 Char"/>
    <w:basedOn w:val="DefaultParagraphFont"/>
    <w:link w:val="Heading3"/>
    <w:uiPriority w:val="9"/>
    <w:rsid w:val="009F6F45"/>
    <w:rPr>
      <w:rFonts w:ascii="Times New Roman" w:eastAsiaTheme="majorEastAsia" w:hAnsi="Times New Roman" w:cstheme="majorBidi"/>
      <w:b/>
      <w:bCs/>
      <w:color w:val="000000" w:themeColor="text1"/>
      <w:sz w:val="24"/>
      <w:lang w:val="en-GB"/>
    </w:rPr>
  </w:style>
  <w:style w:type="character" w:customStyle="1" w:styleId="Heading4Char">
    <w:name w:val="Heading 4 Char"/>
    <w:basedOn w:val="DefaultParagraphFont"/>
    <w:link w:val="Heading4"/>
    <w:uiPriority w:val="9"/>
    <w:rsid w:val="009F6F45"/>
    <w:rPr>
      <w:rFonts w:asciiTheme="majorHAnsi" w:eastAsiaTheme="majorEastAsia" w:hAnsiTheme="majorHAnsi" w:cstheme="majorBidi"/>
      <w:b/>
      <w:bCs/>
      <w:i/>
      <w:iCs/>
      <w:color w:val="000000" w:themeColor="text1"/>
      <w:lang w:val="en-GB"/>
    </w:rPr>
  </w:style>
  <w:style w:type="character" w:customStyle="1" w:styleId="Heading5Char">
    <w:name w:val="Heading 5 Char"/>
    <w:basedOn w:val="DefaultParagraphFont"/>
    <w:link w:val="Heading5"/>
    <w:uiPriority w:val="9"/>
    <w:semiHidden/>
    <w:rsid w:val="009F6F45"/>
    <w:rPr>
      <w:rFonts w:asciiTheme="majorHAnsi" w:eastAsiaTheme="majorEastAsia" w:hAnsiTheme="majorHAnsi" w:cstheme="majorBidi"/>
      <w:color w:val="323E4F" w:themeColor="text2" w:themeShade="BF"/>
      <w:lang w:val="en-GB"/>
    </w:rPr>
  </w:style>
  <w:style w:type="character" w:customStyle="1" w:styleId="Heading6Char">
    <w:name w:val="Heading 6 Char"/>
    <w:basedOn w:val="DefaultParagraphFont"/>
    <w:link w:val="Heading6"/>
    <w:uiPriority w:val="9"/>
    <w:semiHidden/>
    <w:rsid w:val="009F6F45"/>
    <w:rPr>
      <w:rFonts w:asciiTheme="majorHAnsi" w:eastAsiaTheme="majorEastAsia" w:hAnsiTheme="majorHAnsi" w:cstheme="majorBidi"/>
      <w:i/>
      <w:iCs/>
      <w:color w:val="323E4F" w:themeColor="text2" w:themeShade="BF"/>
      <w:lang w:val="en-GB"/>
    </w:rPr>
  </w:style>
  <w:style w:type="character" w:customStyle="1" w:styleId="Heading7Char">
    <w:name w:val="Heading 7 Char"/>
    <w:basedOn w:val="DefaultParagraphFont"/>
    <w:link w:val="Heading7"/>
    <w:uiPriority w:val="9"/>
    <w:semiHidden/>
    <w:rsid w:val="009F6F45"/>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uiPriority w:val="9"/>
    <w:semiHidden/>
    <w:rsid w:val="009F6F45"/>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sid w:val="009F6F45"/>
    <w:rPr>
      <w:rFonts w:asciiTheme="majorHAnsi" w:eastAsiaTheme="majorEastAsia" w:hAnsiTheme="majorHAnsi" w:cstheme="majorBidi"/>
      <w:i/>
      <w:iCs/>
      <w:color w:val="404040" w:themeColor="text1" w:themeTint="BF"/>
      <w:sz w:val="20"/>
      <w:szCs w:val="20"/>
      <w:lang w:val="en-GB"/>
    </w:rPr>
  </w:style>
  <w:style w:type="character" w:styleId="CommentReference">
    <w:name w:val="annotation reference"/>
    <w:basedOn w:val="DefaultParagraphFont"/>
    <w:uiPriority w:val="99"/>
    <w:semiHidden/>
    <w:unhideWhenUsed/>
    <w:rsid w:val="009F6F45"/>
    <w:rPr>
      <w:sz w:val="16"/>
      <w:szCs w:val="16"/>
    </w:rPr>
  </w:style>
  <w:style w:type="paragraph" w:styleId="CommentText">
    <w:name w:val="annotation text"/>
    <w:basedOn w:val="Normal"/>
    <w:link w:val="CommentTextChar"/>
    <w:uiPriority w:val="99"/>
    <w:unhideWhenUsed/>
    <w:rsid w:val="009F6F45"/>
    <w:pPr>
      <w:spacing w:line="240" w:lineRule="auto"/>
    </w:pPr>
    <w:rPr>
      <w:sz w:val="20"/>
      <w:szCs w:val="20"/>
    </w:rPr>
  </w:style>
  <w:style w:type="character" w:customStyle="1" w:styleId="CommentTextChar">
    <w:name w:val="Comment Text Char"/>
    <w:basedOn w:val="DefaultParagraphFont"/>
    <w:link w:val="CommentText"/>
    <w:uiPriority w:val="99"/>
    <w:rsid w:val="009F6F45"/>
    <w:rPr>
      <w:rFonts w:eastAsiaTheme="minorEastAsia"/>
      <w:sz w:val="20"/>
      <w:szCs w:val="20"/>
      <w:lang w:val="en-GB"/>
    </w:rPr>
  </w:style>
  <w:style w:type="character" w:styleId="Hyperlink">
    <w:name w:val="Hyperlink"/>
    <w:basedOn w:val="DefaultParagraphFont"/>
    <w:uiPriority w:val="99"/>
    <w:unhideWhenUsed/>
    <w:rsid w:val="009F6F45"/>
    <w:rPr>
      <w:color w:val="0563C1" w:themeColor="hyperlink"/>
      <w:u w:val="single"/>
    </w:rPr>
  </w:style>
  <w:style w:type="paragraph" w:styleId="Footer">
    <w:name w:val="footer"/>
    <w:basedOn w:val="Normal"/>
    <w:link w:val="FooterChar"/>
    <w:uiPriority w:val="99"/>
    <w:unhideWhenUsed/>
    <w:rsid w:val="009F6F45"/>
    <w:pPr>
      <w:tabs>
        <w:tab w:val="center" w:pos="4819"/>
        <w:tab w:val="right" w:pos="9638"/>
      </w:tabs>
      <w:spacing w:after="0" w:line="240" w:lineRule="auto"/>
    </w:pPr>
  </w:style>
  <w:style w:type="character" w:customStyle="1" w:styleId="FooterChar">
    <w:name w:val="Footer Char"/>
    <w:basedOn w:val="DefaultParagraphFont"/>
    <w:link w:val="Footer"/>
    <w:uiPriority w:val="99"/>
    <w:rsid w:val="009F6F45"/>
    <w:rPr>
      <w:rFonts w:eastAsiaTheme="minorEastAsia"/>
      <w:lang w:val="en-GB"/>
    </w:rPr>
  </w:style>
  <w:style w:type="character" w:styleId="LineNumber">
    <w:name w:val="line number"/>
    <w:basedOn w:val="DefaultParagraphFont"/>
    <w:uiPriority w:val="99"/>
    <w:semiHidden/>
    <w:unhideWhenUsed/>
    <w:rsid w:val="009F6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29/JB073i006p02225" TargetMode="External"/><Relationship Id="rId13" Type="http://schemas.openxmlformats.org/officeDocument/2006/relationships/hyperlink" Target="https://doi.org/10.1063/1.1142087" TargetMode="External"/><Relationship Id="rId18" Type="http://schemas.openxmlformats.org/officeDocument/2006/relationships/hyperlink" Target="https://doi.org/10.1016/j.enggeo.2012.04.008"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doi.org/10.1111/ggr.12474" TargetMode="External"/><Relationship Id="rId7" Type="http://schemas.openxmlformats.org/officeDocument/2006/relationships/hyperlink" Target="https://doi.org/10.1016/j.earscirev.2019.102899" TargetMode="External"/><Relationship Id="rId12" Type="http://schemas.openxmlformats.org/officeDocument/2006/relationships/hyperlink" Target="https://doi.org/10.1016/j.jvolgeores.2016.05.007" TargetMode="External"/><Relationship Id="rId17" Type="http://schemas.openxmlformats.org/officeDocument/2006/relationships/hyperlink" Target="https://doi.org/10.1016/j.oregeorev.2025.106683"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oi.org/10.1111/j.1751-908X.2016.00379.x" TargetMode="External"/><Relationship Id="rId20" Type="http://schemas.openxmlformats.org/officeDocument/2006/relationships/hyperlink" Target="https://doi.org/10.3138/9781487583750"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306/5D25C98B-16C1-11D7-8645000102C1865D" TargetMode="External"/><Relationship Id="rId24" Type="http://schemas.openxmlformats.org/officeDocument/2006/relationships/hyperlink" Target="https://doi.org/10.1016/0012-821X(72)90128-8" TargetMode="External"/><Relationship Id="rId5" Type="http://schemas.openxmlformats.org/officeDocument/2006/relationships/footnotes" Target="footnotes.xml"/><Relationship Id="rId15" Type="http://schemas.openxmlformats.org/officeDocument/2006/relationships/hyperlink" Target="https://doi.org/10.1186/s40517-017-0085-9" TargetMode="External"/><Relationship Id="rId23" Type="http://schemas.openxmlformats.org/officeDocument/2006/relationships/hyperlink" Target="https://doi.org/10.1306/08290605173" TargetMode="External"/><Relationship Id="rId28" Type="http://schemas.openxmlformats.org/officeDocument/2006/relationships/fontTable" Target="fontTable.xml"/><Relationship Id="rId10" Type="http://schemas.openxmlformats.org/officeDocument/2006/relationships/hyperlink" Target="https://doi.org/10.1016/j.chemgeo.2013.11.006" TargetMode="External"/><Relationship Id="rId19" Type="http://schemas.openxmlformats.org/officeDocument/2006/relationships/hyperlink" Target="https://doi.org/10.1039/b805995k" TargetMode="External"/><Relationship Id="rId4" Type="http://schemas.openxmlformats.org/officeDocument/2006/relationships/webSettings" Target="webSettings.xml"/><Relationship Id="rId9" Type="http://schemas.openxmlformats.org/officeDocument/2006/relationships/hyperlink" Target="https://doi.org/10.1016/j.chemgeo.2021.120195" TargetMode="External"/><Relationship Id="rId14" Type="http://schemas.openxmlformats.org/officeDocument/2006/relationships/hyperlink" Target="https://doi.org/10.1016/j.epsl.2016.05.004" TargetMode="External"/><Relationship Id="rId22" Type="http://schemas.openxmlformats.org/officeDocument/2006/relationships/hyperlink" Target="https://doi.org/10.1016/j.chemgeo.2016.01.002"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3690</Words>
  <Characters>29891</Characters>
  <Application>Microsoft Office Word</Application>
  <DocSecurity>0</DocSecurity>
  <Lines>249</Lines>
  <Paragraphs>67</Paragraphs>
  <ScaleCrop>false</ScaleCrop>
  <Company/>
  <LinksUpToDate>false</LinksUpToDate>
  <CharactersWithSpaces>33514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Bischoff</dc:creator>
  <cp:keywords/>
  <dc:description/>
  <cp:lastModifiedBy>Alan Bischoff</cp:lastModifiedBy>
  <cp:revision>3</cp:revision>
  <dcterms:created xsi:type="dcterms:W3CDTF">2026-09-18T08:04:00Z</dcterms:created>
  <dcterms:modified xsi:type="dcterms:W3CDTF">2026-09-22T07:34:00Z</dcterms:modified>
</cp:coreProperties>
</file>