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099D2">
      <w:pPr>
        <w:spacing w:after="260"/>
        <w:jc w:val="center"/>
      </w:pPr>
      <w:bookmarkStart w:id="0" w:name="_GoBack"/>
      <w:r>
        <w:rPr>
          <w:rFonts w:ascii="Times New Roman" w:hAnsi="Times New Roman"/>
          <w:b/>
          <w:sz w:val="28"/>
        </w:rPr>
        <w:t>Data Availability Statement</w:t>
      </w:r>
    </w:p>
    <w:bookmarkEnd w:id="0"/>
    <w:p w14:paraId="26B39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 xml:space="preserve">All data aggregated or analyzed in the current study are available from the corresponding author upon reasonable request. In this study, the data utilized was sourced from a variety of reputable public datasets. The primary sources from which the data were derived are as follows: </w:t>
      </w:r>
    </w:p>
    <w:p w14:paraId="089DE96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 xml:space="preserve">Land-cover and settlement data: GLC_FCS30D (30 m resolution) is a global land-cover dataset containing 35 fine-level classes, including cropland, forest, shrubland, grassland, wetlands, water bodies, bare areas, permanent snow and ice, and impervious surfaces. The impervious-surface class (code 190) was extracted and used as a proxy for settlement-related built-up land in this study; </w:t>
      </w:r>
      <w:r>
        <w:rPr>
          <w:rStyle w:val="135"/>
          <w:rFonts w:hint="eastAsia" w:ascii="Times New Roman" w:hAnsi="Times New Roman" w:cs="Times New Roman"/>
          <w:kern w:val="2"/>
          <w:sz w:val="24"/>
          <w:szCs w:val="24"/>
          <w:lang w:eastAsia="zh-CN"/>
        </w:rPr>
        <w:t>https://doi.org/10.5281/zenodo.8239305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.</w:t>
      </w:r>
    </w:p>
    <w:p w14:paraId="749B9DD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 xml:space="preserve">Population data: GlobPOP (1 km resolution), used to calculate population change; </w:t>
      </w:r>
      <w:r>
        <w:rPr>
          <w:rStyle w:val="135"/>
          <w:rFonts w:hint="eastAsia" w:ascii="Times New Roman" w:hAnsi="Times New Roman" w:cs="Times New Roman"/>
          <w:kern w:val="2"/>
          <w:sz w:val="24"/>
          <w:szCs w:val="24"/>
          <w:lang w:eastAsia="zh-CN"/>
        </w:rPr>
        <w:t>https://doi.org/10.5281/zenodo.7813301</w:t>
      </w: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>.</w:t>
      </w:r>
    </w:p>
    <w:p w14:paraId="7D083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 xml:space="preserve">(3) Economic data: Global gridded GDP dataset (1 km resolution), used to derive changes in GDP per capita; </w:t>
      </w:r>
      <w:r>
        <w:rPr>
          <w:rStyle w:val="135"/>
          <w:rFonts w:hint="eastAsia" w:ascii="Times New Roman" w:hAnsi="Times New Roman" w:cs="Times New Roman"/>
          <w:kern w:val="2"/>
          <w:sz w:val="24"/>
          <w:szCs w:val="24"/>
          <w:lang w:eastAsia="zh-CN"/>
        </w:rPr>
        <w:t>https://doi.org/10.5281/zenodo.10976733</w:t>
      </w: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>.</w:t>
      </w:r>
    </w:p>
    <w:p w14:paraId="4A9B3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 xml:space="preserve">(4) Elevation data: GEDTM30 (30 m resolution), used to derive elevation, slope, terrain units and flat-land proportion; </w:t>
      </w:r>
      <w:r>
        <w:rPr>
          <w:rStyle w:val="135"/>
          <w:rFonts w:hint="eastAsia" w:ascii="Times New Roman" w:hAnsi="Times New Roman" w:cs="Times New Roman"/>
          <w:kern w:val="2"/>
          <w:sz w:val="24"/>
          <w:szCs w:val="24"/>
          <w:lang w:eastAsia="zh-CN"/>
        </w:rPr>
        <w:t>https://doi.org/10.5281/zenodo.14900180</w:t>
      </w: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>.</w:t>
      </w:r>
    </w:p>
    <w:p w14:paraId="1485D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 xml:space="preserve">(5) River-network data: HydroRIVERS, used to calculate distance to major rivers; </w:t>
      </w:r>
      <w:r>
        <w:rPr>
          <w:rStyle w:val="135"/>
          <w:rFonts w:hint="eastAsia" w:ascii="Times New Roman" w:hAnsi="Times New Roman" w:cs="Times New Roman"/>
          <w:kern w:val="2"/>
          <w:sz w:val="24"/>
          <w:szCs w:val="24"/>
          <w:lang w:eastAsia="zh-CN"/>
        </w:rPr>
        <w:t>https://www.hydrosheds.org/</w:t>
      </w: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>.</w:t>
      </w:r>
    </w:p>
    <w:p w14:paraId="0E69D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 xml:space="preserve">(6) Road-network data: OpenStreetMap (OSM), using road-network data for 2014 and 2022 to assess changes in road density; </w:t>
      </w:r>
      <w:r>
        <w:rPr>
          <w:rStyle w:val="135"/>
          <w:rFonts w:hint="eastAsia" w:ascii="Times New Roman" w:hAnsi="Times New Roman" w:cs="Times New Roman"/>
          <w:kern w:val="2"/>
          <w:sz w:val="24"/>
          <w:szCs w:val="24"/>
          <w:lang w:eastAsia="zh-CN"/>
        </w:rPr>
        <w:t>https://www.openstreetmap.org/</w:t>
      </w: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>.</w:t>
      </w:r>
    </w:p>
    <w:p w14:paraId="73B9F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 xml:space="preserve">(7) Conflict-event data: UCDP Georeferenced Event Dataset (GED), used to calculate conflict exposure intensity; </w:t>
      </w:r>
      <w:r>
        <w:rPr>
          <w:rStyle w:val="135"/>
          <w:rFonts w:hint="eastAsia" w:ascii="Times New Roman" w:hAnsi="Times New Roman" w:cs="Times New Roman"/>
          <w:kern w:val="2"/>
          <w:sz w:val="24"/>
          <w:szCs w:val="24"/>
          <w:lang w:eastAsia="zh-CN"/>
        </w:rPr>
        <w:t>https://ucdp.uu.se/</w:t>
      </w:r>
      <w:r>
        <w:rPr>
          <w:rFonts w:ascii="Times New Roman" w:hAnsi="Times New Roman" w:cs="Times New Roman"/>
          <w:kern w:val="2"/>
          <w:sz w:val="24"/>
          <w:szCs w:val="24"/>
          <w:lang w:eastAsia="zh-CN"/>
        </w:rPr>
        <w:t>.</w:t>
      </w:r>
    </w:p>
    <w:p w14:paraId="36110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</w:pPr>
    </w:p>
    <w:sectPr>
      <w:pgSz w:w="12240" w:h="15840"/>
      <w:pgMar w:top="1267" w:right="1411" w:bottom="1224" w:left="141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E9F44"/>
    <w:multiLevelType w:val="singleLevel"/>
    <w:tmpl w:val="9A1E9F44"/>
    <w:lvl w:ilvl="0" w:tentative="0">
      <w:start w:val="1"/>
      <w:numFmt w:val="decimal"/>
      <w:suff w:val="space"/>
      <w:lvlText w:val="(%1)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51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64" w:lineRule="auto"/>
    </w:pPr>
    <w:rPr>
      <w:rFonts w:ascii="Times New Roman" w:hAnsi="Times New Roman" w:eastAsiaTheme="minorEastAsia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uiPriority w:val="99"/>
  </w:style>
  <w:style w:type="character" w:customStyle="1" w:styleId="137">
    <w:name w:val="Footer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uiPriority w:val="99"/>
  </w:style>
  <w:style w:type="character" w:customStyle="1" w:styleId="146">
    <w:name w:val="Body Text 2 Char"/>
    <w:basedOn w:val="132"/>
    <w:link w:val="28"/>
    <w:uiPriority w:val="99"/>
  </w:style>
  <w:style w:type="character" w:customStyle="1" w:styleId="147">
    <w:name w:val="Body Text 3 Char"/>
    <w:basedOn w:val="132"/>
    <w:link w:val="17"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1672</Characters>
  <Lines>0</Lines>
  <Paragraphs>0</Paragraphs>
  <TotalTime>1</TotalTime>
  <ScaleCrop>false</ScaleCrop>
  <LinksUpToDate>false</LinksUpToDate>
  <CharactersWithSpaces>1900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小</cp:lastModifiedBy>
  <dcterms:modified xsi:type="dcterms:W3CDTF">2026-10-15T04:01:47Z</dcterms:modified>
  <dc:subject>Manuscript submission support document</dc:subject>
  <dc:title>Data Availability Statement - Tajikistan settlement study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eyJoZGlkIjoiNWQ4NjU0NjYyMWI3NDY1M2RkNTAyM2QwYjgwYjJjMTIiLCJ1c2VySWQiOiIzMTE3MTU5MTgifQ==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1BAE01DAB3A14307B225D1CDE2D8C496_13</vt:lpwstr>
  </property>
</Properties>
</file>