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Supplementary figures for lumbar Modic change finite element models</w:t>
      </w:r>
    </w:p>
    <w:p>
      <w:pPr>
        <w:keepNext/>
      </w:pPr>
      <w:r>
        <w:t>Supplementary Figure S1. Test–retest agreement of HU-derived material inputs. (a) MC-region HU (ICC(2,1)=0.977). (b) Reference-region HU (ICC(2,1)=0.944). (c) Stiffness multiplier (ICC(2,1)=0.965). The dashed line denotes the identity line; colors indicate MC types I–III.</w:t>
      </w:r>
    </w:p>
    <w:p>
      <w:r>
        <w:drawing>
          <wp:inline xmlns:a="http://schemas.openxmlformats.org/drawingml/2006/main" xmlns:pic="http://schemas.openxmlformats.org/drawingml/2006/picture">
            <wp:extent cx="5669280" cy="21276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1.t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1276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Supplementary Figure S2. Paired CT-HU measurements and stiffness-multiplier dispersion. (a) MC type I. (b) MC type II. (c) MC type III. (d) Patient-level stiffness multiplier dispersion across MC types. Dots indicate individual patients; black diamonds and whiskers indicate the geometric mean and two-sided 95% confidence interval, respectively. The confidence intervals were calculated on the natural-log scale using the t distribution with (n-1) degrees of freedom and back-transformed to the original stiffness-ratio scale. For patients with multiple ROI pairs, HU measurements were averaged within patient for panels a–c; ROI-level multipliers were averaged arithmetically for panel d.</w:t>
      </w:r>
    </w:p>
    <w:p>
      <w:r>
        <w:drawing>
          <wp:inline xmlns:a="http://schemas.openxmlformats.org/drawingml/2006/main" xmlns:pic="http://schemas.openxmlformats.org/drawingml/2006/picture">
            <wp:extent cx="5669280" cy="435400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2.t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5400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9" w:h="16834"/>
      <w:pgMar w:top="1152" w:right="1224" w:bottom="1152" w:left="1224" w:header="720" w:footer="720" w:gutter="0"/>
      <w:cols w:space="720"/>
      <w:docGrid w:linePitch="360"/>
      <w:lnNumType w:countBy="1" w:restart="continuous" w:distance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480" w:lineRule="auto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480" w:lineRule="auto"/>
      <w:outlineLvl w:val="1"/>
    </w:pPr>
    <w:rPr>
      <w:rFonts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48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tif"/><Relationship Id="rId1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stress redistribution in lumbar Modic changes with and without disc degeneration in a CT-informed finite element study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