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78CCD" w14:textId="77777777" w:rsidR="007A0A98" w:rsidRPr="00C63FD5" w:rsidRDefault="007A0A98" w:rsidP="007A0A98">
      <w:pPr>
        <w:widowControl/>
        <w:wordWrap/>
        <w:autoSpaceDE/>
        <w:autoSpaceDN/>
        <w:spacing w:after="0" w:line="276" w:lineRule="auto"/>
        <w:jc w:val="both"/>
        <w:outlineLvl w:val="1"/>
        <w:rPr>
          <w:rFonts w:ascii="Times New Roman" w:eastAsia="굴림" w:hAnsi="Times New Roman" w:cs="Times New Roman"/>
          <w:b/>
          <w:bCs/>
          <w:kern w:val="0"/>
          <w:sz w:val="28"/>
          <w:szCs w:val="28"/>
          <w14:ligatures w14:val="none"/>
        </w:rPr>
      </w:pPr>
      <w:r w:rsidRPr="00C63FD5">
        <w:rPr>
          <w:rFonts w:ascii="Times New Roman" w:eastAsia="굴림" w:hAnsi="Times New Roman" w:cs="Times New Roman"/>
          <w:b/>
          <w:bCs/>
          <w:kern w:val="0"/>
          <w:sz w:val="28"/>
          <w:szCs w:val="28"/>
          <w14:ligatures w14:val="none"/>
        </w:rPr>
        <w:t>Contributions</w:t>
      </w:r>
    </w:p>
    <w:p w14:paraId="78A5AEE8" w14:textId="73DAF634" w:rsidR="007A0A98" w:rsidRPr="005E0412" w:rsidRDefault="007A0A98" w:rsidP="005E0412">
      <w:pPr>
        <w:widowControl/>
        <w:wordWrap/>
        <w:autoSpaceDE/>
        <w:autoSpaceDN/>
        <w:spacing w:after="0" w:line="276" w:lineRule="auto"/>
        <w:ind w:firstLineChars="100" w:firstLine="240"/>
        <w:jc w:val="both"/>
        <w:rPr>
          <w:rFonts w:ascii="Times New Roman" w:eastAsia="굴림" w:hAnsi="Times New Roman" w:cs="Times New Roman" w:hint="eastAsia"/>
          <w:kern w:val="0"/>
          <w:sz w:val="24"/>
          <w14:ligatures w14:val="none"/>
        </w:rPr>
      </w:pPr>
      <w:r w:rsidRPr="007A0A98">
        <w:rPr>
          <w:rFonts w:ascii="Times New Roman" w:eastAsia="굴림" w:hAnsi="Times New Roman" w:cs="Times New Roman"/>
          <w:kern w:val="0"/>
          <w:sz w:val="24"/>
          <w14:ligatures w14:val="none"/>
        </w:rPr>
        <w:t xml:space="preserve">This study examines financial-service restoration as an economic outcome rather than an operational milestone. Its central finding is that renewed access, recovery in relative use, and restoration of absolute activity can diverge substantially. By following </w:t>
      </w:r>
      <w:proofErr w:type="spellStart"/>
      <w:r w:rsidRPr="007A0A98">
        <w:rPr>
          <w:rFonts w:ascii="Times New Roman" w:eastAsia="굴림" w:hAnsi="Times New Roman" w:cs="Times New Roman"/>
          <w:kern w:val="0"/>
          <w:sz w:val="24"/>
          <w14:ligatures w14:val="none"/>
        </w:rPr>
        <w:t>Binance.US’s</w:t>
      </w:r>
      <w:proofErr w:type="spellEnd"/>
      <w:r w:rsidRPr="007A0A98">
        <w:rPr>
          <w:rFonts w:ascii="Times New Roman" w:eastAsia="굴림" w:hAnsi="Times New Roman" w:cs="Times New Roman"/>
          <w:kern w:val="0"/>
          <w:sz w:val="24"/>
          <w14:ligatures w14:val="none"/>
        </w:rPr>
        <w:t xml:space="preserve"> bank-linked and stablecoin-linked quote markets through interruption, withdrawal, reopening, and repricing, we connect the economics of financial access with competition between services that offer similar trading opportunities but different funding and transfer arrangements. First, we extend the distinction between access and realized use to the restoration of a previously available service. Research on financial inclusion and financial technology examines how access expands and how transaction frictions influence the use of financial products (Bachas et al., 2021; Erel and </w:t>
      </w:r>
      <w:proofErr w:type="spellStart"/>
      <w:r w:rsidRPr="007A0A98">
        <w:rPr>
          <w:rFonts w:ascii="Times New Roman" w:eastAsia="굴림" w:hAnsi="Times New Roman" w:cs="Times New Roman"/>
          <w:kern w:val="0"/>
          <w:sz w:val="24"/>
          <w14:ligatures w14:val="none"/>
        </w:rPr>
        <w:t>Liebersohn</w:t>
      </w:r>
      <w:proofErr w:type="spellEnd"/>
      <w:r w:rsidRPr="007A0A98">
        <w:rPr>
          <w:rFonts w:ascii="Times New Roman" w:eastAsia="굴림" w:hAnsi="Times New Roman" w:cs="Times New Roman"/>
          <w:kern w:val="0"/>
          <w:sz w:val="24"/>
          <w14:ligatures w14:val="none"/>
        </w:rPr>
        <w:t xml:space="preserve">, 2022; Fonseca and </w:t>
      </w:r>
      <w:proofErr w:type="spellStart"/>
      <w:r w:rsidRPr="007A0A98">
        <w:rPr>
          <w:rFonts w:ascii="Times New Roman" w:eastAsia="굴림" w:hAnsi="Times New Roman" w:cs="Times New Roman"/>
          <w:kern w:val="0"/>
          <w:sz w:val="24"/>
          <w14:ligatures w14:val="none"/>
        </w:rPr>
        <w:t>Matray</w:t>
      </w:r>
      <w:proofErr w:type="spellEnd"/>
      <w:r w:rsidRPr="007A0A98">
        <w:rPr>
          <w:rFonts w:ascii="Times New Roman" w:eastAsia="굴림" w:hAnsi="Times New Roman" w:cs="Times New Roman"/>
          <w:kern w:val="0"/>
          <w:sz w:val="24"/>
          <w14:ligatures w14:val="none"/>
        </w:rPr>
        <w:t xml:space="preserve">, 2024). We examine a different margin: whether activity returns when an interrupted service becomes available again while a substitute remains operational. Tracking the same platform–asset pairs </w:t>
      </w:r>
      <w:proofErr w:type="gramStart"/>
      <w:r w:rsidRPr="007A0A98">
        <w:rPr>
          <w:rFonts w:ascii="Times New Roman" w:eastAsia="굴림" w:hAnsi="Times New Roman" w:cs="Times New Roman"/>
          <w:kern w:val="0"/>
          <w:sz w:val="24"/>
          <w14:ligatures w14:val="none"/>
        </w:rPr>
        <w:t>separates</w:t>
      </w:r>
      <w:proofErr w:type="gramEnd"/>
      <w:r w:rsidRPr="007A0A98">
        <w:rPr>
          <w:rFonts w:ascii="Times New Roman" w:eastAsia="굴림" w:hAnsi="Times New Roman" w:cs="Times New Roman"/>
          <w:kern w:val="0"/>
          <w:sz w:val="24"/>
          <w14:ligatures w14:val="none"/>
        </w:rPr>
        <w:t xml:space="preserve"> changes in the available choice set from changes in trading conditional on availability. USD use declines before the focal books are removed, yet restoring those books and bank-deposit access does not reproduce the earlier allocation. This sequence demonstrates why operational reopening is an insufficient measure of economic recovery: reinstating a product need not reconstitute the market that previously used it. Second, we contribute to research on stablecoins and financial-service competition by examining realized quote-market use rather than price stability or currency valuation alone. USD and USDT books provide access to the same underlying assets, but bundle execution with different arrangements for balances, funding, and withdrawal. Their similar dollar denomination therefore does not make the associated services economically interchangeable. We bring this distinction to a matched comparison of BTC and ETH across four venues, controlling for persistent venue–asset differences and common asset-specific conditions on each date. An additional within-platform comparison contrasts assets eligible for targeted USD pricing with LTC, whose USD book is ineligible. The largest improvement in relative USD use coincides with targeted pricing after access is restored, and the external and internal comparisons point in the same direction. These complementary comparisons support a role for relative incentives without isolating fees from concurrent promotions and other developments. The evidence complements research on payment competition and exchange pricing by </w:t>
      </w:r>
      <w:proofErr w:type="gramStart"/>
      <w:r w:rsidRPr="007A0A98">
        <w:rPr>
          <w:rFonts w:ascii="Times New Roman" w:eastAsia="굴림" w:hAnsi="Times New Roman" w:cs="Times New Roman"/>
          <w:kern w:val="0"/>
          <w:sz w:val="24"/>
          <w14:ligatures w14:val="none"/>
        </w:rPr>
        <w:t>situating</w:t>
      </w:r>
      <w:proofErr w:type="gramEnd"/>
      <w:r w:rsidRPr="007A0A98">
        <w:rPr>
          <w:rFonts w:ascii="Times New Roman" w:eastAsia="굴림" w:hAnsi="Times New Roman" w:cs="Times New Roman"/>
          <w:kern w:val="0"/>
          <w:sz w:val="24"/>
          <w14:ligatures w14:val="none"/>
        </w:rPr>
        <w:t xml:space="preserve"> relative-price changes within the broader process of service restoration (</w:t>
      </w:r>
      <w:proofErr w:type="spellStart"/>
      <w:r w:rsidRPr="007A0A98">
        <w:rPr>
          <w:rFonts w:ascii="Times New Roman" w:eastAsia="굴림" w:hAnsi="Times New Roman" w:cs="Times New Roman"/>
          <w:kern w:val="0"/>
          <w:sz w:val="24"/>
          <w14:ligatures w14:val="none"/>
        </w:rPr>
        <w:t>Parlour</w:t>
      </w:r>
      <w:proofErr w:type="spellEnd"/>
      <w:r w:rsidRPr="007A0A98">
        <w:rPr>
          <w:rFonts w:ascii="Times New Roman" w:eastAsia="굴림" w:hAnsi="Times New Roman" w:cs="Times New Roman"/>
          <w:kern w:val="0"/>
          <w:sz w:val="24"/>
          <w14:ligatures w14:val="none"/>
        </w:rPr>
        <w:t>, Rajan and Zhu, 2022; Brauneis et al., 2022; Galati, 2024).</w:t>
      </w:r>
      <w:r w:rsidR="005E0412">
        <w:rPr>
          <w:rFonts w:ascii="Times New Roman" w:eastAsia="굴림" w:hAnsi="Times New Roman" w:cs="Times New Roman" w:hint="eastAsia"/>
          <w:kern w:val="0"/>
          <w:sz w:val="24"/>
          <w14:ligatures w14:val="none"/>
        </w:rPr>
        <w:t xml:space="preserve"> </w:t>
      </w:r>
      <w:r w:rsidRPr="007A0A98">
        <w:rPr>
          <w:rFonts w:ascii="Times New Roman" w:eastAsia="굴림" w:hAnsi="Times New Roman" w:cs="Times New Roman"/>
          <w:kern w:val="0"/>
          <w:sz w:val="24"/>
          <w14:ligatures w14:val="none"/>
        </w:rPr>
        <w:t>Third, we show why recovery in trading allocation must be evaluated alongside recovery in absolute activity. In the final stage, USD accounts for 31.5% of matched notional, but total activity retains only 6.0% of its pre-interruption level and USD activity retains approximately 2.4%. The apparent recovery thus represents a changed allocation within substantially smaller matched markets, not a return of the former USD market. Jointly measuring availability, quote shares, and benchmark-normalized activity prevents a reopened book or a recovering share from being mistaken for restored market scale. This distinction yields an evaluation principle for platforms and regulators: operational coverage, relative terms, realized use, and absolute activity provide complementary information. The broader contribution is to shift the assessment of restored financial infrastructure from whether a service has reopened to how</w:t>
      </w:r>
      <w:r w:rsidR="005E0412">
        <w:rPr>
          <w:rFonts w:ascii="Times New Roman" w:eastAsia="굴림" w:hAnsi="Times New Roman" w:cs="Times New Roman" w:hint="eastAsia"/>
          <w:kern w:val="0"/>
          <w:sz w:val="24"/>
          <w14:ligatures w14:val="none"/>
        </w:rPr>
        <w:t xml:space="preserve">, </w:t>
      </w:r>
      <w:r w:rsidRPr="007A0A98">
        <w:rPr>
          <w:rFonts w:ascii="Times New Roman" w:eastAsia="굴림" w:hAnsi="Times New Roman" w:cs="Times New Roman"/>
          <w:kern w:val="0"/>
          <w:sz w:val="24"/>
          <w14:ligatures w14:val="none"/>
        </w:rPr>
        <w:t>and how much</w:t>
      </w:r>
      <w:r w:rsidR="005E0412">
        <w:rPr>
          <w:rFonts w:ascii="Times New Roman" w:eastAsia="굴림" w:hAnsi="Times New Roman" w:cs="Times New Roman" w:hint="eastAsia"/>
          <w:kern w:val="0"/>
          <w:sz w:val="24"/>
          <w14:ligatures w14:val="none"/>
        </w:rPr>
        <w:t xml:space="preserve">, </w:t>
      </w:r>
      <w:r w:rsidRPr="007A0A98">
        <w:rPr>
          <w:rFonts w:ascii="Times New Roman" w:eastAsia="굴림" w:hAnsi="Times New Roman" w:cs="Times New Roman"/>
          <w:kern w:val="0"/>
          <w:sz w:val="24"/>
          <w14:ligatures w14:val="none"/>
        </w:rPr>
        <w:t>it is used when a functioning alternative remains available.</w:t>
      </w:r>
    </w:p>
    <w:sectPr w:rsidR="007A0A98" w:rsidRPr="005E0412">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W0MDcxNjQ0tjAxMTFV0lEKTi0uzszPAykwrAUAixxADywAAAA="/>
  </w:docVars>
  <w:rsids>
    <w:rsidRoot w:val="007A0A98"/>
    <w:rsid w:val="00116EBE"/>
    <w:rsid w:val="005E0412"/>
    <w:rsid w:val="007A0A98"/>
    <w:rsid w:val="00A53B7D"/>
    <w:rsid w:val="00C63FD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B54E5"/>
  <w15:chartTrackingRefBased/>
  <w15:docId w15:val="{587D41A5-6F1C-493C-9B38-BCC98A9B4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7A0A9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unhideWhenUsed/>
    <w:qFormat/>
    <w:rsid w:val="007A0A9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7A0A9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7A0A9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7A0A9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7A0A9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7A0A9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7A0A9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7A0A9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7A0A98"/>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rsid w:val="007A0A98"/>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7A0A98"/>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7A0A98"/>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7A0A98"/>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7A0A98"/>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7A0A98"/>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7A0A98"/>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7A0A98"/>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7A0A98"/>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7A0A9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A0A9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7A0A98"/>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7A0A98"/>
    <w:pPr>
      <w:spacing w:before="160"/>
      <w:jc w:val="center"/>
    </w:pPr>
    <w:rPr>
      <w:i/>
      <w:iCs/>
      <w:color w:val="404040" w:themeColor="text1" w:themeTint="BF"/>
    </w:rPr>
  </w:style>
  <w:style w:type="character" w:customStyle="1" w:styleId="Char1">
    <w:name w:val="인용 Char"/>
    <w:basedOn w:val="a0"/>
    <w:link w:val="a5"/>
    <w:uiPriority w:val="29"/>
    <w:rsid w:val="007A0A98"/>
    <w:rPr>
      <w:i/>
      <w:iCs/>
      <w:color w:val="404040" w:themeColor="text1" w:themeTint="BF"/>
    </w:rPr>
  </w:style>
  <w:style w:type="paragraph" w:styleId="a6">
    <w:name w:val="List Paragraph"/>
    <w:basedOn w:val="a"/>
    <w:uiPriority w:val="34"/>
    <w:qFormat/>
    <w:rsid w:val="007A0A98"/>
    <w:pPr>
      <w:ind w:left="720"/>
      <w:contextualSpacing/>
    </w:pPr>
  </w:style>
  <w:style w:type="character" w:styleId="a7">
    <w:name w:val="Intense Emphasis"/>
    <w:basedOn w:val="a0"/>
    <w:uiPriority w:val="21"/>
    <w:qFormat/>
    <w:rsid w:val="007A0A98"/>
    <w:rPr>
      <w:i/>
      <w:iCs/>
      <w:color w:val="0F4761" w:themeColor="accent1" w:themeShade="BF"/>
    </w:rPr>
  </w:style>
  <w:style w:type="paragraph" w:styleId="a8">
    <w:name w:val="Intense Quote"/>
    <w:basedOn w:val="a"/>
    <w:next w:val="a"/>
    <w:link w:val="Char2"/>
    <w:uiPriority w:val="30"/>
    <w:qFormat/>
    <w:rsid w:val="007A0A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7A0A98"/>
    <w:rPr>
      <w:i/>
      <w:iCs/>
      <w:color w:val="0F4761" w:themeColor="accent1" w:themeShade="BF"/>
    </w:rPr>
  </w:style>
  <w:style w:type="character" w:styleId="a9">
    <w:name w:val="Intense Reference"/>
    <w:basedOn w:val="a0"/>
    <w:uiPriority w:val="32"/>
    <w:qFormat/>
    <w:rsid w:val="007A0A98"/>
    <w:rPr>
      <w:b/>
      <w:bCs/>
      <w:smallCaps/>
      <w:color w:val="0F4761" w:themeColor="accent1" w:themeShade="BF"/>
      <w:spacing w:val="5"/>
    </w:rPr>
  </w:style>
  <w:style w:type="paragraph" w:styleId="aa">
    <w:name w:val="Normal (Web)"/>
    <w:basedOn w:val="a"/>
    <w:uiPriority w:val="99"/>
    <w:semiHidden/>
    <w:unhideWhenUsed/>
    <w:rsid w:val="007A0A98"/>
    <w:pPr>
      <w:widowControl/>
      <w:wordWrap/>
      <w:autoSpaceDE/>
      <w:autoSpaceDN/>
      <w:spacing w:before="100" w:beforeAutospacing="1" w:after="100" w:afterAutospacing="1"/>
    </w:pPr>
    <w:rPr>
      <w:rFonts w:ascii="굴림" w:eastAsia="굴림" w:hAnsi="굴림" w:cs="굴림"/>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572</Words>
  <Characters>3266</Characters>
  <Application>Microsoft Office Word</Application>
  <DocSecurity>0</DocSecurity>
  <Lines>27</Lines>
  <Paragraphs>7</Paragraphs>
  <ScaleCrop>false</ScaleCrop>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2026-10-09T02:58:00Z</dcterms:created>
  <dcterms:modified xsi:type="dcterms:W3CDTF">2026-10-09T02:58:00Z</dcterms:modified>
</cp:coreProperties>
</file>