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DFAFC4">
      <w:pPr>
        <w:widowControl/>
        <w:snapToGrid w:val="0"/>
        <w:spacing w:before="156" w:beforeLines="50" w:after="156" w:afterLines="50" w:line="360" w:lineRule="auto"/>
        <w:jc w:val="left"/>
        <w:rPr>
          <w:rFonts w:ascii="Times New Roman" w:hAnsi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Tables </w:t>
      </w:r>
    </w:p>
    <w:p w14:paraId="43626053">
      <w:pPr>
        <w:widowControl/>
        <w:snapToGrid w:val="0"/>
        <w:spacing w:line="360" w:lineRule="auto"/>
        <w:jc w:val="left"/>
        <w:rPr>
          <w:rFonts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Table S1. Univariate survival analysis of clinical and laboratory biomarkers</w:t>
      </w:r>
    </w:p>
    <w:p w14:paraId="5AEFDF17">
      <w:pPr>
        <w:widowControl/>
        <w:spacing w:before="156" w:beforeLines="50" w:after="156" w:afterLines="50" w:line="360" w:lineRule="auto"/>
        <w:jc w:val="left"/>
        <w:rPr>
          <w:rFonts w:ascii="Times New Roman" w:hAnsi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cs="Times New Roman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Figures</w:t>
      </w:r>
    </w:p>
    <w:p w14:paraId="20105825">
      <w:pPr>
        <w:widowControl/>
        <w:snapToGrid w:val="0"/>
        <w:spacing w:line="360" w:lineRule="auto"/>
        <w:jc w:val="left"/>
        <w:rPr>
          <w:rFonts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Figure S1. The distribution of Initial visiting department and Primary site.                                                                                                   </w:t>
      </w:r>
      <w:r>
        <w:rPr>
          <w:rFonts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          </w:t>
      </w:r>
    </w:p>
    <w:p w14:paraId="21476779">
      <w:pPr>
        <w:widowControl/>
        <w:snapToGrid w:val="0"/>
        <w:spacing w:line="360" w:lineRule="auto"/>
        <w:jc w:val="left"/>
        <w:rPr>
          <w:rFonts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Figure S2. A Univariate analysis of 5-year overall survival (OS) in patients with DLBCL.                                                                                                                                                                                            </w:t>
      </w:r>
    </w:p>
    <w:p w14:paraId="4B5942E8">
      <w:pPr>
        <w:widowControl/>
        <w:snapToGrid w:val="0"/>
        <w:spacing w:line="36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仿宋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Figure S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3</w:t>
      </w:r>
      <w:r>
        <w:rPr>
          <w:rFonts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Times New Roman" w:hAnsi="Times New Roman" w:cs="Times New Roman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 Kaplan-Meier overall survival curves stratified by immunohistochemical markers.                                                                                                                                                                     </w:t>
      </w:r>
    </w:p>
    <w:p w14:paraId="60BEB257">
      <w:pPr>
        <w:rPr>
          <w:rFonts w:hint="eastAsia" w:ascii="Times New Roman" w:hAnsi="Times New Roman"/>
          <w:b/>
          <w:bCs/>
          <w:color w:val="1F1F1F"/>
          <w:szCs w:val="21"/>
        </w:rPr>
      </w:pPr>
    </w:p>
    <w:p w14:paraId="256EA24D">
      <w:pPr>
        <w:rPr>
          <w:rFonts w:ascii="Times New Roman" w:hAnsi="Times New Roman"/>
          <w:b/>
          <w:bCs/>
          <w:color w:val="1F1F1F"/>
          <w:szCs w:val="21"/>
        </w:rPr>
      </w:pPr>
      <w:r>
        <w:rPr>
          <w:rFonts w:hint="eastAsia" w:ascii="Times New Roman" w:hAnsi="Times New Roman"/>
          <w:b/>
          <w:bCs/>
          <w:color w:val="1F1F1F"/>
          <w:szCs w:val="21"/>
        </w:rPr>
        <w:t xml:space="preserve">Table </w:t>
      </w:r>
      <w:r>
        <w:rPr>
          <w:rFonts w:hint="eastAsia" w:ascii="Times New Roman" w:hAnsi="Times New Roman"/>
          <w:b/>
          <w:bCs/>
          <w:color w:val="1F1F1F"/>
          <w:szCs w:val="21"/>
          <w:lang w:val="en-US" w:eastAsia="zh-CN"/>
        </w:rPr>
        <w:t>S1</w:t>
      </w:r>
      <w:bookmarkStart w:id="0" w:name="_GoBack"/>
      <w:bookmarkEnd w:id="0"/>
      <w:r>
        <w:rPr>
          <w:rFonts w:hint="eastAsia" w:ascii="Times New Roman" w:hAnsi="Times New Roman"/>
          <w:b/>
          <w:bCs/>
          <w:color w:val="1F1F1F"/>
          <w:szCs w:val="21"/>
        </w:rPr>
        <w:t>. Univariate survival analysis of clinical and laboratory biomarkers</w:t>
      </w:r>
    </w:p>
    <w:tbl>
      <w:tblPr>
        <w:tblStyle w:val="3"/>
        <w:tblW w:w="8739" w:type="dxa"/>
        <w:tblInd w:w="-234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1101"/>
        <w:gridCol w:w="1409"/>
        <w:gridCol w:w="771"/>
        <w:gridCol w:w="2579"/>
        <w:gridCol w:w="1141"/>
      </w:tblGrid>
      <w:tr w14:paraId="18F3FEE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tcBorders>
              <w:tl2br w:val="nil"/>
              <w:tr2bl w:val="nil"/>
            </w:tcBorders>
          </w:tcPr>
          <w:p w14:paraId="30A936A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-65405</wp:posOffset>
                      </wp:positionH>
                      <wp:positionV relativeFrom="paragraph">
                        <wp:posOffset>581660</wp:posOffset>
                      </wp:positionV>
                      <wp:extent cx="5551805" cy="25400"/>
                      <wp:effectExtent l="0" t="9525" r="1270" b="12700"/>
                      <wp:wrapNone/>
                      <wp:docPr id="3" name="直接连接符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794385" y="1720215"/>
                                <a:ext cx="5551805" cy="2540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5.15pt;margin-top:45.8pt;height:2pt;width:437.15pt;z-index:251659264;mso-width-relative:page;mso-height-relative:page;" filled="f" stroked="t" coordsize="21600,21600" o:gfxdata="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">
                      <v:fill on="f" focussize="0,0"/>
                      <v:stroke weight="1.5pt" color="#000000 [3213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  <w:t>Index</w:t>
            </w:r>
          </w:p>
        </w:tc>
        <w:tc>
          <w:tcPr>
            <w:tcW w:w="1101" w:type="dxa"/>
            <w:tcBorders>
              <w:tl2br w:val="nil"/>
              <w:tr2bl w:val="nil"/>
            </w:tcBorders>
          </w:tcPr>
          <w:p w14:paraId="256447A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  <w:t>Patients(n)</w:t>
            </w:r>
          </w:p>
        </w:tc>
        <w:tc>
          <w:tcPr>
            <w:tcW w:w="1409" w:type="dxa"/>
            <w:tcBorders>
              <w:tl2br w:val="nil"/>
              <w:tr2bl w:val="nil"/>
            </w:tcBorders>
          </w:tcPr>
          <w:p w14:paraId="5E31221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/>
                <w:color w:val="1F1F1F"/>
                <w:kern w:val="0"/>
                <w:sz w:val="18"/>
                <w:szCs w:val="18"/>
              </w:rPr>
              <w:t>M</w:t>
            </w:r>
            <w:r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  <w:t xml:space="preserve">ean ± SD </w:t>
            </w:r>
          </w:p>
        </w:tc>
        <w:tc>
          <w:tcPr>
            <w:tcW w:w="771" w:type="dxa"/>
            <w:tcBorders>
              <w:tl2br w:val="nil"/>
              <w:tr2bl w:val="nil"/>
            </w:tcBorders>
          </w:tcPr>
          <w:p w14:paraId="27B7A46C">
            <w:pPr>
              <w:autoSpaceDE w:val="0"/>
              <w:autoSpaceDN w:val="0"/>
              <w:adjustRightInd w:val="0"/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  <w:t>AUC</w:t>
            </w:r>
          </w:p>
        </w:tc>
        <w:tc>
          <w:tcPr>
            <w:tcW w:w="2579" w:type="dxa"/>
            <w:tcBorders>
              <w:tl2br w:val="nil"/>
              <w:tr2bl w:val="nil"/>
            </w:tcBorders>
          </w:tcPr>
          <w:p w14:paraId="0DDB0E5A">
            <w:pPr>
              <w:autoSpaceDE w:val="0"/>
              <w:autoSpaceDN w:val="0"/>
              <w:adjustRightInd w:val="0"/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  <w:t>Chi square</w:t>
            </w:r>
          </w:p>
          <w:p w14:paraId="57E82F01">
            <w:pPr>
              <w:autoSpaceDE w:val="0"/>
              <w:autoSpaceDN w:val="0"/>
              <w:adjustRightInd w:val="0"/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  <w:t>Log-rank (Mantel-Cox) test or</w:t>
            </w:r>
          </w:p>
          <w:p w14:paraId="4D2648FF">
            <w:pPr>
              <w:autoSpaceDE w:val="0"/>
              <w:autoSpaceDN w:val="0"/>
              <w:adjustRightInd w:val="0"/>
              <w:rPr>
                <w:rFonts w:ascii="Times New Roman" w:hAnsi="Times New Roman" w:eastAsia="宋体" w:cs="Times New Roman"/>
                <w:b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  <w:t>Gehan- BreslowWilcoxon test</w:t>
            </w:r>
          </w:p>
        </w:tc>
        <w:tc>
          <w:tcPr>
            <w:tcW w:w="1141" w:type="dxa"/>
            <w:tcBorders>
              <w:tl2br w:val="nil"/>
              <w:tr2bl w:val="nil"/>
            </w:tcBorders>
          </w:tcPr>
          <w:p w14:paraId="14B24F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/>
                <w:color w:val="1F1F1F"/>
                <w:kern w:val="0"/>
                <w:sz w:val="18"/>
                <w:szCs w:val="18"/>
              </w:rPr>
              <w:t>P value</w:t>
            </w:r>
          </w:p>
        </w:tc>
      </w:tr>
      <w:tr w14:paraId="7299183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738" w:type="dxa"/>
            <w:vMerge w:val="restart"/>
            <w:tcBorders>
              <w:tl2br w:val="nil"/>
              <w:tr2bl w:val="nil"/>
            </w:tcBorders>
          </w:tcPr>
          <w:p w14:paraId="23D0C23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Total</w:t>
            </w:r>
            <w:r>
              <w:rPr>
                <w:rFonts w:hint="eastAsia" w:ascii="Times New Roman" w:hAnsi="Times New Roman" w:eastAsia="宋体" w:cs="Times New Roman"/>
                <w:bCs/>
                <w:color w:val="1F1F1F"/>
                <w:kern w:val="0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IgEAb(IU/mL)</w:t>
            </w:r>
          </w:p>
        </w:tc>
        <w:tc>
          <w:tcPr>
            <w:tcW w:w="1101" w:type="dxa"/>
            <w:vMerge w:val="restart"/>
            <w:tcBorders>
              <w:tl2br w:val="nil"/>
              <w:tr2bl w:val="nil"/>
            </w:tcBorders>
          </w:tcPr>
          <w:p w14:paraId="39D1BA2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91/98</w:t>
            </w:r>
          </w:p>
        </w:tc>
        <w:tc>
          <w:tcPr>
            <w:tcW w:w="1409" w:type="dxa"/>
            <w:vMerge w:val="restart"/>
            <w:tcBorders>
              <w:tl2br w:val="nil"/>
              <w:tr2bl w:val="nil"/>
            </w:tcBorders>
          </w:tcPr>
          <w:p w14:paraId="283D148A">
            <w:pPr>
              <w:autoSpaceDE w:val="0"/>
              <w:autoSpaceDN w:val="0"/>
              <w:adjustRightInd w:val="0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 xml:space="preserve">160.45 ± 198.75 </w:t>
            </w:r>
          </w:p>
        </w:tc>
        <w:tc>
          <w:tcPr>
            <w:tcW w:w="771" w:type="dxa"/>
            <w:vMerge w:val="restart"/>
            <w:tcBorders>
              <w:tl2br w:val="nil"/>
              <w:tr2bl w:val="nil"/>
            </w:tcBorders>
          </w:tcPr>
          <w:p w14:paraId="3F31D80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0.484</w:t>
            </w:r>
          </w:p>
        </w:tc>
        <w:tc>
          <w:tcPr>
            <w:tcW w:w="2579" w:type="dxa"/>
            <w:vMerge w:val="restart"/>
            <w:tcBorders>
              <w:tl2br w:val="nil"/>
              <w:tr2bl w:val="nil"/>
            </w:tcBorders>
          </w:tcPr>
          <w:p w14:paraId="3423B98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2.095</w:t>
            </w:r>
          </w:p>
        </w:tc>
        <w:tc>
          <w:tcPr>
            <w:tcW w:w="1141" w:type="dxa"/>
            <w:vMerge w:val="restart"/>
            <w:tcBorders>
              <w:tl2br w:val="nil"/>
              <w:tr2bl w:val="nil"/>
            </w:tcBorders>
          </w:tcPr>
          <w:p w14:paraId="6D44457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0.1478</w:t>
            </w:r>
          </w:p>
        </w:tc>
      </w:tr>
      <w:tr w14:paraId="00B92C8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</w:trPr>
        <w:tc>
          <w:tcPr>
            <w:tcW w:w="1738" w:type="dxa"/>
            <w:vMerge w:val="continue"/>
            <w:tcBorders>
              <w:tl2br w:val="nil"/>
              <w:tr2bl w:val="nil"/>
            </w:tcBorders>
          </w:tcPr>
          <w:p w14:paraId="2D5B518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</w:p>
        </w:tc>
        <w:tc>
          <w:tcPr>
            <w:tcW w:w="1101" w:type="dxa"/>
            <w:vMerge w:val="continue"/>
            <w:tcBorders>
              <w:tl2br w:val="nil"/>
              <w:tr2bl w:val="nil"/>
            </w:tcBorders>
          </w:tcPr>
          <w:p w14:paraId="2CB4BC7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</w:p>
        </w:tc>
        <w:tc>
          <w:tcPr>
            <w:tcW w:w="1409" w:type="dxa"/>
            <w:vMerge w:val="continue"/>
            <w:tcBorders>
              <w:tl2br w:val="nil"/>
              <w:tr2bl w:val="nil"/>
            </w:tcBorders>
          </w:tcPr>
          <w:p w14:paraId="3827E4CF">
            <w:pPr>
              <w:autoSpaceDE w:val="0"/>
              <w:autoSpaceDN w:val="0"/>
              <w:adjustRightInd w:val="0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</w:p>
        </w:tc>
        <w:tc>
          <w:tcPr>
            <w:tcW w:w="771" w:type="dxa"/>
            <w:vMerge w:val="continue"/>
            <w:tcBorders>
              <w:tl2br w:val="nil"/>
              <w:tr2bl w:val="nil"/>
            </w:tcBorders>
          </w:tcPr>
          <w:p w14:paraId="29044D1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</w:p>
        </w:tc>
        <w:tc>
          <w:tcPr>
            <w:tcW w:w="2579" w:type="dxa"/>
            <w:vMerge w:val="continue"/>
            <w:tcBorders>
              <w:tl2br w:val="nil"/>
              <w:tr2bl w:val="nil"/>
            </w:tcBorders>
          </w:tcPr>
          <w:p w14:paraId="301968C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</w:p>
        </w:tc>
        <w:tc>
          <w:tcPr>
            <w:tcW w:w="1141" w:type="dxa"/>
            <w:vMerge w:val="continue"/>
            <w:tcBorders>
              <w:tl2br w:val="nil"/>
              <w:tr2bl w:val="nil"/>
            </w:tcBorders>
          </w:tcPr>
          <w:p w14:paraId="5FD0A07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</w:p>
        </w:tc>
      </w:tr>
      <w:tr w14:paraId="126130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tcBorders>
              <w:tl2br w:val="nil"/>
              <w:tr2bl w:val="nil"/>
            </w:tcBorders>
          </w:tcPr>
          <w:p w14:paraId="7BE1144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IL-6 (</w:t>
            </w:r>
            <w:r>
              <w:rPr>
                <w:rFonts w:hint="eastAsia" w:ascii="Times New Roman" w:hAnsi="Times New Roman" w:eastAsia="宋体" w:cs="Times New Roman"/>
                <w:bCs/>
                <w:color w:val="1F1F1F"/>
                <w:kern w:val="0"/>
                <w:sz w:val="18"/>
                <w:szCs w:val="18"/>
              </w:rPr>
              <w:t>p</w:t>
            </w: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g/</w:t>
            </w:r>
            <w:r>
              <w:rPr>
                <w:rFonts w:hint="eastAsia" w:ascii="Times New Roman" w:hAnsi="Times New Roman" w:eastAsia="宋体" w:cs="Times New Roman"/>
                <w:bCs/>
                <w:color w:val="1F1F1F"/>
                <w:kern w:val="0"/>
                <w:sz w:val="18"/>
                <w:szCs w:val="18"/>
              </w:rPr>
              <w:t>m</w:t>
            </w: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L)</w:t>
            </w:r>
          </w:p>
        </w:tc>
        <w:tc>
          <w:tcPr>
            <w:tcW w:w="1101" w:type="dxa"/>
            <w:tcBorders>
              <w:tl2br w:val="nil"/>
              <w:tr2bl w:val="nil"/>
            </w:tcBorders>
          </w:tcPr>
          <w:p w14:paraId="1526F56E">
            <w:pPr>
              <w:autoSpaceDE w:val="0"/>
              <w:autoSpaceDN w:val="0"/>
              <w:adjustRightInd w:val="0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91/98</w:t>
            </w:r>
          </w:p>
        </w:tc>
        <w:tc>
          <w:tcPr>
            <w:tcW w:w="1409" w:type="dxa"/>
            <w:tcBorders>
              <w:tl2br w:val="nil"/>
              <w:tr2bl w:val="nil"/>
            </w:tcBorders>
          </w:tcPr>
          <w:p w14:paraId="4D2B6C21">
            <w:pPr>
              <w:autoSpaceDE w:val="0"/>
              <w:autoSpaceDN w:val="0"/>
              <w:adjustRightInd w:val="0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 xml:space="preserve">46.46 ± 49.15 </w:t>
            </w:r>
          </w:p>
        </w:tc>
        <w:tc>
          <w:tcPr>
            <w:tcW w:w="771" w:type="dxa"/>
            <w:tcBorders>
              <w:tl2br w:val="nil"/>
              <w:tr2bl w:val="nil"/>
            </w:tcBorders>
          </w:tcPr>
          <w:p w14:paraId="211B2FB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0.474</w:t>
            </w:r>
          </w:p>
        </w:tc>
        <w:tc>
          <w:tcPr>
            <w:tcW w:w="2579" w:type="dxa"/>
            <w:tcBorders>
              <w:tl2br w:val="nil"/>
              <w:tr2bl w:val="nil"/>
            </w:tcBorders>
          </w:tcPr>
          <w:p w14:paraId="6D02AB4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0.9083</w:t>
            </w:r>
          </w:p>
        </w:tc>
        <w:tc>
          <w:tcPr>
            <w:tcW w:w="1141" w:type="dxa"/>
            <w:tcBorders>
              <w:tl2br w:val="nil"/>
              <w:tr2bl w:val="nil"/>
            </w:tcBorders>
          </w:tcPr>
          <w:p w14:paraId="0DF2949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0.3406</w:t>
            </w:r>
          </w:p>
        </w:tc>
      </w:tr>
      <w:tr w14:paraId="72F0A9A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tcBorders>
              <w:tl2br w:val="nil"/>
              <w:tr2bl w:val="nil"/>
            </w:tcBorders>
          </w:tcPr>
          <w:p w14:paraId="1404FA2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ALP (U/L)</w:t>
            </w:r>
          </w:p>
        </w:tc>
        <w:tc>
          <w:tcPr>
            <w:tcW w:w="1101" w:type="dxa"/>
            <w:tcBorders>
              <w:tl2br w:val="nil"/>
              <w:tr2bl w:val="nil"/>
            </w:tcBorders>
          </w:tcPr>
          <w:p w14:paraId="6EA2A6D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98/98</w:t>
            </w:r>
          </w:p>
        </w:tc>
        <w:tc>
          <w:tcPr>
            <w:tcW w:w="1409" w:type="dxa"/>
            <w:tcBorders>
              <w:tl2br w:val="nil"/>
              <w:tr2bl w:val="nil"/>
            </w:tcBorders>
          </w:tcPr>
          <w:p w14:paraId="1E391DFC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 xml:space="preserve">90.50 ± 73.75 </w:t>
            </w:r>
          </w:p>
        </w:tc>
        <w:tc>
          <w:tcPr>
            <w:tcW w:w="771" w:type="dxa"/>
            <w:tcBorders>
              <w:tl2br w:val="nil"/>
              <w:tr2bl w:val="nil"/>
            </w:tcBorders>
          </w:tcPr>
          <w:p w14:paraId="1088936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0.595</w:t>
            </w:r>
          </w:p>
        </w:tc>
        <w:tc>
          <w:tcPr>
            <w:tcW w:w="2579" w:type="dxa"/>
            <w:tcBorders>
              <w:tl2br w:val="nil"/>
              <w:tr2bl w:val="nil"/>
            </w:tcBorders>
          </w:tcPr>
          <w:p w14:paraId="7F4E6FF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6.813</w:t>
            </w:r>
          </w:p>
        </w:tc>
        <w:tc>
          <w:tcPr>
            <w:tcW w:w="1141" w:type="dxa"/>
            <w:tcBorders>
              <w:tl2br w:val="nil"/>
              <w:tr2bl w:val="nil"/>
            </w:tcBorders>
          </w:tcPr>
          <w:p w14:paraId="422FD5A6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0.0091**</w:t>
            </w:r>
          </w:p>
        </w:tc>
      </w:tr>
      <w:tr w14:paraId="69F6A1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tcBorders>
              <w:tl2br w:val="nil"/>
              <w:tr2bl w:val="nil"/>
            </w:tcBorders>
          </w:tcPr>
          <w:p w14:paraId="1F2F8CA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LDH (U/L)</w:t>
            </w:r>
          </w:p>
        </w:tc>
        <w:tc>
          <w:tcPr>
            <w:tcW w:w="1101" w:type="dxa"/>
            <w:tcBorders>
              <w:tl2br w:val="nil"/>
              <w:tr2bl w:val="nil"/>
            </w:tcBorders>
          </w:tcPr>
          <w:p w14:paraId="4147FF23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98/98</w:t>
            </w:r>
          </w:p>
        </w:tc>
        <w:tc>
          <w:tcPr>
            <w:tcW w:w="1409" w:type="dxa"/>
            <w:tcBorders>
              <w:tl2br w:val="nil"/>
              <w:tr2bl w:val="nil"/>
            </w:tcBorders>
          </w:tcPr>
          <w:p w14:paraId="0EE356C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 xml:space="preserve">563.13 ± 1730.66 </w:t>
            </w:r>
          </w:p>
        </w:tc>
        <w:tc>
          <w:tcPr>
            <w:tcW w:w="771" w:type="dxa"/>
            <w:tcBorders>
              <w:tl2br w:val="nil"/>
              <w:tr2bl w:val="nil"/>
            </w:tcBorders>
          </w:tcPr>
          <w:p w14:paraId="17ACEC7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0.644</w:t>
            </w:r>
          </w:p>
        </w:tc>
        <w:tc>
          <w:tcPr>
            <w:tcW w:w="2579" w:type="dxa"/>
            <w:tcBorders>
              <w:tl2br w:val="nil"/>
              <w:tr2bl w:val="nil"/>
            </w:tcBorders>
          </w:tcPr>
          <w:p w14:paraId="5A2AB42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18.99</w:t>
            </w:r>
          </w:p>
        </w:tc>
        <w:tc>
          <w:tcPr>
            <w:tcW w:w="1141" w:type="dxa"/>
            <w:tcBorders>
              <w:tl2br w:val="nil"/>
              <w:tr2bl w:val="nil"/>
            </w:tcBorders>
          </w:tcPr>
          <w:p w14:paraId="2FEC651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bCs/>
                <w:color w:val="1F1F1F"/>
                <w:kern w:val="0"/>
                <w:sz w:val="18"/>
                <w:szCs w:val="18"/>
              </w:rPr>
              <w:t>＜</w:t>
            </w: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0.0001**</w:t>
            </w:r>
          </w:p>
        </w:tc>
      </w:tr>
      <w:tr w14:paraId="686F36F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tcBorders>
              <w:tl2br w:val="nil"/>
              <w:tr2bl w:val="nil"/>
            </w:tcBorders>
          </w:tcPr>
          <w:p w14:paraId="3567DD6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宋体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β₂-MG</w:t>
            </w:r>
            <w:r>
              <w:rPr>
                <w:rFonts w:hint="eastAsia" w:ascii="Times New Roman" w:hAnsi="Times New Roman" w:eastAsia="宋体" w:cs="Times New Roman"/>
                <w:bCs/>
                <w:color w:val="1F1F1F"/>
                <w:kern w:val="0"/>
                <w:sz w:val="18"/>
                <w:szCs w:val="18"/>
              </w:rPr>
              <w:t>(mg/L)</w:t>
            </w:r>
          </w:p>
        </w:tc>
        <w:tc>
          <w:tcPr>
            <w:tcW w:w="1101" w:type="dxa"/>
            <w:tcBorders>
              <w:tl2br w:val="nil"/>
              <w:tr2bl w:val="nil"/>
            </w:tcBorders>
          </w:tcPr>
          <w:p w14:paraId="77031D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92/98</w:t>
            </w:r>
          </w:p>
        </w:tc>
        <w:tc>
          <w:tcPr>
            <w:tcW w:w="1409" w:type="dxa"/>
            <w:tcBorders>
              <w:tl2br w:val="nil"/>
              <w:tr2bl w:val="nil"/>
            </w:tcBorders>
          </w:tcPr>
          <w:p w14:paraId="7B52CB2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3.01±1.66</w:t>
            </w:r>
          </w:p>
        </w:tc>
        <w:tc>
          <w:tcPr>
            <w:tcW w:w="771" w:type="dxa"/>
            <w:tcBorders>
              <w:tl2br w:val="nil"/>
              <w:tr2bl w:val="nil"/>
            </w:tcBorders>
          </w:tcPr>
          <w:p w14:paraId="01E5071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0.641</w:t>
            </w:r>
          </w:p>
        </w:tc>
        <w:tc>
          <w:tcPr>
            <w:tcW w:w="2579" w:type="dxa"/>
            <w:tcBorders>
              <w:tl2br w:val="nil"/>
              <w:tr2bl w:val="nil"/>
            </w:tcBorders>
          </w:tcPr>
          <w:p w14:paraId="3CF4D2A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6.835</w:t>
            </w:r>
          </w:p>
        </w:tc>
        <w:tc>
          <w:tcPr>
            <w:tcW w:w="1141" w:type="dxa"/>
            <w:tcBorders>
              <w:tl2br w:val="nil"/>
              <w:tr2bl w:val="nil"/>
            </w:tcBorders>
          </w:tcPr>
          <w:p w14:paraId="2D57CE1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0.0089**</w:t>
            </w:r>
          </w:p>
        </w:tc>
      </w:tr>
      <w:tr w14:paraId="239AD03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8" w:type="dxa"/>
            <w:tcBorders>
              <w:tl2br w:val="nil"/>
              <w:tr2bl w:val="nil"/>
            </w:tcBorders>
          </w:tcPr>
          <w:p w14:paraId="2BDE9A5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Ferritin (ng/mL)</w:t>
            </w:r>
          </w:p>
        </w:tc>
        <w:tc>
          <w:tcPr>
            <w:tcW w:w="1101" w:type="dxa"/>
            <w:tcBorders>
              <w:tl2br w:val="nil"/>
              <w:tr2bl w:val="nil"/>
            </w:tcBorders>
          </w:tcPr>
          <w:p w14:paraId="5144707A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92/98</w:t>
            </w:r>
          </w:p>
        </w:tc>
        <w:tc>
          <w:tcPr>
            <w:tcW w:w="1409" w:type="dxa"/>
            <w:tcBorders>
              <w:tl2br w:val="nil"/>
              <w:tr2bl w:val="nil"/>
            </w:tcBorders>
            <w:vAlign w:val="center"/>
          </w:tcPr>
          <w:p w14:paraId="1A43DDC9">
            <w:pPr>
              <w:textAlignment w:val="center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408.08±395.85</w:t>
            </w:r>
          </w:p>
        </w:tc>
        <w:tc>
          <w:tcPr>
            <w:tcW w:w="771" w:type="dxa"/>
            <w:tcBorders>
              <w:tl2br w:val="nil"/>
              <w:tr2bl w:val="nil"/>
            </w:tcBorders>
          </w:tcPr>
          <w:p w14:paraId="61364E5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0.542</w:t>
            </w:r>
          </w:p>
        </w:tc>
        <w:tc>
          <w:tcPr>
            <w:tcW w:w="2579" w:type="dxa"/>
            <w:tcBorders>
              <w:tl2br w:val="nil"/>
              <w:tr2bl w:val="nil"/>
            </w:tcBorders>
          </w:tcPr>
          <w:p w14:paraId="40AF752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2.946</w:t>
            </w:r>
          </w:p>
        </w:tc>
        <w:tc>
          <w:tcPr>
            <w:tcW w:w="1141" w:type="dxa"/>
            <w:tcBorders>
              <w:tl2br w:val="nil"/>
              <w:tr2bl w:val="nil"/>
            </w:tcBorders>
          </w:tcPr>
          <w:p w14:paraId="2F37FB9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0.0861</w:t>
            </w:r>
          </w:p>
        </w:tc>
      </w:tr>
      <w:tr w14:paraId="56CA1AE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38" w:type="dxa"/>
            <w:tcBorders>
              <w:tl2br w:val="nil"/>
              <w:tr2bl w:val="nil"/>
            </w:tcBorders>
          </w:tcPr>
          <w:p w14:paraId="73B56D6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AFP (</w:t>
            </w:r>
            <w:r>
              <w:rPr>
                <w:rFonts w:hint="eastAsia" w:ascii="Times New Roman" w:hAnsi="Times New Roman" w:eastAsia="宋体" w:cs="Times New Roman"/>
                <w:bCs/>
                <w:color w:val="1F1F1F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g/</w:t>
            </w:r>
            <w:r>
              <w:rPr>
                <w:rFonts w:hint="eastAsia" w:ascii="Times New Roman" w:hAnsi="Times New Roman" w:eastAsia="宋体" w:cs="Times New Roman"/>
                <w:bCs/>
                <w:color w:val="1F1F1F"/>
                <w:kern w:val="0"/>
                <w:sz w:val="18"/>
                <w:szCs w:val="18"/>
              </w:rPr>
              <w:t>m</w:t>
            </w: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L)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3D168051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96/98</w:t>
            </w:r>
          </w:p>
        </w:tc>
        <w:tc>
          <w:tcPr>
            <w:tcW w:w="1409" w:type="dxa"/>
            <w:tcBorders>
              <w:tl2br w:val="nil"/>
              <w:tr2bl w:val="nil"/>
            </w:tcBorders>
          </w:tcPr>
          <w:p w14:paraId="0A26334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2.85±1.56</w:t>
            </w:r>
          </w:p>
        </w:tc>
        <w:tc>
          <w:tcPr>
            <w:tcW w:w="771" w:type="dxa"/>
            <w:tcBorders>
              <w:tl2br w:val="nil"/>
              <w:tr2bl w:val="nil"/>
            </w:tcBorders>
          </w:tcPr>
          <w:p w14:paraId="2FE2EA5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0.474</w:t>
            </w:r>
          </w:p>
        </w:tc>
        <w:tc>
          <w:tcPr>
            <w:tcW w:w="2579" w:type="dxa"/>
            <w:tcBorders>
              <w:tl2br w:val="nil"/>
              <w:tr2bl w:val="nil"/>
            </w:tcBorders>
          </w:tcPr>
          <w:p w14:paraId="11E5F714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1.713</w:t>
            </w:r>
          </w:p>
        </w:tc>
        <w:tc>
          <w:tcPr>
            <w:tcW w:w="1141" w:type="dxa"/>
            <w:tcBorders>
              <w:tl2br w:val="nil"/>
              <w:tr2bl w:val="nil"/>
            </w:tcBorders>
          </w:tcPr>
          <w:p w14:paraId="130E9A72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0.1960</w:t>
            </w:r>
          </w:p>
        </w:tc>
      </w:tr>
      <w:tr w14:paraId="4A9E8B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38" w:type="dxa"/>
            <w:tcBorders>
              <w:tl2br w:val="nil"/>
              <w:tr2bl w:val="nil"/>
            </w:tcBorders>
          </w:tcPr>
          <w:p w14:paraId="17B445C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CEA (</w:t>
            </w:r>
            <w:r>
              <w:rPr>
                <w:rFonts w:hint="eastAsia" w:ascii="Times New Roman" w:hAnsi="Times New Roman" w:eastAsia="宋体" w:cs="Times New Roman"/>
                <w:bCs/>
                <w:color w:val="1F1F1F"/>
                <w:kern w:val="0"/>
                <w:sz w:val="18"/>
                <w:szCs w:val="18"/>
              </w:rPr>
              <w:t>n</w:t>
            </w: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g/</w:t>
            </w:r>
            <w:r>
              <w:rPr>
                <w:rFonts w:hint="eastAsia" w:ascii="Times New Roman" w:hAnsi="Times New Roman" w:eastAsia="宋体" w:cs="Times New Roman"/>
                <w:bCs/>
                <w:color w:val="1F1F1F"/>
                <w:kern w:val="0"/>
                <w:sz w:val="18"/>
                <w:szCs w:val="18"/>
              </w:rPr>
              <w:t>m</w:t>
            </w: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L)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3B7A9DD0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97/98</w:t>
            </w:r>
          </w:p>
        </w:tc>
        <w:tc>
          <w:tcPr>
            <w:tcW w:w="1409" w:type="dxa"/>
            <w:tcBorders>
              <w:tl2br w:val="nil"/>
              <w:tr2bl w:val="nil"/>
            </w:tcBorders>
          </w:tcPr>
          <w:p w14:paraId="61EDE14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2.50±2.03</w:t>
            </w:r>
          </w:p>
        </w:tc>
        <w:tc>
          <w:tcPr>
            <w:tcW w:w="771" w:type="dxa"/>
            <w:tcBorders>
              <w:tl2br w:val="nil"/>
              <w:tr2bl w:val="nil"/>
            </w:tcBorders>
          </w:tcPr>
          <w:p w14:paraId="4CEC3D8F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0.573</w:t>
            </w:r>
          </w:p>
        </w:tc>
        <w:tc>
          <w:tcPr>
            <w:tcW w:w="2579" w:type="dxa"/>
            <w:tcBorders>
              <w:tl2br w:val="nil"/>
              <w:tr2bl w:val="nil"/>
            </w:tcBorders>
          </w:tcPr>
          <w:p w14:paraId="5D3BED97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3.128</w:t>
            </w:r>
          </w:p>
        </w:tc>
        <w:tc>
          <w:tcPr>
            <w:tcW w:w="1141" w:type="dxa"/>
            <w:tcBorders>
              <w:tl2br w:val="nil"/>
              <w:tr2bl w:val="nil"/>
            </w:tcBorders>
          </w:tcPr>
          <w:p w14:paraId="6290642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0.0729</w:t>
            </w:r>
          </w:p>
        </w:tc>
      </w:tr>
      <w:tr w14:paraId="0086321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38" w:type="dxa"/>
            <w:tcBorders>
              <w:tl2br w:val="nil"/>
              <w:tr2bl w:val="nil"/>
            </w:tcBorders>
          </w:tcPr>
          <w:p w14:paraId="0F1031DB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Ki-67(%)</w:t>
            </w:r>
          </w:p>
        </w:tc>
        <w:tc>
          <w:tcPr>
            <w:tcW w:w="1101" w:type="dxa"/>
            <w:tcBorders>
              <w:tl2br w:val="nil"/>
              <w:tr2bl w:val="nil"/>
            </w:tcBorders>
            <w:vAlign w:val="center"/>
          </w:tcPr>
          <w:p w14:paraId="7D48BD25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89/98</w:t>
            </w:r>
          </w:p>
        </w:tc>
        <w:tc>
          <w:tcPr>
            <w:tcW w:w="1409" w:type="dxa"/>
            <w:tcBorders>
              <w:tl2br w:val="nil"/>
              <w:tr2bl w:val="nil"/>
            </w:tcBorders>
          </w:tcPr>
          <w:p w14:paraId="6EE3C16E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73.99±15.43</w:t>
            </w:r>
          </w:p>
        </w:tc>
        <w:tc>
          <w:tcPr>
            <w:tcW w:w="771" w:type="dxa"/>
            <w:tcBorders>
              <w:tl2br w:val="nil"/>
              <w:tr2bl w:val="nil"/>
            </w:tcBorders>
          </w:tcPr>
          <w:p w14:paraId="6440082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宋体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0.507</w:t>
            </w:r>
          </w:p>
        </w:tc>
        <w:tc>
          <w:tcPr>
            <w:tcW w:w="2579" w:type="dxa"/>
            <w:tcBorders>
              <w:tl2br w:val="nil"/>
              <w:tr2bl w:val="nil"/>
            </w:tcBorders>
          </w:tcPr>
          <w:p w14:paraId="2DFDDDB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0.428</w:t>
            </w:r>
          </w:p>
        </w:tc>
        <w:tc>
          <w:tcPr>
            <w:tcW w:w="1141" w:type="dxa"/>
            <w:tcBorders>
              <w:tl2br w:val="nil"/>
              <w:tr2bl w:val="nil"/>
            </w:tcBorders>
          </w:tcPr>
          <w:p w14:paraId="24E48E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Georgia" w:cs="Times New Roman"/>
                <w:bCs/>
                <w:color w:val="1F1F1F"/>
                <w:kern w:val="0"/>
                <w:sz w:val="18"/>
                <w:szCs w:val="18"/>
              </w:rPr>
              <w:t>0.513</w:t>
            </w:r>
          </w:p>
        </w:tc>
      </w:tr>
    </w:tbl>
    <w:p w14:paraId="575A535A">
      <w:pPr>
        <w:rPr>
          <w:rFonts w:hint="eastAsia" w:ascii="Times New Roman" w:hAnsi="Times New Roman" w:eastAsia="Georgia"/>
          <w:color w:val="1F1F1F"/>
          <w:szCs w:val="21"/>
          <w:lang w:val="en-US" w:eastAsia="zh-CN"/>
        </w:rPr>
      </w:pPr>
      <w:r>
        <w:rPr>
          <w:rFonts w:ascii="Times New Roman" w:hAnsi="Times New Roman" w:eastAsia="Georgia"/>
          <w:color w:val="1F1F1F"/>
          <w:szCs w:val="21"/>
        </w:rPr>
        <w:t>Note: Total immunoglobulin E antibody IgEAb, interleukin-6 IL-6, lactate dehydrogenase LDH, alkaline phosphatase A</w:t>
      </w:r>
      <w:r>
        <w:rPr>
          <w:rFonts w:hint="eastAsia" w:ascii="Times New Roman" w:hAnsi="Times New Roman" w:eastAsia="Georgia"/>
          <w:color w:val="1F1F1F"/>
          <w:szCs w:val="21"/>
        </w:rPr>
        <w:t>L</w:t>
      </w:r>
      <w:r>
        <w:rPr>
          <w:rFonts w:ascii="Times New Roman" w:hAnsi="Times New Roman" w:eastAsia="Georgia"/>
          <w:color w:val="1F1F1F"/>
          <w:szCs w:val="21"/>
        </w:rPr>
        <w:t>P, ferritin, β</w:t>
      </w:r>
      <w:r>
        <w:rPr>
          <w:rFonts w:ascii="Cambria Math" w:hAnsi="Cambria Math" w:eastAsia="Georgia" w:cs="Cambria Math"/>
          <w:color w:val="1F1F1F"/>
          <w:szCs w:val="21"/>
        </w:rPr>
        <w:t>₂</w:t>
      </w:r>
      <w:r>
        <w:rPr>
          <w:rFonts w:hint="eastAsia" w:ascii="Times New Roman" w:hAnsi="Times New Roman"/>
          <w:color w:val="1F1F1F"/>
          <w:szCs w:val="21"/>
        </w:rPr>
        <w:t xml:space="preserve">-microglobulin </w:t>
      </w:r>
      <w:r>
        <w:rPr>
          <w:rFonts w:ascii="Times New Roman" w:hAnsi="Times New Roman" w:eastAsia="Georgia"/>
          <w:color w:val="1F1F1F"/>
          <w:szCs w:val="21"/>
        </w:rPr>
        <w:t>β</w:t>
      </w:r>
      <w:r>
        <w:rPr>
          <w:rFonts w:ascii="Cambria Math" w:hAnsi="Cambria Math" w:eastAsia="Georgia" w:cs="Cambria Math"/>
          <w:color w:val="1F1F1F"/>
          <w:szCs w:val="21"/>
        </w:rPr>
        <w:t>₂</w:t>
      </w:r>
      <w:r>
        <w:rPr>
          <w:rFonts w:hint="eastAsia" w:ascii="Times New Roman" w:hAnsi="Times New Roman" w:eastAsia="Georgia"/>
          <w:color w:val="1F1F1F"/>
          <w:szCs w:val="21"/>
        </w:rPr>
        <w:t xml:space="preserve">-MG, </w:t>
      </w:r>
      <w:r>
        <w:rPr>
          <w:rFonts w:hint="eastAsia" w:ascii="Times New Roman" w:hAnsi="Times New Roman"/>
          <w:color w:val="1F1F1F"/>
          <w:szCs w:val="21"/>
        </w:rPr>
        <w:t xml:space="preserve">carcinoembryonic antigen </w:t>
      </w:r>
      <w:r>
        <w:rPr>
          <w:rFonts w:hint="eastAsia" w:ascii="Times New Roman" w:hAnsi="Times New Roman" w:eastAsia="Georgia"/>
          <w:color w:val="1F1F1F"/>
          <w:szCs w:val="21"/>
        </w:rPr>
        <w:t>CEA</w:t>
      </w:r>
      <w:r>
        <w:rPr>
          <w:rFonts w:ascii="Times New Roman" w:hAnsi="Times New Roman" w:eastAsia="Georgia"/>
          <w:color w:val="1F1F1F"/>
          <w:szCs w:val="21"/>
        </w:rPr>
        <w:t>, alpha-fetoprotein AFP,</w:t>
      </w:r>
      <w:r>
        <w:rPr>
          <w:rFonts w:hint="eastAsia" w:ascii="Times New Roman" w:hAnsi="Times New Roman" w:eastAsia="Georgia"/>
          <w:color w:val="1F1F1F"/>
          <w:szCs w:val="21"/>
        </w:rPr>
        <w:t xml:space="preserve"> </w:t>
      </w:r>
      <w:r>
        <w:rPr>
          <w:rFonts w:ascii="Times New Roman" w:hAnsi="Times New Roman" w:eastAsia="Georgia"/>
          <w:color w:val="1F1F1F"/>
          <w:szCs w:val="21"/>
        </w:rPr>
        <w:t>A</w:t>
      </w:r>
      <w:r>
        <w:rPr>
          <w:rFonts w:hint="eastAsia" w:ascii="Times New Roman" w:hAnsi="Times New Roman" w:eastAsia="Georgia"/>
          <w:color w:val="1F1F1F"/>
          <w:szCs w:val="21"/>
        </w:rPr>
        <w:t>rea under the ROC curve AUC</w:t>
      </w:r>
      <w:r>
        <w:rPr>
          <w:rFonts w:ascii="Times New Roman" w:hAnsi="Times New Roman" w:eastAsia="Georgia"/>
          <w:color w:val="1F1F1F"/>
          <w:szCs w:val="21"/>
        </w:rPr>
        <w:t>.</w:t>
      </w:r>
      <w:r>
        <w:rPr>
          <w:rFonts w:hint="eastAsia" w:ascii="Times New Roman" w:hAnsi="Times New Roman" w:eastAsia="Georgia"/>
          <w:color w:val="1F1F1F"/>
          <w:szCs w:val="21"/>
        </w:rPr>
        <w:t>The areas under the curve (AUC) of each indicator for predicting 5-year OS were as follows: LDH, 0.644 (95% CI 0.502 to 0.785), IL-6, 0.474(95% CI 0.331 to 0.617), ferritin, 0.542 (95% CI 0.413 to 0.670), β₂-MG, 0.641 (95% CI 0.517 to 0.764), ALP, 0.595 (95% CI 0.473 to 0.716), Ki-67, 0.507 (95% CI 0.355 to 0.658), total IgEAb, 0.484 (95% CI 0.333 to 0.635), CEA, 0.573 (95% CI 0.441 to 0.706), AFP, 0.474 (95% CI 0.348 to 0.601) respectively</w:t>
      </w:r>
      <w:r>
        <w:rPr>
          <w:rFonts w:hint="eastAsia" w:ascii="Times New Roman" w:hAnsi="Times New Roman" w:eastAsia="Georgia"/>
          <w:color w:val="1F1F1F"/>
          <w:szCs w:val="21"/>
          <w:lang w:val="en-US" w:eastAsia="zh-CN"/>
        </w:rPr>
        <w:t>.</w:t>
      </w:r>
    </w:p>
    <w:p w14:paraId="780A1DD1"/>
    <w:p w14:paraId="4F8C84A2">
      <w:pPr>
        <w:rPr>
          <w:b/>
        </w:rPr>
      </w:pPr>
      <w:r>
        <w:rPr>
          <w:b/>
        </w:rPr>
        <w:drawing>
          <wp:inline distT="0" distB="0" distL="0" distR="0">
            <wp:extent cx="4518660" cy="6259195"/>
            <wp:effectExtent l="0" t="0" r="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625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FECFD0">
      <w:pPr>
        <w:rPr>
          <w:rFonts w:hint="eastAsia" w:ascii="Times New Roman" w:hAnsi="Times New Roman"/>
          <w:b/>
          <w:bCs/>
          <w:color w:val="1F1F1F"/>
          <w:szCs w:val="21"/>
        </w:rPr>
      </w:pPr>
      <w:r>
        <w:rPr>
          <w:rFonts w:hint="eastAsia" w:ascii="Times New Roman" w:hAnsi="Times New Roman"/>
          <w:b/>
          <w:bCs/>
          <w:color w:val="1F1F1F"/>
          <w:szCs w:val="21"/>
        </w:rPr>
        <w:t xml:space="preserve">Figure </w:t>
      </w:r>
      <w:r>
        <w:rPr>
          <w:rFonts w:hint="eastAsia" w:ascii="Times New Roman" w:hAnsi="Times New Roman"/>
          <w:b/>
          <w:bCs/>
          <w:color w:val="1F1F1F"/>
          <w:szCs w:val="21"/>
          <w:lang w:val="en-US" w:eastAsia="zh-CN"/>
        </w:rPr>
        <w:t>S1</w:t>
      </w:r>
      <w:r>
        <w:rPr>
          <w:rFonts w:hint="eastAsia" w:ascii="Times New Roman" w:hAnsi="Times New Roman"/>
          <w:b/>
          <w:bCs/>
          <w:color w:val="1F1F1F"/>
          <w:szCs w:val="21"/>
        </w:rPr>
        <w:t>. The distribution of Initial visiting department and Primary site.</w:t>
      </w:r>
    </w:p>
    <w:p w14:paraId="2480AAF4">
      <w:pPr>
        <w:rPr>
          <w:rFonts w:hint="eastAsia" w:ascii="Times New Roman" w:hAnsi="Times New Roman"/>
          <w:color w:val="1F1F1F"/>
          <w:szCs w:val="21"/>
        </w:rPr>
      </w:pPr>
    </w:p>
    <w:p w14:paraId="080D0109">
      <w:pPr>
        <w:rPr>
          <w:rFonts w:ascii="Times New Roman" w:hAnsi="Times New Roman" w:eastAsia="Georgia"/>
          <w:color w:val="1F1F1F"/>
          <w:szCs w:val="21"/>
        </w:rPr>
      </w:pPr>
      <w:r>
        <w:rPr>
          <w:rFonts w:ascii="Times New Roman" w:hAnsi="Times New Roman" w:eastAsia="Georgia"/>
          <w:color w:val="1F1F1F"/>
          <w:szCs w:val="21"/>
        </w:rPr>
        <w:drawing>
          <wp:inline distT="0" distB="0" distL="0" distR="0">
            <wp:extent cx="5270500" cy="684085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840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C445F8">
      <w:pPr>
        <w:rPr>
          <w:rFonts w:ascii="Times New Roman" w:hAnsi="Times New Roman" w:eastAsia="Georgia"/>
          <w:b/>
          <w:bCs/>
          <w:color w:val="1F1F1F"/>
          <w:szCs w:val="21"/>
        </w:rPr>
      </w:pPr>
      <w:r>
        <w:rPr>
          <w:rFonts w:hint="eastAsia" w:ascii="Times New Roman" w:hAnsi="Times New Roman" w:eastAsia="Georgia"/>
          <w:b/>
          <w:bCs/>
          <w:color w:val="1F1F1F"/>
          <w:szCs w:val="21"/>
        </w:rPr>
        <w:t>F</w:t>
      </w:r>
      <w:r>
        <w:rPr>
          <w:rFonts w:ascii="Times New Roman" w:hAnsi="Times New Roman" w:eastAsia="Georgia"/>
          <w:b/>
          <w:bCs/>
          <w:color w:val="1F1F1F"/>
          <w:szCs w:val="21"/>
        </w:rPr>
        <w:t xml:space="preserve">igure </w:t>
      </w:r>
      <w:r>
        <w:rPr>
          <w:rFonts w:hint="eastAsia" w:ascii="Times New Roman" w:hAnsi="Times New Roman" w:eastAsia="宋体"/>
          <w:b/>
          <w:bCs/>
          <w:color w:val="1F1F1F"/>
          <w:szCs w:val="21"/>
          <w:lang w:val="en-US" w:eastAsia="zh-CN"/>
        </w:rPr>
        <w:t>S2</w:t>
      </w:r>
      <w:r>
        <w:rPr>
          <w:rFonts w:ascii="Times New Roman" w:hAnsi="Times New Roman" w:eastAsia="Georgia"/>
          <w:color w:val="1F1F1F"/>
          <w:szCs w:val="21"/>
        </w:rPr>
        <w:t xml:space="preserve">. </w:t>
      </w:r>
      <w:r>
        <w:rPr>
          <w:rFonts w:hint="eastAsia" w:ascii="Times New Roman" w:hAnsi="Times New Roman" w:eastAsia="宋体"/>
          <w:b/>
          <w:bCs/>
          <w:color w:val="1F1F1F"/>
          <w:szCs w:val="21"/>
        </w:rPr>
        <w:t xml:space="preserve">A </w:t>
      </w:r>
      <w:r>
        <w:rPr>
          <w:rFonts w:ascii="Times New Roman" w:hAnsi="Times New Roman" w:eastAsia="Georgia"/>
          <w:b/>
          <w:bCs/>
          <w:color w:val="1F1F1F"/>
          <w:szCs w:val="21"/>
        </w:rPr>
        <w:t xml:space="preserve">Univariate analysis of </w:t>
      </w:r>
      <w:r>
        <w:rPr>
          <w:rFonts w:hint="eastAsia" w:ascii="Times New Roman" w:hAnsi="Times New Roman" w:eastAsia="宋体"/>
          <w:b/>
          <w:bCs/>
          <w:color w:val="1F1F1F"/>
          <w:szCs w:val="21"/>
        </w:rPr>
        <w:t xml:space="preserve">5-year </w:t>
      </w:r>
      <w:r>
        <w:rPr>
          <w:rFonts w:ascii="Times New Roman" w:hAnsi="Times New Roman" w:eastAsia="Georgia"/>
          <w:b/>
          <w:bCs/>
          <w:color w:val="1F1F1F"/>
          <w:szCs w:val="21"/>
        </w:rPr>
        <w:t>overall survival (OS) in patients with DLBCL.</w:t>
      </w:r>
    </w:p>
    <w:p w14:paraId="3CFF2B86">
      <w:pPr>
        <w:rPr>
          <w:rFonts w:eastAsia="宋体"/>
          <w:b/>
        </w:rPr>
      </w:pPr>
      <w:r>
        <w:rPr>
          <w:rFonts w:ascii="Times New Roman" w:hAnsi="Times New Roman" w:eastAsia="Georgia"/>
          <w:color w:val="1F1F1F"/>
          <w:szCs w:val="21"/>
        </w:rPr>
        <w:t>Kaplan-Meier survival curves showing OS stratified by key clinical parameters: (A) Primary site, (B)</w:t>
      </w:r>
      <w:r>
        <w:rPr>
          <w:rFonts w:hint="eastAsia" w:ascii="Times New Roman" w:hAnsi="Times New Roman" w:eastAsia="宋体"/>
          <w:color w:val="1F1F1F"/>
          <w:szCs w:val="21"/>
        </w:rPr>
        <w:t xml:space="preserve"> The </w:t>
      </w:r>
      <w:r>
        <w:rPr>
          <w:rFonts w:ascii="Times New Roman" w:hAnsi="Times New Roman" w:eastAsia="Georgia"/>
          <w:color w:val="1F1F1F"/>
          <w:szCs w:val="21"/>
        </w:rPr>
        <w:t>overall survival (OS)</w:t>
      </w:r>
      <w:r>
        <w:rPr>
          <w:rFonts w:hint="eastAsia" w:ascii="Times New Roman" w:hAnsi="Times New Roman" w:eastAsia="宋体"/>
          <w:color w:val="1F1F1F"/>
          <w:szCs w:val="21"/>
        </w:rPr>
        <w:t xml:space="preserve"> of 5-years. </w:t>
      </w:r>
      <w:r>
        <w:rPr>
          <w:rFonts w:ascii="Times New Roman" w:hAnsi="Times New Roman" w:eastAsia="Georgia"/>
          <w:color w:val="1F1F1F"/>
          <w:szCs w:val="21"/>
        </w:rPr>
        <w:t>(C) Treatment. Log-rank P-values are indicated on each panel. Patients with kidney</w:t>
      </w:r>
      <w:r>
        <w:rPr>
          <w:rFonts w:ascii="Cambria Math" w:hAnsi="Cambria Math" w:eastAsia="Georgia" w:cs="Cambria Math"/>
          <w:color w:val="1F1F1F"/>
          <w:szCs w:val="21"/>
        </w:rPr>
        <w:t>‑</w:t>
      </w:r>
      <w:r>
        <w:rPr>
          <w:rFonts w:ascii="Times New Roman" w:hAnsi="Times New Roman" w:eastAsia="Georgia"/>
          <w:color w:val="1F1F1F"/>
          <w:szCs w:val="21"/>
        </w:rPr>
        <w:t>adrenal gland, lung, bone</w:t>
      </w:r>
      <w:r>
        <w:rPr>
          <w:rFonts w:ascii="Cambria Math" w:hAnsi="Cambria Math" w:eastAsia="Georgia" w:cs="Cambria Math"/>
          <w:color w:val="1F1F1F"/>
          <w:szCs w:val="21"/>
        </w:rPr>
        <w:t>‑</w:t>
      </w:r>
      <w:r>
        <w:rPr>
          <w:rFonts w:ascii="Times New Roman" w:hAnsi="Times New Roman" w:eastAsia="Georgia"/>
          <w:color w:val="1F1F1F"/>
          <w:szCs w:val="21"/>
        </w:rPr>
        <w:t>marrow</w:t>
      </w:r>
      <w:r>
        <w:rPr>
          <w:rFonts w:ascii="Cambria Math" w:hAnsi="Cambria Math" w:eastAsia="Georgia" w:cs="Cambria Math"/>
          <w:color w:val="1F1F1F"/>
          <w:szCs w:val="21"/>
        </w:rPr>
        <w:t>‑</w:t>
      </w:r>
      <w:r>
        <w:rPr>
          <w:rFonts w:ascii="Times New Roman" w:hAnsi="Times New Roman" w:eastAsia="Georgia"/>
          <w:color w:val="1F1F1F"/>
          <w:szCs w:val="21"/>
        </w:rPr>
        <w:t>origin DLBCL exhibited significantly associated with inferior OS (</w:t>
      </w:r>
      <w:r>
        <w:rPr>
          <w:rFonts w:hint="eastAsia" w:ascii="Times New Roman" w:hAnsi="Times New Roman" w:eastAsia="宋体"/>
          <w:color w:val="1F1F1F"/>
          <w:szCs w:val="21"/>
        </w:rPr>
        <w:t>**</w:t>
      </w:r>
      <w:r>
        <w:rPr>
          <w:rFonts w:ascii="Times New Roman" w:hAnsi="Times New Roman" w:eastAsia="Georgia"/>
          <w:i/>
          <w:color w:val="1F1F1F"/>
          <w:szCs w:val="21"/>
        </w:rPr>
        <w:t>p</w:t>
      </w:r>
      <w:r>
        <w:rPr>
          <w:rFonts w:ascii="Times New Roman" w:hAnsi="Times New Roman" w:eastAsia="Georgia"/>
          <w:color w:val="1F1F1F"/>
          <w:szCs w:val="21"/>
        </w:rPr>
        <w:t>&lt; 0.05)</w:t>
      </w:r>
      <w:r>
        <w:rPr>
          <w:rFonts w:hint="eastAsia" w:ascii="Times New Roman" w:hAnsi="Times New Roman" w:eastAsia="宋体"/>
          <w:color w:val="1F1F1F"/>
          <w:szCs w:val="21"/>
        </w:rPr>
        <w:t>.</w:t>
      </w:r>
    </w:p>
    <w:p w14:paraId="3E3D3BDD">
      <w:pPr>
        <w:rPr>
          <w:rFonts w:hint="eastAsia" w:ascii="Times New Roman" w:hAnsi="Times New Roman" w:eastAsia="Georgia"/>
          <w:color w:val="1F1F1F"/>
          <w:szCs w:val="21"/>
        </w:rPr>
      </w:pPr>
    </w:p>
    <w:p w14:paraId="4A9A2B51">
      <w:pPr>
        <w:rPr>
          <w:b/>
        </w:rPr>
      </w:pPr>
      <w:r>
        <w:rPr>
          <w:b/>
        </w:rPr>
        <w:drawing>
          <wp:inline distT="0" distB="0" distL="0" distR="0">
            <wp:extent cx="5270500" cy="529272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529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7C894">
      <w:pPr>
        <w:rPr>
          <w:rFonts w:ascii="Times New Roman" w:hAnsi="Times New Roman" w:eastAsia="Georgia"/>
          <w:b/>
          <w:bCs/>
          <w:color w:val="1F1F1F"/>
          <w:szCs w:val="21"/>
        </w:rPr>
      </w:pPr>
      <w:r>
        <w:rPr>
          <w:rFonts w:hint="eastAsia" w:ascii="Times New Roman" w:hAnsi="Times New Roman" w:eastAsia="Georgia"/>
          <w:b/>
          <w:bCs/>
          <w:color w:val="1F1F1F"/>
          <w:szCs w:val="21"/>
        </w:rPr>
        <w:t xml:space="preserve">Figure </w:t>
      </w:r>
      <w:r>
        <w:rPr>
          <w:rFonts w:hint="eastAsia" w:ascii="Times New Roman" w:hAnsi="Times New Roman" w:eastAsia="宋体"/>
          <w:b/>
          <w:bCs/>
          <w:color w:val="1F1F1F"/>
          <w:szCs w:val="21"/>
          <w:lang w:val="en-US" w:eastAsia="zh-CN"/>
        </w:rPr>
        <w:t>S3</w:t>
      </w:r>
      <w:r>
        <w:rPr>
          <w:rFonts w:hint="eastAsia" w:ascii="Times New Roman" w:hAnsi="Times New Roman" w:eastAsia="Georgia"/>
          <w:b/>
          <w:bCs/>
          <w:color w:val="1F1F1F"/>
          <w:szCs w:val="21"/>
        </w:rPr>
        <w:t>.</w:t>
      </w:r>
      <w:r>
        <w:rPr>
          <w:rFonts w:hint="eastAsia" w:ascii="Times New Roman" w:hAnsi="Times New Roman" w:eastAsia="Georgia"/>
          <w:color w:val="1F1F1F"/>
          <w:szCs w:val="21"/>
        </w:rPr>
        <w:t xml:space="preserve"> </w:t>
      </w:r>
      <w:r>
        <w:rPr>
          <w:rFonts w:hint="eastAsia" w:ascii="Times New Roman" w:hAnsi="Times New Roman" w:eastAsia="Georgia"/>
          <w:b/>
          <w:bCs/>
          <w:color w:val="1F1F1F"/>
          <w:szCs w:val="21"/>
        </w:rPr>
        <w:t>Kaplan</w:t>
      </w:r>
      <w:r>
        <w:rPr>
          <w:rFonts w:hint="eastAsia" w:ascii="Times New Roman" w:hAnsi="Times New Roman" w:eastAsia="宋体"/>
          <w:b/>
          <w:bCs/>
          <w:color w:val="1F1F1F"/>
          <w:szCs w:val="21"/>
        </w:rPr>
        <w:t>-</w:t>
      </w:r>
      <w:r>
        <w:rPr>
          <w:rFonts w:hint="eastAsia" w:ascii="Times New Roman" w:hAnsi="Times New Roman" w:eastAsia="Georgia"/>
          <w:b/>
          <w:bCs/>
          <w:color w:val="1F1F1F"/>
          <w:szCs w:val="21"/>
        </w:rPr>
        <w:t>Meier overall survival curves stratified by immunohistochemical markers.</w:t>
      </w:r>
    </w:p>
    <w:p w14:paraId="0F6A8C68">
      <w:pPr>
        <w:rPr>
          <w:rFonts w:hint="eastAsia" w:ascii="Times New Roman" w:hAnsi="Times New Roman" w:eastAsia="宋体"/>
          <w:color w:val="1F1F1F"/>
          <w:szCs w:val="21"/>
        </w:rPr>
      </w:pPr>
      <w:r>
        <w:rPr>
          <w:rFonts w:hint="eastAsia" w:ascii="Times New Roman" w:hAnsi="Times New Roman" w:eastAsia="Georgia"/>
          <w:color w:val="1F1F1F"/>
          <w:szCs w:val="21"/>
        </w:rPr>
        <w:t>(A) Ki</w:t>
      </w:r>
      <w:r>
        <w:rPr>
          <w:rFonts w:hint="eastAsia" w:ascii="Times New Roman" w:hAnsi="Times New Roman" w:eastAsia="宋体"/>
          <w:color w:val="1F1F1F"/>
          <w:szCs w:val="21"/>
        </w:rPr>
        <w:t>-</w:t>
      </w:r>
      <w:r>
        <w:rPr>
          <w:rFonts w:hint="eastAsia" w:ascii="Times New Roman" w:hAnsi="Times New Roman" w:eastAsia="Georgia"/>
          <w:color w:val="1F1F1F"/>
          <w:szCs w:val="21"/>
        </w:rPr>
        <w:t>67 index</w:t>
      </w:r>
      <w:r>
        <w:rPr>
          <w:rFonts w:hint="eastAsia" w:ascii="Times New Roman" w:hAnsi="Times New Roman" w:eastAsia="宋体"/>
          <w:color w:val="1F1F1F"/>
          <w:szCs w:val="21"/>
        </w:rPr>
        <w:t>,</w:t>
      </w:r>
      <w:r>
        <w:rPr>
          <w:rFonts w:hint="eastAsia" w:ascii="Times New Roman" w:hAnsi="Times New Roman" w:eastAsia="Georgia"/>
          <w:color w:val="1F1F1F"/>
          <w:szCs w:val="21"/>
        </w:rPr>
        <w:t xml:space="preserve"> (B) B</w:t>
      </w:r>
      <w:r>
        <w:rPr>
          <w:rFonts w:hint="eastAsia" w:ascii="Times New Roman" w:hAnsi="Times New Roman" w:eastAsia="宋体"/>
          <w:color w:val="1F1F1F"/>
          <w:szCs w:val="21"/>
        </w:rPr>
        <w:t>cl-</w:t>
      </w:r>
      <w:r>
        <w:rPr>
          <w:rFonts w:hint="eastAsia" w:ascii="Times New Roman" w:hAnsi="Times New Roman" w:eastAsia="Georgia"/>
          <w:color w:val="1F1F1F"/>
          <w:szCs w:val="21"/>
        </w:rPr>
        <w:t>6 expression</w:t>
      </w:r>
      <w:r>
        <w:rPr>
          <w:rFonts w:hint="eastAsia" w:ascii="Times New Roman" w:hAnsi="Times New Roman" w:eastAsia="宋体"/>
          <w:color w:val="1F1F1F"/>
          <w:szCs w:val="21"/>
        </w:rPr>
        <w:t>,</w:t>
      </w:r>
      <w:r>
        <w:rPr>
          <w:rFonts w:hint="eastAsia" w:ascii="Times New Roman" w:hAnsi="Times New Roman" w:eastAsia="Georgia"/>
          <w:color w:val="1F1F1F"/>
          <w:szCs w:val="21"/>
        </w:rPr>
        <w:t xml:space="preserve"> (C) B</w:t>
      </w:r>
      <w:r>
        <w:rPr>
          <w:rFonts w:hint="eastAsia" w:ascii="Times New Roman" w:hAnsi="Times New Roman" w:eastAsia="宋体"/>
          <w:color w:val="1F1F1F"/>
          <w:szCs w:val="21"/>
        </w:rPr>
        <w:t>cl-</w:t>
      </w:r>
      <w:r>
        <w:rPr>
          <w:rFonts w:hint="eastAsia" w:ascii="Times New Roman" w:hAnsi="Times New Roman" w:eastAsia="Georgia"/>
          <w:color w:val="1F1F1F"/>
          <w:szCs w:val="21"/>
        </w:rPr>
        <w:t>2 expression</w:t>
      </w:r>
      <w:r>
        <w:rPr>
          <w:rFonts w:hint="eastAsia" w:ascii="Times New Roman" w:hAnsi="Times New Roman" w:eastAsia="宋体"/>
          <w:color w:val="1F1F1F"/>
          <w:szCs w:val="21"/>
        </w:rPr>
        <w:t>,</w:t>
      </w:r>
      <w:r>
        <w:rPr>
          <w:rFonts w:hint="eastAsia" w:ascii="Times New Roman" w:hAnsi="Times New Roman" w:eastAsia="Georgia"/>
          <w:color w:val="1F1F1F"/>
          <w:szCs w:val="21"/>
        </w:rPr>
        <w:t xml:space="preserve"> (D)</w:t>
      </w:r>
      <w:r>
        <w:rPr>
          <w:rFonts w:hint="eastAsia" w:ascii="Times New Roman" w:hAnsi="Times New Roman" w:eastAsia="宋体"/>
          <w:color w:val="1F1F1F"/>
          <w:szCs w:val="21"/>
        </w:rPr>
        <w:t>,</w:t>
      </w:r>
      <w:r>
        <w:rPr>
          <w:rFonts w:hint="eastAsia" w:ascii="Times New Roman" w:hAnsi="Times New Roman" w:eastAsia="Georgia"/>
          <w:color w:val="1F1F1F"/>
          <w:szCs w:val="21"/>
        </w:rPr>
        <w:t xml:space="preserve"> c-Myc expression</w:t>
      </w:r>
      <w:r>
        <w:rPr>
          <w:rFonts w:ascii="Times New Roman" w:hAnsi="Times New Roman" w:eastAsia="Georgia"/>
          <w:color w:val="1F1F1F"/>
          <w:szCs w:val="21"/>
        </w:rPr>
        <w:t>,</w:t>
      </w:r>
      <w:r>
        <w:rPr>
          <w:rFonts w:hint="eastAsia" w:ascii="Times New Roman" w:hAnsi="Times New Roman" w:eastAsia="Georgia"/>
          <w:color w:val="1F1F1F"/>
          <w:szCs w:val="21"/>
        </w:rPr>
        <w:t xml:space="preserve"> (E) MUM1 expression</w:t>
      </w:r>
      <w:r>
        <w:rPr>
          <w:rFonts w:hint="eastAsia" w:ascii="Times New Roman" w:hAnsi="Times New Roman" w:eastAsia="宋体"/>
          <w:color w:val="1F1F1F"/>
          <w:szCs w:val="21"/>
        </w:rPr>
        <w:t>,</w:t>
      </w:r>
      <w:r>
        <w:rPr>
          <w:rFonts w:hint="eastAsia" w:ascii="Times New Roman" w:hAnsi="Times New Roman" w:eastAsia="Georgia"/>
          <w:color w:val="1F1F1F"/>
          <w:szCs w:val="21"/>
        </w:rPr>
        <w:t xml:space="preserve"> (F) CD10 expression. </w:t>
      </w:r>
      <w:r>
        <w:rPr>
          <w:rFonts w:ascii="Times New Roman" w:hAnsi="Times New Roman" w:eastAsia="Georgia"/>
          <w:color w:val="1F1F1F"/>
          <w:szCs w:val="21"/>
        </w:rPr>
        <w:t xml:space="preserve">Log-rank P-values are indicated on each panel. </w:t>
      </w:r>
      <w:r>
        <w:rPr>
          <w:rFonts w:hint="eastAsia" w:ascii="Times New Roman" w:hAnsi="Times New Roman" w:eastAsia="Georgia"/>
          <w:color w:val="1F1F1F"/>
          <w:szCs w:val="21"/>
        </w:rPr>
        <w:t xml:space="preserve">MUM1 </w:t>
      </w:r>
      <w:r>
        <w:rPr>
          <w:rFonts w:hint="eastAsia" w:ascii="Times New Roman" w:hAnsi="Times New Roman" w:eastAsia="宋体"/>
          <w:color w:val="1F1F1F"/>
          <w:szCs w:val="21"/>
        </w:rPr>
        <w:t>positive</w:t>
      </w:r>
      <w:r>
        <w:rPr>
          <w:rFonts w:hint="eastAsia" w:ascii="Times New Roman" w:hAnsi="Times New Roman"/>
          <w:color w:val="1F1F1F"/>
          <w:szCs w:val="21"/>
        </w:rPr>
        <w:t xml:space="preserve"> expression was</w:t>
      </w:r>
      <w:r>
        <w:rPr>
          <w:rFonts w:hint="eastAsia" w:ascii="Times New Roman" w:hAnsi="Times New Roman" w:eastAsia="Georgia"/>
          <w:color w:val="1F1F1F"/>
          <w:szCs w:val="21"/>
        </w:rPr>
        <w:t xml:space="preserve"> </w:t>
      </w:r>
      <w:r>
        <w:rPr>
          <w:rFonts w:hint="eastAsia" w:ascii="Times New Roman" w:hAnsi="Times New Roman"/>
          <w:color w:val="1F1F1F"/>
          <w:szCs w:val="21"/>
        </w:rPr>
        <w:t xml:space="preserve">significantly correlated </w:t>
      </w:r>
      <w:r>
        <w:rPr>
          <w:rFonts w:hint="eastAsia" w:ascii="Times New Roman" w:hAnsi="Times New Roman" w:eastAsia="Georgia"/>
          <w:color w:val="1F1F1F"/>
          <w:szCs w:val="21"/>
        </w:rPr>
        <w:t xml:space="preserve">with inferior </w:t>
      </w:r>
      <w:r>
        <w:rPr>
          <w:rFonts w:hint="eastAsia" w:ascii="Times New Roman" w:hAnsi="Times New Roman"/>
          <w:color w:val="1F1F1F"/>
          <w:szCs w:val="21"/>
        </w:rPr>
        <w:t xml:space="preserve">5-year OS. </w:t>
      </w:r>
      <w:r>
        <w:rPr>
          <w:rFonts w:hint="eastAsia" w:ascii="Times New Roman" w:hAnsi="Times New Roman" w:eastAsia="Georgia"/>
          <w:color w:val="1F1F1F"/>
          <w:szCs w:val="21"/>
        </w:rPr>
        <w:t>CD10</w:t>
      </w:r>
      <w:r>
        <w:rPr>
          <w:rFonts w:hint="eastAsia" w:ascii="Times New Roman" w:hAnsi="Times New Roman"/>
          <w:color w:val="1F1F1F"/>
          <w:szCs w:val="21"/>
        </w:rPr>
        <w:t xml:space="preserve"> expression was associated with</w:t>
      </w:r>
      <w:r>
        <w:rPr>
          <w:rFonts w:hint="eastAsia" w:ascii="Times New Roman" w:hAnsi="Times New Roman" w:eastAsia="Georgia"/>
          <w:color w:val="1F1F1F"/>
          <w:szCs w:val="21"/>
        </w:rPr>
        <w:t xml:space="preserve"> significantly </w:t>
      </w:r>
      <w:r>
        <w:rPr>
          <w:rFonts w:hint="eastAsia" w:ascii="Times New Roman" w:hAnsi="Times New Roman"/>
          <w:color w:val="1F1F1F"/>
          <w:szCs w:val="21"/>
        </w:rPr>
        <w:t xml:space="preserve">favorable long-term </w:t>
      </w:r>
      <w:r>
        <w:rPr>
          <w:rFonts w:hint="eastAsia" w:ascii="Times New Roman" w:hAnsi="Times New Roman" w:eastAsia="Georgia"/>
          <w:color w:val="1F1F1F"/>
          <w:szCs w:val="21"/>
        </w:rPr>
        <w:t>survival outcome</w:t>
      </w:r>
      <w:r>
        <w:rPr>
          <w:rFonts w:hint="eastAsia" w:ascii="Times New Roman" w:hAnsi="Times New Roman" w:eastAsia="宋体"/>
          <w:color w:val="1F1F1F"/>
          <w:szCs w:val="21"/>
        </w:rPr>
        <w:t>.No significant difference in 5-year OS was observed between patients stratified by Ki-67 index,</w:t>
      </w:r>
      <w:r>
        <w:rPr>
          <w:rFonts w:hint="eastAsia" w:ascii="Times New Roman" w:hAnsi="Times New Roman" w:eastAsia="宋体"/>
          <w:color w:val="1F1F1F"/>
          <w:szCs w:val="21"/>
          <w:lang w:val="en-US" w:eastAsia="zh-CN"/>
        </w:rPr>
        <w:t xml:space="preserve"> </w:t>
      </w:r>
      <w:r>
        <w:rPr>
          <w:rFonts w:hint="eastAsia" w:ascii="Times New Roman" w:hAnsi="Times New Roman" w:eastAsia="宋体"/>
          <w:color w:val="1F1F1F"/>
          <w:szCs w:val="21"/>
        </w:rPr>
        <w:t xml:space="preserve">Bcl-6 expression, Bcl-2 expression, or c-Myc expression. </w:t>
      </w:r>
    </w:p>
    <w:p w14:paraId="3F1AEF28">
      <w:pPr>
        <w:rPr>
          <w:rFonts w:hint="eastAsia"/>
          <w:b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Georgia">
    <w:panose1 w:val="02040502050405020303"/>
    <w:charset w:val="00"/>
    <w:family w:val="roman"/>
    <w:pitch w:val="default"/>
    <w:sig w:usb0="00000287" w:usb1="00000000" w:usb2="00000000" w:usb3="00000000" w:csb0="2000009F" w:csb1="00000000"/>
  </w:font>
  <w:font w:name="STIX-Regular">
    <w:altName w:val="Segoe Print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TIX-Italic">
    <w:altName w:val="Segoe Print"/>
    <w:panose1 w:val="020B0604020202020204"/>
    <w:charset w:val="00"/>
    <w:family w:val="auto"/>
    <w:pitch w:val="default"/>
    <w:sig w:usb0="00000000" w:usb1="00000000" w:usb2="00000000" w:usb3="00000000" w:csb0="0004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100ED0"/>
    <w:rsid w:val="1E595013"/>
    <w:rsid w:val="1E6F310B"/>
    <w:rsid w:val="3BB46E24"/>
    <w:rsid w:val="58472498"/>
    <w:rsid w:val="68000A43"/>
    <w:rsid w:val="6E956D09"/>
    <w:rsid w:val="70117A67"/>
    <w:rsid w:val="72EC7A9C"/>
    <w:rsid w:val="73C848E1"/>
    <w:rsid w:val="745C0CD4"/>
    <w:rsid w:val="78577C17"/>
    <w:rsid w:val="7DCB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774</Words>
  <Characters>4847</Characters>
  <Lines>0</Lines>
  <Paragraphs>0</Paragraphs>
  <TotalTime>14</TotalTime>
  <ScaleCrop>false</ScaleCrop>
  <LinksUpToDate>false</LinksUpToDate>
  <CharactersWithSpaces>5958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2026-08-04T00:30:00Z</dcterms:created>
  <dc:creator>34349</dc:creator>
  <cp:lastModifiedBy>卢瑞扬</cp:lastModifiedBy>
  <dcterms:modified xsi:type="dcterms:W3CDTF">2026-08-06T06:47:25Z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eyJoZGlkIjoiNTU0ZmIwYTQ3NzlmZGUxZmU3Zjk0M2IyZTNmM2IxNjAiLCJ1c2VySWQiOiI2NDQyODg5MDcifQ==</vt:lpwstr>
  </property>
  <property fmtid="{D5CDD505-2E9C-101B-9397-08002B2CF9AE}" pid="4" name="ICV">
    <vt:lpwstr>D68AB04AF2B9434CB151C99FBFF4F047_12</vt:lpwstr>
  </property>
</Properties>
</file>