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AF43A" w14:textId="60DF4CA7" w:rsidR="00F328D1" w:rsidRDefault="00A45EE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 xml:space="preserve">Table S1. Conventional activity metrics and </w:t>
      </w:r>
      <w:proofErr w:type="spellStart"/>
      <w:r>
        <w:t>standardised</w:t>
      </w:r>
      <w:proofErr w:type="spellEnd"/>
      <w:r>
        <w:t xml:space="preserve"> log-transformed MRI-derived fat outcomes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464"/>
        <w:gridCol w:w="3096"/>
        <w:gridCol w:w="1080"/>
        <w:gridCol w:w="792"/>
      </w:tblGrid>
      <w:tr w:rsidR="00F328D1" w14:paraId="35C87D54" w14:textId="77777777" w:rsidTr="00360D30">
        <w:trPr>
          <w:tblHeader/>
          <w:jc w:val="center"/>
        </w:trPr>
        <w:tc>
          <w:tcPr>
            <w:tcW w:w="446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818A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Activity metric</w:t>
            </w:r>
          </w:p>
        </w:tc>
        <w:tc>
          <w:tcPr>
            <w:tcW w:w="30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B8B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β (95% CI)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8D4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P value</w:t>
            </w:r>
          </w:p>
        </w:tc>
        <w:tc>
          <w:tcPr>
            <w:tcW w:w="7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21E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N</w:t>
            </w:r>
          </w:p>
        </w:tc>
      </w:tr>
      <w:tr w:rsidR="00F328D1" w14:paraId="3C96FF20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CDF7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ASAT</w:t>
            </w:r>
          </w:p>
        </w:tc>
      </w:tr>
      <w:tr w:rsidR="00F328D1" w14:paraId="148ABECD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64F5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WHO-weighted MVPA, per +10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430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-0.010 (-0.013 to -0.006)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A5B3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&lt;0.001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B709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0D50DA99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7A9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150 to &lt;300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8DA1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-0.257 (-0.629 to 0.115)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2FD1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0.175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454A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49213547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D52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≥300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348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-0.615 (-0.964 to -0.266)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EEB9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&lt;0.001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D89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6721D908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5AF4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VAT</w:t>
            </w:r>
          </w:p>
        </w:tc>
      </w:tr>
      <w:tr w:rsidR="00F328D1" w14:paraId="73D26666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087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WHO-weighted MVPA, per +10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24B3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-0.010 (-0.015 to -0.006)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BA85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&lt;0.001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4D52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120E38EE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557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150 to &lt;300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53D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0.017 (-0.489 to 0.523)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BC3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0.947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64E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03A2DA4B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C6B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≥300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66CE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-0.404 (-0.879 to 0.070)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3DD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0.095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76B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3E29EF48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D2F3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 xml:space="preserve">Liver </w:t>
            </w:r>
            <w:proofErr w:type="spellStart"/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PDFF</w:t>
            </w:r>
            <w:proofErr w:type="spellEnd"/>
          </w:p>
        </w:tc>
      </w:tr>
      <w:tr w:rsidR="00F328D1" w14:paraId="1908161C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78D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WHO-weighted MVPA, per +10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C31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-0.003 (-0.008 to 0.002)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955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0.216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89BA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234</w:t>
            </w:r>
          </w:p>
        </w:tc>
      </w:tr>
      <w:tr w:rsidR="00F328D1" w14:paraId="79C7AEF1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EBB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150 to &lt;300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49B0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0.297 (-0.229 to 0.823)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B846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0.267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33D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234</w:t>
            </w:r>
          </w:p>
        </w:tc>
      </w:tr>
      <w:tr w:rsidR="00F328D1" w14:paraId="0CEFCA53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417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≥300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846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0.135 (-0.358 to 0.628)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7BF0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0.591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87EA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234</w:t>
            </w:r>
          </w:p>
        </w:tc>
      </w:tr>
      <w:tr w:rsidR="00F328D1" w14:paraId="1863FAAF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19D1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Values are β coefficients with 95% confidence intervals from age- and sex-adjusted linear regression models.</w:t>
            </w:r>
          </w:p>
        </w:tc>
      </w:tr>
      <w:tr w:rsidR="00F328D1" w14:paraId="3D8BAF36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CD1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WHO-weighted MVPA was calculated as moderate-intensity activity + 2 × vigorous-intensity activity.</w:t>
            </w:r>
          </w:p>
        </w:tc>
      </w:tr>
      <w:tr w:rsidR="00F328D1" w14:paraId="10CCB4C6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D80A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The reference category for categorical analyses was &lt;150 min/week. ASAT and VAT were height²-normalised before natural-log transformation; liver fat was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analysed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as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PDFF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.</w:t>
            </w:r>
          </w:p>
        </w:tc>
      </w:tr>
    </w:tbl>
    <w:p w14:paraId="396A5F92" w14:textId="77777777" w:rsidR="0096725D" w:rsidRDefault="0096725D" w:rsidP="0096725D"/>
    <w:p w14:paraId="2A4B5FA7" w14:textId="364AB050" w:rsidR="00B57296" w:rsidRDefault="00B57296" w:rsidP="0096725D">
      <w:pPr>
        <w:rPr>
          <w:rFonts w:ascii="Aptos" w:hAnsi="Aptos"/>
          <w:bCs/>
          <w:color w:val="000000"/>
          <w:sz w:val="16"/>
          <w:szCs w:val="16"/>
        </w:rPr>
      </w:pPr>
    </w:p>
    <w:p w14:paraId="2FD2CFDA" w14:textId="048FE4E0" w:rsidR="0096725D" w:rsidRDefault="0096725D" w:rsidP="0096725D"/>
    <w:p w14:paraId="7643B7D4" w14:textId="4BCC1515" w:rsidR="0096725D" w:rsidRPr="0096725D" w:rsidRDefault="00B30FF6" w:rsidP="0096725D">
      <w:pPr>
        <w:rPr>
          <w:b/>
          <w:bCs/>
        </w:rPr>
      </w:pPr>
      <w:r w:rsidRPr="00B30FF6">
        <w:rPr>
          <w:b/>
          <w:bCs/>
          <w:noProof/>
        </w:rPr>
        <w:lastRenderedPageBreak/>
        <w:drawing>
          <wp:inline distT="0" distB="0" distL="0" distR="0" wp14:anchorId="5BD18386" wp14:editId="14AAFFEA">
            <wp:extent cx="6307200" cy="4431600"/>
            <wp:effectExtent l="0" t="0" r="5080" b="1270"/>
            <wp:docPr id="1542733001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733001" name="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7200" cy="44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87680" w14:textId="77777777" w:rsidR="0096725D" w:rsidRPr="0096725D" w:rsidRDefault="0096725D" w:rsidP="0096725D"/>
    <w:p w14:paraId="58FB4D7D" w14:textId="04D922CB" w:rsidR="0096725D" w:rsidRPr="0096725D" w:rsidRDefault="0096725D" w:rsidP="0096725D">
      <w:r w:rsidRPr="00B57296">
        <w:rPr>
          <w:rFonts w:ascii="Aptos" w:hAnsi="Aptos"/>
          <w:sz w:val="16"/>
          <w:szCs w:val="16"/>
        </w:rPr>
        <w:t xml:space="preserve">Figure S1. </w:t>
      </w:r>
      <w:r w:rsidRPr="00B57296">
        <w:rPr>
          <w:rFonts w:ascii="Aptos" w:hAnsi="Aptos"/>
          <w:bCs/>
          <w:sz w:val="16"/>
          <w:szCs w:val="16"/>
        </w:rPr>
        <w:t xml:space="preserve">Sensitivity analyses using sex and BMI-referenced MRI-derived adiposity z-scores. Points show </w:t>
      </w:r>
      <w:r w:rsidRPr="00B57296">
        <w:rPr>
          <w:rFonts w:ascii="Aptos" w:hAnsi="Aptos"/>
          <w:bCs/>
          <w:color w:val="000000"/>
          <w:sz w:val="16"/>
          <w:szCs w:val="16"/>
        </w:rPr>
        <w:t xml:space="preserve">β coefficients with 95% confidence intervals from age- and sex-adjusted models; the dashed line indicates β = 0. ILR1 contrasts non-sedentary with sedentary time, and ILR2 contrasts MVPA with light intensity activity. Conventional analyses include WHO- weighted MVPA and WHO activity categories. Z-LF is </w:t>
      </w:r>
      <w:proofErr w:type="spellStart"/>
      <w:r w:rsidRPr="00B57296">
        <w:rPr>
          <w:rFonts w:ascii="Aptos" w:hAnsi="Aptos"/>
          <w:bCs/>
          <w:color w:val="000000"/>
          <w:sz w:val="16"/>
          <w:szCs w:val="16"/>
        </w:rPr>
        <w:t>distingt</w:t>
      </w:r>
      <w:proofErr w:type="spellEnd"/>
      <w:r w:rsidRPr="00B57296">
        <w:rPr>
          <w:rFonts w:ascii="Aptos" w:hAnsi="Aptos"/>
          <w:bCs/>
          <w:color w:val="000000"/>
          <w:sz w:val="16"/>
          <w:szCs w:val="16"/>
        </w:rPr>
        <w:t xml:space="preserve"> from the main liver outcome</w:t>
      </w:r>
    </w:p>
    <w:p w14:paraId="7FBBC910" w14:textId="77777777" w:rsidR="0096725D" w:rsidRPr="0096725D" w:rsidRDefault="0096725D" w:rsidP="0096725D"/>
    <w:p w14:paraId="1CAAF51F" w14:textId="77777777" w:rsidR="0096725D" w:rsidRPr="0096725D" w:rsidRDefault="0096725D" w:rsidP="0096725D"/>
    <w:p w14:paraId="0850D172" w14:textId="77777777" w:rsidR="0096725D" w:rsidRPr="0096725D" w:rsidRDefault="0096725D" w:rsidP="0096725D"/>
    <w:p w14:paraId="03F2C0AA" w14:textId="77777777" w:rsidR="0096725D" w:rsidRPr="0096725D" w:rsidRDefault="0096725D" w:rsidP="0096725D"/>
    <w:p w14:paraId="342BC645" w14:textId="77777777" w:rsidR="0096725D" w:rsidRPr="0096725D" w:rsidRDefault="0096725D" w:rsidP="0096725D"/>
    <w:p w14:paraId="66371138" w14:textId="77777777" w:rsidR="0096725D" w:rsidRPr="0096725D" w:rsidRDefault="0096725D" w:rsidP="0096725D"/>
    <w:p w14:paraId="313316F6" w14:textId="77777777" w:rsidR="0096725D" w:rsidRPr="0096725D" w:rsidRDefault="0096725D" w:rsidP="0096725D"/>
    <w:p w14:paraId="1FBCA306" w14:textId="77777777" w:rsidR="0096725D" w:rsidRPr="0096725D" w:rsidRDefault="0096725D" w:rsidP="0096725D"/>
    <w:p w14:paraId="419B5F0E" w14:textId="77777777" w:rsidR="0096725D" w:rsidRPr="0096725D" w:rsidRDefault="0096725D" w:rsidP="0096725D"/>
    <w:p w14:paraId="409C776B" w14:textId="77777777" w:rsidR="0096725D" w:rsidRPr="0096725D" w:rsidRDefault="0096725D" w:rsidP="0096725D"/>
    <w:p w14:paraId="432C2BAE" w14:textId="77777777" w:rsidR="0096725D" w:rsidRPr="0096725D" w:rsidRDefault="0096725D" w:rsidP="0096725D"/>
    <w:p w14:paraId="2D212828" w14:textId="77777777" w:rsidR="0096725D" w:rsidRPr="0096725D" w:rsidRDefault="0096725D" w:rsidP="0096725D"/>
    <w:p w14:paraId="7B5253AF" w14:textId="77777777" w:rsidR="0096725D" w:rsidRPr="0096725D" w:rsidRDefault="0096725D" w:rsidP="0096725D"/>
    <w:p w14:paraId="53997ABA" w14:textId="77777777" w:rsidR="0096725D" w:rsidRPr="0096725D" w:rsidRDefault="0096725D" w:rsidP="0096725D"/>
    <w:p w14:paraId="7F718FF9" w14:textId="77777777" w:rsidR="0096725D" w:rsidRPr="0096725D" w:rsidRDefault="0096725D" w:rsidP="0096725D"/>
    <w:p w14:paraId="0C3A59DF" w14:textId="77777777" w:rsidR="0096725D" w:rsidRPr="0096725D" w:rsidRDefault="0096725D" w:rsidP="0096725D"/>
    <w:p w14:paraId="68C7E959" w14:textId="77777777" w:rsidR="0096725D" w:rsidRPr="0096725D" w:rsidRDefault="0096725D" w:rsidP="0096725D"/>
    <w:p w14:paraId="6DAAFF65" w14:textId="77777777" w:rsidR="0096725D" w:rsidRDefault="0096725D" w:rsidP="00930C2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right="60"/>
        <w:jc w:val="left"/>
        <w:rPr>
          <w:rFonts w:ascii="Aptos" w:hAnsi="Aptos"/>
          <w:sz w:val="16"/>
          <w:szCs w:val="16"/>
        </w:rPr>
      </w:pPr>
    </w:p>
    <w:p w14:paraId="63E73F8B" w14:textId="5A4B7B5B" w:rsidR="00F328D1" w:rsidRDefault="00A45EE7" w:rsidP="0096725D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left"/>
      </w:pPr>
      <w:r>
        <w:t xml:space="preserve">Table S2. </w:t>
      </w:r>
      <w:r w:rsidR="00930C20">
        <w:t>C</w:t>
      </w:r>
      <w:r>
        <w:t>ompositional models and continuous sex- and BMI-referenced z-score outcomes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464"/>
        <w:gridCol w:w="3096"/>
        <w:gridCol w:w="1080"/>
        <w:gridCol w:w="792"/>
      </w:tblGrid>
      <w:tr w:rsidR="00F328D1" w14:paraId="26390252" w14:textId="77777777" w:rsidTr="00360D30">
        <w:trPr>
          <w:tblHeader/>
          <w:jc w:val="center"/>
        </w:trPr>
        <w:tc>
          <w:tcPr>
            <w:tcW w:w="446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D9D6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Compositional contrast</w:t>
            </w:r>
          </w:p>
        </w:tc>
        <w:tc>
          <w:tcPr>
            <w:tcW w:w="30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C2D1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β (95% CI)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BFC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P value</w:t>
            </w:r>
          </w:p>
        </w:tc>
        <w:tc>
          <w:tcPr>
            <w:tcW w:w="7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CB2E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N</w:t>
            </w:r>
          </w:p>
        </w:tc>
      </w:tr>
      <w:tr w:rsidR="00F328D1" w14:paraId="40E6F283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ABD8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ASAT z-score</w:t>
            </w:r>
          </w:p>
        </w:tc>
      </w:tr>
      <w:tr w:rsidR="00F328D1" w14:paraId="00793ADD" w14:textId="77777777" w:rsidTr="00360D30">
        <w:trPr>
          <w:trHeight w:val="270"/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641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ILR1: non-sedentary relative to sedentary time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40F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-0.280 (-0.704 to 0.144)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6F43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0.194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3831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7D90F40B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EF8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ILR2: MVPA relative to light-intensity activity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CD3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-0.037 (-0.507 to 0.434)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5544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0.878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028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424F0017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45A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VAT z-score</w:t>
            </w:r>
          </w:p>
        </w:tc>
      </w:tr>
      <w:tr w:rsidR="00F328D1" w14:paraId="564E57B2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3A9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ILR1: non-sedentary relative to sedentary time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6A3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-0.071 (-0.510 to 0.367)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15E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0.750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08C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2FA9325E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71C7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ILR2: MVPA relative to light-intensity activity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C8C3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0.168 (-0.318 to 0.655)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617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0.496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7AD8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161B3D63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129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Liver-fat z-score (z-LF)</w:t>
            </w:r>
          </w:p>
        </w:tc>
      </w:tr>
      <w:tr w:rsidR="00F328D1" w14:paraId="052BD2AA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CA5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ILR1: non-sedentary relative to sedentary time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617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0.036 (-0.402 to 0.475)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907B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0.870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9F07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223</w:t>
            </w:r>
          </w:p>
        </w:tc>
      </w:tr>
      <w:tr w:rsidR="00F328D1" w14:paraId="3CBD5982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D82C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ILR2: MVPA relative to light-intensity activity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EB68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0.249 (-0.251 to 0.748)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2A2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0.328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3AEF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223</w:t>
            </w:r>
          </w:p>
        </w:tc>
      </w:tr>
      <w:tr w:rsidR="00F328D1" w14:paraId="245C04E5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FA72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Values are β coefficients with 95% confidence intervals from age- and sex-adjusted linear regression models.</w:t>
            </w:r>
          </w:p>
        </w:tc>
      </w:tr>
      <w:tr w:rsidR="00F328D1" w14:paraId="6E0B9E06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47F7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ILR1 contrasts non-sedentary time (the geometric mean of light-intensity activity and MVPA) with sedentary time; ILR2 contrasts MVPA with light-intensity activity.</w:t>
            </w:r>
          </w:p>
        </w:tc>
      </w:tr>
      <w:tr w:rsidR="00F328D1" w14:paraId="578D9156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A2E4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z-ASAT, z-VAT and z-LF are sex- and BMI-referenced AMRA-derived sensitivity outcomes. z-LF is distinct from the primary liver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PDFF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outcome.</w:t>
            </w:r>
          </w:p>
        </w:tc>
      </w:tr>
    </w:tbl>
    <w:p w14:paraId="6D0D77A4" w14:textId="77777777" w:rsidR="00F328D1" w:rsidRDefault="00A45EE7">
      <w:r>
        <w:br w:type="page"/>
      </w:r>
    </w:p>
    <w:p w14:paraId="38B3C1E5" w14:textId="77777777" w:rsidR="00F328D1" w:rsidRDefault="00A45EE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lastRenderedPageBreak/>
        <w:t xml:space="preserve">Table S3. Sensitivity analyses with additional covariate adjustment using </w:t>
      </w:r>
      <w:proofErr w:type="spellStart"/>
      <w:r>
        <w:t>standardised</w:t>
      </w:r>
      <w:proofErr w:type="spellEnd"/>
      <w:r>
        <w:t xml:space="preserve"> log-transformed MRI-derived fat outcomes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464"/>
        <w:gridCol w:w="3096"/>
        <w:gridCol w:w="1080"/>
        <w:gridCol w:w="792"/>
      </w:tblGrid>
      <w:tr w:rsidR="00F328D1" w14:paraId="1D8927A0" w14:textId="77777777" w:rsidTr="00360D30">
        <w:trPr>
          <w:tblHeader/>
          <w:jc w:val="center"/>
        </w:trPr>
        <w:tc>
          <w:tcPr>
            <w:tcW w:w="446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36A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Exposure / contrast</w:t>
            </w:r>
          </w:p>
        </w:tc>
        <w:tc>
          <w:tcPr>
            <w:tcW w:w="30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74A9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β (95% CI)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50C8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P value</w:t>
            </w:r>
          </w:p>
        </w:tc>
        <w:tc>
          <w:tcPr>
            <w:tcW w:w="7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E34B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N</w:t>
            </w:r>
          </w:p>
        </w:tc>
      </w:tr>
      <w:tr w:rsidR="00F328D1" w14:paraId="760C6D31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E21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ASAT</w:t>
            </w:r>
          </w:p>
        </w:tc>
      </w:tr>
      <w:tr w:rsidR="00F328D1" w14:paraId="570BA2E6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5D7E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ILR1: non-sedentary relative to sedentary time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8905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-0.594 (-1.004 to -0.185)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F24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0.005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9C4B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7F0806E6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5414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ILR2: MVPA relative to light-intensity activity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ED9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-0.068 (-0.472 to 0.336)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F83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0.739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877C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582B21B4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D9E3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WHO-weighted MVPA, per +10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A823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-0.010 (-0.014 to -0.006)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255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&lt;0.001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43C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3991754F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CC4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150 to &lt;300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DFF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-0.107 (-0.599 to 0.385)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ADF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0.668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BCA0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7E499428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E359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≥300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A85D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-0.486 (-0.959 to -0.013)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AA5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0.044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EE5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2614D758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B09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VAT</w:t>
            </w:r>
          </w:p>
        </w:tc>
      </w:tr>
      <w:tr w:rsidR="00F328D1" w14:paraId="66D06A35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04D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ILR1: non-sedentary relative to sedentary time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3821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-0.699 (-1.248 to -0.151)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2A71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0.013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E51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453669A8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7537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ILR2: MVPA relative to light-intensity activity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B86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0.238 (-0.303 to 0.779)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3F56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0.385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1E4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7BFAFDAC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02B4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WHO-weighted MVPA, per +10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8DCB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-0.010 (-0.016 to -0.005)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852D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&lt;0.001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CD6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5E17D51D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2A91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150 to &lt;300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DD01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0.379 (-0.262 to 1.020)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3E78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0.245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021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487D3993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7B28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≥300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965B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-0.014 (-0.630 to 0.603)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35C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0.965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70D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154</w:t>
            </w:r>
          </w:p>
        </w:tc>
      </w:tr>
      <w:tr w:rsidR="00F328D1" w14:paraId="09B6ACE1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9DF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 xml:space="preserve">Liver </w:t>
            </w:r>
            <w:proofErr w:type="spellStart"/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PDFF</w:t>
            </w:r>
            <w:proofErr w:type="spellEnd"/>
          </w:p>
        </w:tc>
      </w:tr>
      <w:tr w:rsidR="00F328D1" w14:paraId="32A96436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2E44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ILR1: non-sedentary relative to sedentary time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CDFB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-0.672 (-1.264 to -0.079)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905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0.027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7FC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149</w:t>
            </w:r>
          </w:p>
        </w:tc>
      </w:tr>
      <w:tr w:rsidR="00F328D1" w14:paraId="0C036342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359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ILR2: MVPA relative to light-intensity activity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2121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0.556 (-0.035 to 1.147)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021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0.065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121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149</w:t>
            </w:r>
          </w:p>
        </w:tc>
      </w:tr>
      <w:tr w:rsidR="00F328D1" w14:paraId="2FB378B5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943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WHO-weighted MVPA, per +10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A1FD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-0.005 (-0.011 to 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E39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0.117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CA35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149</w:t>
            </w:r>
          </w:p>
        </w:tc>
      </w:tr>
      <w:tr w:rsidR="00F328D1" w14:paraId="3F97F0D9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A766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150 to &lt;300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D4D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0.561 (-0.134 to 1.255)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DEEE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0.113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319F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149</w:t>
            </w:r>
          </w:p>
        </w:tc>
      </w:tr>
      <w:tr w:rsidR="00F328D1" w14:paraId="4336BB52" w14:textId="77777777" w:rsidTr="00360D30">
        <w:trPr>
          <w:jc w:val="center"/>
        </w:trPr>
        <w:tc>
          <w:tcPr>
            <w:tcW w:w="446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7FA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≥300 vs &lt;150 min/week</w:t>
            </w:r>
          </w:p>
        </w:tc>
        <w:tc>
          <w:tcPr>
            <w:tcW w:w="30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480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0.341 (-0.320 to 1.001)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1D3C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0.310</w:t>
            </w:r>
          </w:p>
        </w:tc>
        <w:tc>
          <w:tcPr>
            <w:tcW w:w="7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6BC6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149</w:t>
            </w:r>
          </w:p>
        </w:tc>
      </w:tr>
      <w:tr w:rsidR="00F328D1" w14:paraId="61D99826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14F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Models were adjusted for age, sex, smoking status, weekly alcohol consumption, binge-drinking frequency, and food habits.</w:t>
            </w:r>
          </w:p>
        </w:tc>
      </w:tr>
      <w:tr w:rsidR="00F328D1" w14:paraId="165D1709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EDCE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The outcome-specific complete-case sample sizes were N = 154 for ASAT, N = 154 for VAT, and N = 149 for liver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PDFF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.</w:t>
            </w:r>
          </w:p>
        </w:tc>
      </w:tr>
      <w:tr w:rsidR="00F328D1" w14:paraId="75E76A06" w14:textId="77777777" w:rsidTr="00360D30">
        <w:trPr>
          <w:jc w:val="center"/>
        </w:trPr>
        <w:tc>
          <w:tcPr>
            <w:tcW w:w="943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5FA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ASAT and VAT were height²-normalised before natural-log transformation; liver fat was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analysed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as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PDFF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.</w:t>
            </w:r>
          </w:p>
        </w:tc>
      </w:tr>
    </w:tbl>
    <w:p w14:paraId="49DB58A6" w14:textId="77777777" w:rsidR="00F328D1" w:rsidRDefault="00A45EE7">
      <w:r>
        <w:br w:type="page"/>
      </w:r>
    </w:p>
    <w:p w14:paraId="7EE4A481" w14:textId="77777777" w:rsidR="00F328D1" w:rsidRDefault="00A45EE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lastRenderedPageBreak/>
        <w:t>Table S4. Model-based estimates for reallocating sedentary time to non-sedentary time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400"/>
        <w:gridCol w:w="3240"/>
        <w:gridCol w:w="864"/>
      </w:tblGrid>
      <w:tr w:rsidR="00F328D1" w14:paraId="557D84BF" w14:textId="77777777" w:rsidTr="00360D30">
        <w:trPr>
          <w:tblHeader/>
          <w:jc w:val="center"/>
        </w:trPr>
        <w:tc>
          <w:tcPr>
            <w:tcW w:w="54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7DEA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Sedentary time reallocated</w:t>
            </w:r>
          </w:p>
        </w:tc>
        <w:tc>
          <w:tcPr>
            <w:tcW w:w="3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574D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β (95% CI)</w:t>
            </w:r>
          </w:p>
        </w:tc>
        <w:tc>
          <w:tcPr>
            <w:tcW w:w="86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F996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N</w:t>
            </w:r>
          </w:p>
        </w:tc>
      </w:tr>
      <w:tr w:rsidR="00F328D1" w14:paraId="695EE1BF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A7C4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ASAT</w:t>
            </w:r>
          </w:p>
        </w:tc>
      </w:tr>
      <w:tr w:rsidR="00F328D1" w14:paraId="580313C4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7456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A67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-0.019 (-0.032 to -0.006)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2EA4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2117E876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A1BD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30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1EE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-0.056 (-0.094 to -0.017)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DAAA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060A5F9E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DC80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60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F106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-0.107 (-0.181 to -0.033)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610A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268AC76D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2EEA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VAT</w:t>
            </w:r>
          </w:p>
        </w:tc>
      </w:tr>
      <w:tr w:rsidR="00F328D1" w14:paraId="06270DFC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1680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CC2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-0.025 (-0.043 to -0.007)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89DB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2A04C515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3F4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30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98D7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-0.072 (-0.124 to -0.019)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5114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47D3C436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8CE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60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E237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-0.138 (-0.240 to -0.037)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B85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239</w:t>
            </w:r>
          </w:p>
        </w:tc>
      </w:tr>
      <w:tr w:rsidR="00F328D1" w14:paraId="06B24898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B26F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 xml:space="preserve">Liver </w:t>
            </w:r>
            <w:proofErr w:type="spellStart"/>
            <w:r>
              <w:rPr>
                <w:rFonts w:ascii="Arial" w:eastAsia="Arial" w:hAnsi="Arial" w:cs="Arial"/>
                <w:b/>
                <w:color w:val="202020"/>
                <w:sz w:val="19"/>
                <w:szCs w:val="19"/>
              </w:rPr>
              <w:t>PDFF</w:t>
            </w:r>
            <w:proofErr w:type="spellEnd"/>
          </w:p>
        </w:tc>
      </w:tr>
      <w:tr w:rsidR="00F328D1" w14:paraId="3282D3EA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79C8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10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A2F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-0.008 (-0.027 to 0.011)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C99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234</w:t>
            </w:r>
          </w:p>
        </w:tc>
      </w:tr>
      <w:tr w:rsidR="00F328D1" w14:paraId="77B0C7C4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88FF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30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826B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-0.023 (-0.078 to 0.032)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2EDF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234</w:t>
            </w:r>
          </w:p>
        </w:tc>
      </w:tr>
      <w:tr w:rsidR="00F328D1" w14:paraId="389E3821" w14:textId="77777777" w:rsidTr="00360D30">
        <w:trPr>
          <w:jc w:val="center"/>
        </w:trPr>
        <w:tc>
          <w:tcPr>
            <w:tcW w:w="54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CA7A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60 min/day</w:t>
            </w:r>
          </w:p>
        </w:tc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CE3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-0.044 (-0.151 to 0.062)</w:t>
            </w:r>
          </w:p>
        </w:tc>
        <w:tc>
          <w:tcPr>
            <w:tcW w:w="86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D29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20202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02020"/>
                <w:sz w:val="19"/>
                <w:szCs w:val="19"/>
              </w:rPr>
              <w:t>234</w:t>
            </w:r>
          </w:p>
        </w:tc>
      </w:tr>
      <w:tr w:rsidR="00F328D1" w14:paraId="20826BC0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C24F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Estimates represent changes in standard deviation units from the age- and sex-adjusted three-part compositional model.</w:t>
            </w:r>
          </w:p>
        </w:tc>
      </w:tr>
      <w:tr w:rsidR="00F328D1" w14:paraId="47AC41C8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C66B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For each reallocation, sedentary time was reduced by the stated number of minutes and redistributed proportionally between light-intensity activity and MVPA according to their shares of non-sedentary time at the mean composition.</w:t>
            </w:r>
          </w:p>
        </w:tc>
      </w:tr>
      <w:tr w:rsidR="00F328D1" w14:paraId="478EBBDE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47950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The mean waking-time composition used as the reference was approximately 750.4 min/day sedentary time, 159.7 min/day light-intensity activity, and 61.1 min/day MVPA.</w:t>
            </w:r>
          </w:p>
        </w:tc>
      </w:tr>
      <w:tr w:rsidR="00F328D1" w14:paraId="66F8ABA4" w14:textId="77777777" w:rsidTr="00360D30">
        <w:trPr>
          <w:jc w:val="center"/>
        </w:trPr>
        <w:tc>
          <w:tcPr>
            <w:tcW w:w="950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0A4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Negative values indicate a lower adiposity outcome.</w:t>
            </w:r>
          </w:p>
        </w:tc>
      </w:tr>
    </w:tbl>
    <w:p w14:paraId="6CDDA3B8" w14:textId="77777777" w:rsidR="00F328D1" w:rsidRDefault="00A45EE7">
      <w:r>
        <w:br w:type="page"/>
      </w:r>
    </w:p>
    <w:p w14:paraId="0DDEAE53" w14:textId="77777777" w:rsidR="00F328D1" w:rsidRDefault="00A45EE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lastRenderedPageBreak/>
        <w:t>Table S5. Model-specific sample sizes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6048"/>
        <w:gridCol w:w="1152"/>
        <w:gridCol w:w="1152"/>
        <w:gridCol w:w="1152"/>
      </w:tblGrid>
      <w:tr w:rsidR="00F328D1" w14:paraId="13F9F61A" w14:textId="77777777" w:rsidTr="00360D30">
        <w:trPr>
          <w:tblHeader/>
          <w:jc w:val="center"/>
        </w:trPr>
        <w:tc>
          <w:tcPr>
            <w:tcW w:w="604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26FF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  <w:t>Analysis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DE09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  <w:t>ASAT, N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F0CB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  <w:t>VAT, N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202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  <w:t>Liver, N</w:t>
            </w:r>
          </w:p>
        </w:tc>
      </w:tr>
      <w:tr w:rsidR="00F328D1" w14:paraId="14338D55" w14:textId="77777777" w:rsidTr="00360D30">
        <w:trPr>
          <w:jc w:val="center"/>
        </w:trPr>
        <w:tc>
          <w:tcPr>
            <w:tcW w:w="604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0D3F" w14:textId="037FB32B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Main compositional analysis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026D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FEB9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CAA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234</w:t>
            </w:r>
          </w:p>
        </w:tc>
      </w:tr>
      <w:tr w:rsidR="00F328D1" w14:paraId="530D0B95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1BF9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S1: WHO-weighted MVPA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935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8DD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AE9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234</w:t>
            </w:r>
          </w:p>
        </w:tc>
      </w:tr>
      <w:tr w:rsidR="00F328D1" w14:paraId="6965474E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2317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S1: WHO activity categories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0700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C50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4A89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234</w:t>
            </w:r>
          </w:p>
        </w:tc>
      </w:tr>
      <w:tr w:rsidR="00F328D1" w14:paraId="4CD3E02F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D64F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S2: three-part z-score sensitivity analysis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F5BC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ED3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082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223</w:t>
            </w:r>
          </w:p>
        </w:tc>
      </w:tr>
      <w:tr w:rsidR="00F328D1" w14:paraId="769CB040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C513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Figure S1: WHO-weighted MVPA with z-score outcomes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017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40AB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2C56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223</w:t>
            </w:r>
          </w:p>
        </w:tc>
      </w:tr>
      <w:tr w:rsidR="00F328D1" w14:paraId="5DEA52CA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764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Figure S1: WHO categories with z-score outcomes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0FC6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0D21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A24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223</w:t>
            </w:r>
          </w:p>
        </w:tc>
      </w:tr>
      <w:tr w:rsidR="00F328D1" w14:paraId="598CE895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0207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S3: additionally adjusted three-part model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769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A96F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104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149</w:t>
            </w:r>
          </w:p>
        </w:tc>
      </w:tr>
      <w:tr w:rsidR="00F328D1" w14:paraId="14141DDF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3862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S3: additionally adjusted WHO-weighted MVPA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60D5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59CF9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3F53D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149</w:t>
            </w:r>
          </w:p>
        </w:tc>
      </w:tr>
      <w:tr w:rsidR="00F328D1" w14:paraId="00578CD5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BF76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S3: additionally adjusted WHO categories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00EB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B408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769EE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149</w:t>
            </w:r>
          </w:p>
        </w:tc>
      </w:tr>
      <w:tr w:rsidR="00F328D1" w14:paraId="6B3257D9" w14:textId="77777777" w:rsidTr="00360D30">
        <w:trPr>
          <w:jc w:val="center"/>
        </w:trPr>
        <w:tc>
          <w:tcPr>
            <w:tcW w:w="604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71CA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Table S4: time-reallocation analysis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424E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B371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239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B883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80" w:after="80"/>
              <w:ind w:left="100" w:right="100"/>
              <w:jc w:val="center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234</w:t>
            </w:r>
          </w:p>
        </w:tc>
      </w:tr>
      <w:tr w:rsidR="00F328D1" w14:paraId="773CABDD" w14:textId="77777777" w:rsidTr="00360D30">
        <w:trPr>
          <w:jc w:val="center"/>
        </w:trPr>
        <w:tc>
          <w:tcPr>
            <w:tcW w:w="9504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0D02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Sample sizes correspond to the observations actually used in each fitted model (nobs in R).</w:t>
            </w:r>
          </w:p>
        </w:tc>
      </w:tr>
      <w:tr w:rsidR="00F328D1" w14:paraId="4E13BA2A" w14:textId="77777777" w:rsidTr="00360D30">
        <w:trPr>
          <w:jc w:val="center"/>
        </w:trPr>
        <w:tc>
          <w:tcPr>
            <w:tcW w:w="9504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2894" w14:textId="77777777" w:rsidR="00F328D1" w:rsidRDefault="00A45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For analyses using the main outcomes, 'Liver' refers to liver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PDFF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. For z-score sensitivity analyses, 'Liver' refers to the AMRA-derived liver-fat z-score (z-LF).</w:t>
            </w:r>
          </w:p>
        </w:tc>
      </w:tr>
    </w:tbl>
    <w:p w14:paraId="67A37027" w14:textId="77777777" w:rsidR="00B57296" w:rsidRDefault="00B57296"/>
    <w:sectPr w:rsidR="00B57296" w:rsidSect="00A45EE7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66A34" w14:textId="77777777" w:rsidR="00B95D71" w:rsidRDefault="00B95D71" w:rsidP="00930C20">
      <w:r>
        <w:separator/>
      </w:r>
    </w:p>
  </w:endnote>
  <w:endnote w:type="continuationSeparator" w:id="0">
    <w:p w14:paraId="5234F782" w14:textId="77777777" w:rsidR="00B95D71" w:rsidRDefault="00B95D71" w:rsidP="009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12FC51" w14:textId="77777777" w:rsidR="00B95D71" w:rsidRDefault="00B95D71" w:rsidP="00930C20">
      <w:r>
        <w:separator/>
      </w:r>
    </w:p>
  </w:footnote>
  <w:footnote w:type="continuationSeparator" w:id="0">
    <w:p w14:paraId="6F7CEEA2" w14:textId="77777777" w:rsidR="00B95D71" w:rsidRDefault="00B95D71" w:rsidP="00930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Rubrik1"/>
      <w:lvlText w:val="%1."/>
      <w:lvlJc w:val="left"/>
      <w:pPr>
        <w:ind w:left="360" w:hanging="360"/>
      </w:pPr>
    </w:lvl>
    <w:lvl w:ilvl="1">
      <w:start w:val="1"/>
      <w:numFmt w:val="decimal"/>
      <w:pStyle w:val="Rubrik2"/>
      <w:lvlText w:val="%1.%2."/>
      <w:lvlJc w:val="left"/>
      <w:pPr>
        <w:ind w:left="792" w:hanging="432"/>
      </w:pPr>
    </w:lvl>
    <w:lvl w:ilvl="2">
      <w:start w:val="1"/>
      <w:numFmt w:val="decimal"/>
      <w:pStyle w:val="Rubri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1773428">
    <w:abstractNumId w:val="1"/>
  </w:num>
  <w:num w:numId="2" w16cid:durableId="112600864">
    <w:abstractNumId w:val="2"/>
  </w:num>
  <w:num w:numId="3" w16cid:durableId="753291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D1"/>
    <w:rsid w:val="000074CC"/>
    <w:rsid w:val="000813CC"/>
    <w:rsid w:val="001C705F"/>
    <w:rsid w:val="002975C1"/>
    <w:rsid w:val="00333736"/>
    <w:rsid w:val="00360D30"/>
    <w:rsid w:val="00523F39"/>
    <w:rsid w:val="00595DCE"/>
    <w:rsid w:val="00682845"/>
    <w:rsid w:val="006F1C78"/>
    <w:rsid w:val="008478DB"/>
    <w:rsid w:val="00876D02"/>
    <w:rsid w:val="008F0908"/>
    <w:rsid w:val="00930C20"/>
    <w:rsid w:val="0096725D"/>
    <w:rsid w:val="00A45EE7"/>
    <w:rsid w:val="00AB1AAF"/>
    <w:rsid w:val="00B30FF6"/>
    <w:rsid w:val="00B57296"/>
    <w:rsid w:val="00B95D71"/>
    <w:rsid w:val="00BF1F13"/>
    <w:rsid w:val="00CB2E00"/>
    <w:rsid w:val="00CC6FD2"/>
    <w:rsid w:val="00DE2E4C"/>
    <w:rsid w:val="00E036AB"/>
    <w:rsid w:val="00E213A5"/>
    <w:rsid w:val="00EB3159"/>
    <w:rsid w:val="00EB50E5"/>
    <w:rsid w:val="00F3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E59A"/>
  <w15:docId w15:val="{70CA35EE-C719-3844-9E44-E5B88A35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rk1">
    <w:name w:val="Stark1"/>
    <w:basedOn w:val="Standardstycketeckensnit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Normaltabel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lista-dekorfrg2">
    <w:name w:val="Light List Accent 2"/>
    <w:basedOn w:val="Normaltabel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Rubrik1Char">
    <w:name w:val="Rubrik 1 Char"/>
    <w:basedOn w:val="Standardstycketeckensnitt"/>
    <w:link w:val="Rubrik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Professionelltabell">
    <w:name w:val="Table Professional"/>
    <w:basedOn w:val="Normaltabel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Innehll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Standardstycketeckensnit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character" w:styleId="Stark">
    <w:name w:val="Strong"/>
    <w:basedOn w:val="Standardstycketeckensnitt"/>
    <w:uiPriority w:val="22"/>
    <w:qFormat/>
    <w:rsid w:val="00930C20"/>
    <w:rPr>
      <w:b/>
      <w:bCs/>
    </w:rPr>
  </w:style>
  <w:style w:type="character" w:customStyle="1" w:styleId="apple-converted-space">
    <w:name w:val="apple-converted-space"/>
    <w:basedOn w:val="Standardstycketeckensnitt"/>
    <w:rsid w:val="00930C20"/>
  </w:style>
  <w:style w:type="paragraph" w:styleId="Sidhuvud">
    <w:name w:val="header"/>
    <w:basedOn w:val="Normal"/>
    <w:link w:val="SidhuvudChar"/>
    <w:uiPriority w:val="99"/>
    <w:unhideWhenUsed/>
    <w:rsid w:val="00930C2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30C20"/>
  </w:style>
  <w:style w:type="paragraph" w:styleId="Sidfot">
    <w:name w:val="footer"/>
    <w:basedOn w:val="Normal"/>
    <w:link w:val="SidfotChar"/>
    <w:uiPriority w:val="99"/>
    <w:unhideWhenUsed/>
    <w:rsid w:val="00930C2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30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935</Words>
  <Characters>5262</Characters>
  <Application>Microsoft Office Word</Application>
  <DocSecurity>0</DocSecurity>
  <Lines>278</Lines>
  <Paragraphs>239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Ahtola</dc:creator>
  <cp:keywords/>
  <dc:description/>
  <cp:lastModifiedBy>Kim Ahtola</cp:lastModifiedBy>
  <cp:revision>2</cp:revision>
  <dcterms:created xsi:type="dcterms:W3CDTF">2026-10-08T19:47:00Z</dcterms:created>
  <dcterms:modified xsi:type="dcterms:W3CDTF">2026-10-08T19:47:00Z</dcterms:modified>
  <cp:category/>
</cp:coreProperties>
</file>