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85452" w14:textId="77777777" w:rsidR="00A67F0A" w:rsidRDefault="00000000">
      <w:pPr>
        <w:pStyle w:val="DocTitle"/>
        <w:jc w:val="center"/>
      </w:pPr>
      <w:r>
        <w:t>Supplementary Appendix 1</w:t>
      </w:r>
    </w:p>
    <w:p w14:paraId="2AF7B5DE" w14:textId="77777777" w:rsidR="00A67F0A" w:rsidRDefault="00000000">
      <w:pPr>
        <w:pStyle w:val="Sottotitolo1"/>
        <w:jc w:val="center"/>
      </w:pPr>
      <w:r>
        <w:t>Operational components of the Hospitalized Elderly Structured Mobilization (HESM) pathway</w:t>
      </w:r>
    </w:p>
    <w:p w14:paraId="776A9E82" w14:textId="77777777" w:rsidR="00A67F0A" w:rsidRDefault="00000000">
      <w:pPr>
        <w:pStyle w:val="HeadingSmall"/>
      </w:pPr>
      <w:r>
        <w:t>1. Core principles</w:t>
      </w:r>
    </w:p>
    <w:p w14:paraId="504FD058" w14:textId="77777777" w:rsidR="00A67F0A" w:rsidRDefault="00000000">
      <w:pPr>
        <w:pStyle w:val="Puntoelenco"/>
      </w:pPr>
      <w:r>
        <w:t>Early mobilization was treated as a core component of acute medical care rather than as an optional rehabilitation activity.</w:t>
      </w:r>
    </w:p>
    <w:p w14:paraId="20F8A832" w14:textId="77777777" w:rsidR="00A67F0A" w:rsidRDefault="00000000">
      <w:pPr>
        <w:pStyle w:val="Puntoelenco"/>
      </w:pPr>
      <w:r>
        <w:t>The pathway aimed to preserve autonomy and limit the adverse consequences of immobility during hospitalization.</w:t>
      </w:r>
    </w:p>
    <w:p w14:paraId="7E595309" w14:textId="77777777" w:rsidR="00A67F0A" w:rsidRDefault="00000000">
      <w:pPr>
        <w:pStyle w:val="Puntoelenco"/>
      </w:pPr>
      <w:r>
        <w:t>Mobilization goals were individualized, progressive, and reviewed daily by the interdisciplinary team.</w:t>
      </w:r>
    </w:p>
    <w:p w14:paraId="43D38E69" w14:textId="77777777" w:rsidR="00A67F0A" w:rsidRDefault="00000000">
      <w:pPr>
        <w:pStyle w:val="Puntoelenco"/>
      </w:pPr>
      <w:r>
        <w:t>Mobility opportunities were embedded into routine care, including transfers, meals out of bed, toileting, and supervised walking whenever feasible.</w:t>
      </w:r>
    </w:p>
    <w:p w14:paraId="260B1BA7" w14:textId="77777777" w:rsidR="00A67F0A" w:rsidRDefault="00000000">
      <w:pPr>
        <w:pStyle w:val="HeadingSmall"/>
      </w:pPr>
      <w:r>
        <w:t>2. Initial assessment and daily review</w:t>
      </w:r>
    </w:p>
    <w:p w14:paraId="1330906A" w14:textId="77777777" w:rsidR="00A67F0A" w:rsidRDefault="00000000">
      <w:pPr>
        <w:pStyle w:val="Puntoelenco"/>
      </w:pPr>
      <w:r>
        <w:t>Within the first 24 hours after admission, eligible patients underwent functional and clinical assessment by the ward team.</w:t>
      </w:r>
    </w:p>
    <w:p w14:paraId="4920F592" w14:textId="77777777" w:rsidR="00A67F0A" w:rsidRDefault="00000000">
      <w:pPr>
        <w:pStyle w:val="Puntoelenco"/>
      </w:pPr>
      <w:r>
        <w:t>The initial mobility target was defined according to premorbid function, current clinical stability, MEWS, symptoms, and need for assistance.</w:t>
      </w:r>
    </w:p>
    <w:p w14:paraId="1079AB52" w14:textId="77777777" w:rsidR="00A67F0A" w:rsidRDefault="00000000">
      <w:pPr>
        <w:pStyle w:val="Puntoelenco"/>
      </w:pPr>
      <w:r>
        <w:t>Mobility targets were reviewed during brief daily team huddles and adjusted according to tolerance and clinical evolution.</w:t>
      </w:r>
    </w:p>
    <w:p w14:paraId="26AE34FE" w14:textId="77777777" w:rsidR="00A67F0A" w:rsidRDefault="00000000">
      <w:pPr>
        <w:pStyle w:val="Puntoelenco"/>
      </w:pPr>
      <w:r>
        <w:t>At least two mobilization sessions per day were planned when clinically feasible.</w:t>
      </w:r>
    </w:p>
    <w:p w14:paraId="0433C3B4" w14:textId="77777777" w:rsidR="00A67F0A" w:rsidRDefault="00000000">
      <w:pPr>
        <w:pStyle w:val="HeadingSmall"/>
      </w:pPr>
      <w:r>
        <w:t>3. Progression levels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7"/>
        <w:gridCol w:w="2547"/>
        <w:gridCol w:w="2548"/>
      </w:tblGrid>
      <w:tr w:rsidR="00A67F0A" w14:paraId="71DEBDDB" w14:textId="77777777">
        <w:trPr>
          <w:tblHeader/>
          <w:jc w:val="center"/>
        </w:trPr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E7722F" w14:textId="77777777" w:rsidR="00A67F0A" w:rsidRDefault="00000000">
            <w:r>
              <w:rPr>
                <w:b/>
                <w:sz w:val="17"/>
              </w:rPr>
              <w:t>Level</w:t>
            </w:r>
          </w:p>
        </w:tc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44BD7" w14:textId="77777777" w:rsidR="00A67F0A" w:rsidRDefault="00000000">
            <w:r>
              <w:rPr>
                <w:b/>
                <w:sz w:val="17"/>
              </w:rPr>
              <w:t>Typical activities</w:t>
            </w:r>
          </w:p>
        </w:tc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E5DFB" w14:textId="77777777" w:rsidR="00A67F0A" w:rsidRDefault="00000000">
            <w:r>
              <w:rPr>
                <w:b/>
                <w:sz w:val="17"/>
              </w:rPr>
              <w:t>Readiness criteria</w:t>
            </w:r>
          </w:p>
        </w:tc>
        <w:tc>
          <w:tcPr>
            <w:tcW w:w="2550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584F15" w14:textId="77777777" w:rsidR="00A67F0A" w:rsidRDefault="00000000">
            <w:r>
              <w:rPr>
                <w:b/>
                <w:sz w:val="17"/>
              </w:rPr>
              <w:t>Progression goal</w:t>
            </w:r>
          </w:p>
        </w:tc>
      </w:tr>
      <w:tr w:rsidR="00A67F0A" w14:paraId="1C77A849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6639D" w14:textId="00340E82" w:rsidR="00A67F0A" w:rsidRDefault="00000000">
            <w:r>
              <w:rPr>
                <w:sz w:val="17"/>
              </w:rPr>
              <w:t>In-bed activation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C824A0" w14:textId="77777777" w:rsidR="00A67F0A" w:rsidRDefault="00000000">
            <w:r>
              <w:rPr>
                <w:sz w:val="17"/>
              </w:rPr>
              <w:t>Active or assisted range-of-motion exercises, repositioning, bridging, limb activation.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31D682" w14:textId="77777777" w:rsidR="00A67F0A" w:rsidRDefault="00000000">
            <w:r>
              <w:rPr>
                <w:sz w:val="17"/>
              </w:rPr>
              <w:t>No strict bed-rest order; patient awake or arousable; no immediate clinical instability.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FEFE89" w14:textId="77777777" w:rsidR="00A67F0A" w:rsidRDefault="00000000">
            <w:r>
              <w:rPr>
                <w:sz w:val="17"/>
              </w:rPr>
              <w:t>Progress to sitting when tolerated.</w:t>
            </w:r>
          </w:p>
        </w:tc>
      </w:tr>
      <w:tr w:rsidR="00A67F0A" w14:paraId="2AD918F9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7FBC2E" w14:textId="681D3856" w:rsidR="00A67F0A" w:rsidRDefault="00000000">
            <w:r>
              <w:rPr>
                <w:sz w:val="17"/>
              </w:rPr>
              <w:t>Sitting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630B61" w14:textId="77777777" w:rsidR="00A67F0A" w:rsidRDefault="00000000">
            <w:r>
              <w:rPr>
                <w:sz w:val="17"/>
              </w:rPr>
              <w:t>Head-of-bed elevation, sitting at bedside, transfer to chair, meals in chair.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83378" w14:textId="77777777" w:rsidR="00A67F0A" w:rsidRDefault="00000000">
            <w:r>
              <w:rPr>
                <w:sz w:val="17"/>
              </w:rPr>
              <w:t>Can maintain posture with support; no severe symptoms during position change.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B7B62" w14:textId="77777777" w:rsidR="00A67F0A" w:rsidRDefault="00000000">
            <w:r>
              <w:rPr>
                <w:sz w:val="17"/>
              </w:rPr>
              <w:t>Progress to standing/transfers.</w:t>
            </w:r>
          </w:p>
        </w:tc>
      </w:tr>
      <w:tr w:rsidR="00A67F0A" w14:paraId="53F06CE9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9FCF0A" w14:textId="44073467" w:rsidR="00A67F0A" w:rsidRDefault="00000000">
            <w:r>
              <w:rPr>
                <w:sz w:val="17"/>
              </w:rPr>
              <w:t>Standing and transfers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69085" w14:textId="77777777" w:rsidR="00A67F0A" w:rsidRDefault="00000000">
            <w:r>
              <w:rPr>
                <w:sz w:val="17"/>
              </w:rPr>
              <w:t>Sit-to-stand, standing balance, bed-to-chair transfer, toilet transfer.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7308A5" w14:textId="77777777" w:rsidR="00A67F0A" w:rsidRDefault="00000000">
            <w:r>
              <w:rPr>
                <w:sz w:val="17"/>
              </w:rPr>
              <w:t>Able to bear weight with appropriate assistance or device; acceptable symptom tolerance.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1F82FA" w14:textId="77777777" w:rsidR="00A67F0A" w:rsidRDefault="00000000">
            <w:r>
              <w:rPr>
                <w:sz w:val="17"/>
              </w:rPr>
              <w:t>Progress to short ambulation.</w:t>
            </w:r>
          </w:p>
        </w:tc>
      </w:tr>
      <w:tr w:rsidR="00A67F0A" w14:paraId="1364D48A" w14:textId="77777777">
        <w:trPr>
          <w:jc w:val="center"/>
        </w:trPr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F1A69" w14:textId="637230A0" w:rsidR="00A67F0A" w:rsidRDefault="00000000">
            <w:r>
              <w:rPr>
                <w:sz w:val="17"/>
              </w:rPr>
              <w:t>Ambulation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5085D" w14:textId="77777777" w:rsidR="00A67F0A" w:rsidRDefault="00000000">
            <w:r>
              <w:rPr>
                <w:sz w:val="17"/>
              </w:rPr>
              <w:t>Supervised room or hallway walking, repeated short walks, toileting walk when feasible.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4E7F94" w14:textId="77777777" w:rsidR="00A67F0A" w:rsidRDefault="00000000">
            <w:r>
              <w:rPr>
                <w:sz w:val="17"/>
              </w:rPr>
              <w:t>Hemodynamic tolerance; safe gait with staff/device support.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0EF2F" w14:textId="77777777" w:rsidR="00A67F0A" w:rsidRDefault="00000000">
            <w:r>
              <w:rPr>
                <w:sz w:val="17"/>
              </w:rPr>
              <w:t>Increase frequency or distance as tolerated.</w:t>
            </w:r>
          </w:p>
        </w:tc>
      </w:tr>
    </w:tbl>
    <w:p w14:paraId="26826CC7" w14:textId="77777777" w:rsidR="005B70C7" w:rsidRDefault="005B70C7">
      <w:pPr>
        <w:pStyle w:val="HeadingSmall"/>
      </w:pPr>
    </w:p>
    <w:p w14:paraId="1E3A7AAA" w14:textId="2EC068D5" w:rsidR="00A67F0A" w:rsidRDefault="00000000">
      <w:pPr>
        <w:pStyle w:val="HeadingSmall"/>
      </w:pPr>
      <w:r>
        <w:t>4. Minimum safety check before each mobilization session</w:t>
      </w:r>
    </w:p>
    <w:p w14:paraId="44809F01" w14:textId="77777777" w:rsidR="00A67F0A" w:rsidRDefault="00000000">
      <w:pPr>
        <w:pStyle w:val="Puntoelenco"/>
      </w:pPr>
      <w:r>
        <w:t>Confirm that no medical order for strict bed rest is present.</w:t>
      </w:r>
    </w:p>
    <w:p w14:paraId="1560BBA3" w14:textId="77777777" w:rsidR="00A67F0A" w:rsidRDefault="00000000">
      <w:pPr>
        <w:pStyle w:val="Puntoelenco"/>
      </w:pPr>
      <w:r>
        <w:t>Review recent clinical stability, MEWS, symptoms, and any acute deterioration.</w:t>
      </w:r>
    </w:p>
    <w:p w14:paraId="3B0B20A0" w14:textId="77777777" w:rsidR="00A67F0A" w:rsidRDefault="00000000">
      <w:pPr>
        <w:pStyle w:val="Puntoelenco"/>
      </w:pPr>
      <w:r>
        <w:t>Postpone mobilization in case of severe dyspnoea at rest, chest pain, syncope or presyncope, active bleeding, marked agitation, severe new pain, or new need for urgent medical review.</w:t>
      </w:r>
    </w:p>
    <w:p w14:paraId="34EF6DBF" w14:textId="77777777" w:rsidR="00A67F0A" w:rsidRDefault="00000000">
      <w:pPr>
        <w:pStyle w:val="Puntoelenco"/>
      </w:pPr>
      <w:r>
        <w:t>Verify that lines, drains, oxygen delivery devices, and urinary catheters are secured and manageable during movement.</w:t>
      </w:r>
    </w:p>
    <w:p w14:paraId="60520722" w14:textId="77777777" w:rsidR="00A67F0A" w:rsidRDefault="00000000">
      <w:pPr>
        <w:pStyle w:val="Puntoelenco"/>
      </w:pPr>
      <w:r>
        <w:t>Ensure appropriate staff assistance, walking aid, non-slip footwear, and clear transfer path.</w:t>
      </w:r>
    </w:p>
    <w:p w14:paraId="45E89FE2" w14:textId="77777777" w:rsidR="00A67F0A" w:rsidRDefault="00000000">
      <w:pPr>
        <w:pStyle w:val="HeadingSmall"/>
      </w:pPr>
      <w:r>
        <w:lastRenderedPageBreak/>
        <w:t>5. Temporary stop criteria</w:t>
      </w:r>
    </w:p>
    <w:p w14:paraId="084A7699" w14:textId="77777777" w:rsidR="00A67F0A" w:rsidRDefault="00000000">
      <w:pPr>
        <w:pStyle w:val="Puntoelenco"/>
      </w:pPr>
      <w:r>
        <w:t>New or worsening haemodynamic instability during mobilization.</w:t>
      </w:r>
    </w:p>
    <w:p w14:paraId="2BB488BA" w14:textId="77777777" w:rsidR="00A67F0A" w:rsidRDefault="00000000">
      <w:pPr>
        <w:pStyle w:val="Puntoelenco"/>
      </w:pPr>
      <w:r>
        <w:t>Severe dyspnoea, chest pain, presyncope, syncope, or distress.</w:t>
      </w:r>
    </w:p>
    <w:p w14:paraId="47EE0370" w14:textId="77777777" w:rsidR="00A67F0A" w:rsidRDefault="00000000">
      <w:pPr>
        <w:pStyle w:val="Puntoelenco"/>
      </w:pPr>
      <w:r>
        <w:t>New neurological symptoms or abrupt change in consciousness.</w:t>
      </w:r>
    </w:p>
    <w:p w14:paraId="1106BE8D" w14:textId="77777777" w:rsidR="00A67F0A" w:rsidRDefault="00000000">
      <w:pPr>
        <w:pStyle w:val="Puntoelenco"/>
      </w:pPr>
      <w:r>
        <w:t>Patient refusal, excessive fatigue, or inability to cooperate safely.</w:t>
      </w:r>
    </w:p>
    <w:p w14:paraId="4AC8D90D" w14:textId="77777777" w:rsidR="00A67F0A" w:rsidRDefault="00000000">
      <w:pPr>
        <w:pStyle w:val="Puntoelenco"/>
      </w:pPr>
      <w:r>
        <w:t>Clinical judgment by the supervising staff member that continuation is unsafe.</w:t>
      </w:r>
    </w:p>
    <w:p w14:paraId="163B998C" w14:textId="77777777" w:rsidR="00A67F0A" w:rsidRDefault="00000000">
      <w:pPr>
        <w:pStyle w:val="HeadingSmall"/>
      </w:pPr>
      <w:r>
        <w:t>6. Bedside equipment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96"/>
        <w:gridCol w:w="3397"/>
        <w:gridCol w:w="3397"/>
      </w:tblGrid>
      <w:tr w:rsidR="00A67F0A" w14:paraId="79CA20C6" w14:textId="77777777">
        <w:trPr>
          <w:tblHeader/>
          <w:jc w:val="center"/>
        </w:trPr>
        <w:tc>
          <w:tcPr>
            <w:tcW w:w="3400" w:type="dxa"/>
            <w:shd w:val="clear" w:color="auto" w:fill="E8F3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E50D3" w14:textId="77777777" w:rsidR="00A67F0A" w:rsidRDefault="00000000">
            <w:r>
              <w:rPr>
                <w:b/>
                <w:sz w:val="17"/>
              </w:rPr>
              <w:t>Item</w:t>
            </w:r>
          </w:p>
        </w:tc>
        <w:tc>
          <w:tcPr>
            <w:tcW w:w="3400" w:type="dxa"/>
            <w:shd w:val="clear" w:color="auto" w:fill="E8F3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F74A3" w14:textId="77777777" w:rsidR="00A67F0A" w:rsidRDefault="00000000">
            <w:r>
              <w:rPr>
                <w:b/>
                <w:sz w:val="17"/>
              </w:rPr>
              <w:t>Purpose</w:t>
            </w:r>
          </w:p>
        </w:tc>
        <w:tc>
          <w:tcPr>
            <w:tcW w:w="3400" w:type="dxa"/>
            <w:shd w:val="clear" w:color="auto" w:fill="E8F3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5A5DB7" w14:textId="77777777" w:rsidR="00A67F0A" w:rsidRDefault="00000000">
            <w:r>
              <w:rPr>
                <w:b/>
                <w:sz w:val="17"/>
              </w:rPr>
              <w:t>Operational requirement</w:t>
            </w:r>
          </w:p>
        </w:tc>
      </w:tr>
      <w:tr w:rsidR="00A67F0A" w14:paraId="145F3D83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85054" w14:textId="77777777" w:rsidR="00A67F0A" w:rsidRDefault="00000000">
            <w:r>
              <w:rPr>
                <w:sz w:val="17"/>
              </w:rPr>
              <w:t>Supportive armchair/chair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0E7EDC" w14:textId="77777777" w:rsidR="00A67F0A" w:rsidRDefault="00000000">
            <w:r>
              <w:rPr>
                <w:sz w:val="17"/>
              </w:rPr>
              <w:t>Sitting out of bed, meals in chair, transfer practice.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57752" w14:textId="77777777" w:rsidR="00A67F0A" w:rsidRDefault="00000000">
            <w:r>
              <w:rPr>
                <w:sz w:val="17"/>
              </w:rPr>
              <w:t>Available for patients targeted for chair mobilization.</w:t>
            </w:r>
          </w:p>
        </w:tc>
      </w:tr>
      <w:tr w:rsidR="00A67F0A" w14:paraId="6C2F7E0A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79153" w14:textId="77777777" w:rsidR="00A67F0A" w:rsidRDefault="00000000">
            <w:r>
              <w:rPr>
                <w:sz w:val="17"/>
              </w:rPr>
              <w:t>Walker or appropriate mobility aid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EE29D" w14:textId="77777777" w:rsidR="00A67F0A" w:rsidRDefault="00000000">
            <w:r>
              <w:rPr>
                <w:sz w:val="17"/>
              </w:rPr>
              <w:t>Standing, transfers, supervised ambulation.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86320" w14:textId="77777777" w:rsidR="00A67F0A" w:rsidRDefault="00000000">
            <w:r>
              <w:rPr>
                <w:sz w:val="17"/>
              </w:rPr>
              <w:t>Chosen according to functional assessment.</w:t>
            </w:r>
          </w:p>
        </w:tc>
      </w:tr>
      <w:tr w:rsidR="00A67F0A" w14:paraId="0A743CEA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034768" w14:textId="77777777" w:rsidR="00A67F0A" w:rsidRDefault="00000000">
            <w:r>
              <w:rPr>
                <w:sz w:val="17"/>
              </w:rPr>
              <w:t>Non-slip footwear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751B3" w14:textId="77777777" w:rsidR="00A67F0A" w:rsidRDefault="00000000">
            <w:r>
              <w:rPr>
                <w:sz w:val="17"/>
              </w:rPr>
              <w:t>Fall-risk reduction during standing and walking.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60FAC" w14:textId="77777777" w:rsidR="00A67F0A" w:rsidRDefault="00000000">
            <w:r>
              <w:rPr>
                <w:sz w:val="17"/>
              </w:rPr>
              <w:t>Checked before out-of-bed mobilization.</w:t>
            </w:r>
          </w:p>
        </w:tc>
      </w:tr>
      <w:tr w:rsidR="00A67F0A" w14:paraId="1E0A04A9" w14:textId="77777777">
        <w:trPr>
          <w:jc w:val="center"/>
        </w:trPr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518133" w14:textId="77777777" w:rsidR="00A67F0A" w:rsidRDefault="00000000">
            <w:r>
              <w:rPr>
                <w:sz w:val="17"/>
              </w:rPr>
              <w:t>Clear bedside environment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D6511A" w14:textId="77777777" w:rsidR="00A67F0A" w:rsidRDefault="00000000">
            <w:r>
              <w:rPr>
                <w:sz w:val="17"/>
              </w:rPr>
              <w:t>Safe transfer route and turning space.</w:t>
            </w: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F2288B" w14:textId="77777777" w:rsidR="00A67F0A" w:rsidRDefault="00000000">
            <w:r>
              <w:rPr>
                <w:sz w:val="17"/>
              </w:rPr>
              <w:t>Prepared by staff before mobilization.</w:t>
            </w:r>
          </w:p>
        </w:tc>
      </w:tr>
    </w:tbl>
    <w:p w14:paraId="6446AB2F" w14:textId="77777777" w:rsidR="005B70C7" w:rsidRDefault="005B70C7">
      <w:pPr>
        <w:pStyle w:val="HeadingSmall"/>
      </w:pPr>
    </w:p>
    <w:p w14:paraId="016188A9" w14:textId="7493C703" w:rsidR="00A67F0A" w:rsidRDefault="00000000">
      <w:pPr>
        <w:pStyle w:val="HeadingSmall"/>
      </w:pPr>
      <w:r>
        <w:t>7. Team roles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A67F0A" w14:paraId="1DB98AC5" w14:textId="77777777">
        <w:trPr>
          <w:tblHeader/>
          <w:jc w:val="center"/>
        </w:trPr>
        <w:tc>
          <w:tcPr>
            <w:tcW w:w="5100" w:type="dxa"/>
            <w:shd w:val="clear" w:color="auto" w:fill="F6E9D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C476E4" w14:textId="77777777" w:rsidR="00A67F0A" w:rsidRDefault="00000000">
            <w:r>
              <w:rPr>
                <w:b/>
                <w:sz w:val="17"/>
              </w:rPr>
              <w:t>Team member</w:t>
            </w:r>
          </w:p>
        </w:tc>
        <w:tc>
          <w:tcPr>
            <w:tcW w:w="5100" w:type="dxa"/>
            <w:shd w:val="clear" w:color="auto" w:fill="F6E9D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1C4D9" w14:textId="77777777" w:rsidR="00A67F0A" w:rsidRDefault="00000000">
            <w:r>
              <w:rPr>
                <w:b/>
                <w:sz w:val="17"/>
              </w:rPr>
              <w:t>Operational role</w:t>
            </w:r>
          </w:p>
        </w:tc>
      </w:tr>
      <w:tr w:rsidR="00A67F0A" w14:paraId="3D346B9B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D5FCC" w14:textId="77777777" w:rsidR="00A67F0A" w:rsidRDefault="00000000">
            <w:r>
              <w:rPr>
                <w:sz w:val="17"/>
              </w:rPr>
              <w:t>Physician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10E76" w14:textId="77777777" w:rsidR="00A67F0A" w:rsidRDefault="00000000">
            <w:r>
              <w:rPr>
                <w:sz w:val="17"/>
              </w:rPr>
              <w:t>Confirms clinical appropriateness, reviews contraindications, and aligns mobilization with the medical plan.</w:t>
            </w:r>
          </w:p>
        </w:tc>
      </w:tr>
      <w:tr w:rsidR="00A67F0A" w14:paraId="261312DA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10EFA1" w14:textId="77777777" w:rsidR="00A67F0A" w:rsidRDefault="00000000">
            <w:r>
              <w:rPr>
                <w:sz w:val="17"/>
              </w:rPr>
              <w:t>Nurse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5B08E" w14:textId="77777777" w:rsidR="00A67F0A" w:rsidRDefault="00000000">
            <w:r>
              <w:rPr>
                <w:sz w:val="17"/>
              </w:rPr>
              <w:t>Integrates mobilization into routine care, monitors tolerance, coordinates timing with treatments and daily care.</w:t>
            </w:r>
          </w:p>
        </w:tc>
      </w:tr>
      <w:tr w:rsidR="00A67F0A" w14:paraId="31AAAE95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C6F1D0" w14:textId="77777777" w:rsidR="00A67F0A" w:rsidRDefault="00000000">
            <w:r>
              <w:rPr>
                <w:sz w:val="17"/>
              </w:rPr>
              <w:t>Physiotherapist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379061" w14:textId="77777777" w:rsidR="00A67F0A" w:rsidRDefault="00000000">
            <w:r>
              <w:rPr>
                <w:sz w:val="17"/>
              </w:rPr>
              <w:t>Assesses mobility level, supports progression strategy, advises on devices and assistance.</w:t>
            </w:r>
          </w:p>
        </w:tc>
      </w:tr>
      <w:tr w:rsidR="00A67F0A" w14:paraId="6E038EE6" w14:textId="77777777">
        <w:trPr>
          <w:jc w:val="center"/>
        </w:trPr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F85FB2" w14:textId="77777777" w:rsidR="00A67F0A" w:rsidRDefault="00000000">
            <w:r>
              <w:rPr>
                <w:sz w:val="17"/>
              </w:rPr>
              <w:t>Healthcare assistant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7C1A24" w14:textId="77777777" w:rsidR="00A67F0A" w:rsidRDefault="00000000">
            <w:r>
              <w:rPr>
                <w:sz w:val="17"/>
              </w:rPr>
              <w:t>Supports transfers, chair positioning, supervised walking, and practical mobility opportunities.</w:t>
            </w:r>
          </w:p>
        </w:tc>
      </w:tr>
    </w:tbl>
    <w:p w14:paraId="64AEDAA4" w14:textId="77777777" w:rsidR="005B70C7" w:rsidRDefault="005B70C7">
      <w:pPr>
        <w:pStyle w:val="HeadingSmall"/>
      </w:pPr>
    </w:p>
    <w:p w14:paraId="198DF3C3" w14:textId="2306A75D" w:rsidR="00A67F0A" w:rsidRDefault="00000000">
      <w:pPr>
        <w:pStyle w:val="HeadingSmall"/>
      </w:pPr>
      <w:r>
        <w:t xml:space="preserve">8. Daily documentation </w:t>
      </w:r>
    </w:p>
    <w:p w14:paraId="75CD4119" w14:textId="77777777" w:rsidR="00A67F0A" w:rsidRDefault="00000000">
      <w:pPr>
        <w:pStyle w:val="Puntoelenco"/>
      </w:pPr>
      <w:r>
        <w:t>Daily mobility target and achieved level were documented in the clinical record or audit log.</w:t>
      </w:r>
    </w:p>
    <w:p w14:paraId="5E47644D" w14:textId="77777777" w:rsidR="00A67F0A" w:rsidRDefault="00000000">
      <w:pPr>
        <w:pStyle w:val="Puntoelenco"/>
      </w:pPr>
      <w:r>
        <w:t>Completed sessions, missed sessions, patient tolerance, symptoms, and reasons for deferral were recorded.</w:t>
      </w:r>
    </w:p>
    <w:p w14:paraId="73DFC080" w14:textId="77777777" w:rsidR="00A67F0A" w:rsidRDefault="00000000">
      <w:pPr>
        <w:pStyle w:val="Puntoelenco"/>
      </w:pPr>
      <w:r>
        <w:t>The next-day mobility target was updated during the team huddle.</w:t>
      </w:r>
    </w:p>
    <w:p w14:paraId="69E8E93B" w14:textId="514F4FD5" w:rsidR="00A67F0A" w:rsidRDefault="00A67F0A" w:rsidP="005B70C7">
      <w:pPr>
        <w:pStyle w:val="Puntoelenco"/>
        <w:numPr>
          <w:ilvl w:val="0"/>
          <w:numId w:val="0"/>
        </w:numPr>
        <w:ind w:left="360"/>
      </w:pPr>
    </w:p>
    <w:sectPr w:rsidR="00A67F0A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8299699">
    <w:abstractNumId w:val="8"/>
  </w:num>
  <w:num w:numId="2" w16cid:durableId="348603399">
    <w:abstractNumId w:val="6"/>
  </w:num>
  <w:num w:numId="3" w16cid:durableId="1152479411">
    <w:abstractNumId w:val="5"/>
  </w:num>
  <w:num w:numId="4" w16cid:durableId="1817792178">
    <w:abstractNumId w:val="4"/>
  </w:num>
  <w:num w:numId="5" w16cid:durableId="1174614349">
    <w:abstractNumId w:val="7"/>
  </w:num>
  <w:num w:numId="6" w16cid:durableId="1709455954">
    <w:abstractNumId w:val="3"/>
  </w:num>
  <w:num w:numId="7" w16cid:durableId="736519196">
    <w:abstractNumId w:val="2"/>
  </w:num>
  <w:num w:numId="8" w16cid:durableId="2006980348">
    <w:abstractNumId w:val="1"/>
  </w:num>
  <w:num w:numId="9" w16cid:durableId="1864588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3765"/>
    <w:rsid w:val="005B70C7"/>
    <w:rsid w:val="00A67F0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C4D220"/>
  <w14:defaultImageDpi w14:val="300"/>
  <w15:docId w15:val="{F3D102C6-8F0F-481E-A8C0-9EB6CD736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Pr>
      <w:rFonts w:ascii="Arial" w:eastAsia="Arial" w:hAnsi="Arial"/>
      <w:b/>
      <w:sz w:val="30"/>
    </w:rPr>
  </w:style>
  <w:style w:type="paragraph" w:customStyle="1" w:styleId="Sottotitolo1">
    <w:name w:val="Sottotitolo1"/>
    <w:rPr>
      <w:rFonts w:ascii="Arial" w:eastAsia="Arial" w:hAnsi="Arial"/>
      <w:sz w:val="18"/>
    </w:rPr>
  </w:style>
  <w:style w:type="paragraph" w:customStyle="1" w:styleId="HeadingSmall">
    <w:name w:val="HeadingSmall"/>
    <w:rPr>
      <w:rFonts w:ascii="Arial" w:eastAsia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fabrizio turrini</cp:lastModifiedBy>
  <cp:revision>2</cp:revision>
  <dcterms:created xsi:type="dcterms:W3CDTF">2026-08-10T14:27:00Z</dcterms:created>
  <dcterms:modified xsi:type="dcterms:W3CDTF">2026-08-10T14:27:00Z</dcterms:modified>
  <cp:category/>
</cp:coreProperties>
</file>