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BBB" w14:textId="77777777" w:rsidR="00E03FF7" w:rsidRDefault="00000000">
      <w:pPr>
        <w:pStyle w:val="DocTitle"/>
        <w:jc w:val="center"/>
      </w:pPr>
      <w:r>
        <w:t>Supplementary Appendix 3</w:t>
      </w:r>
    </w:p>
    <w:p w14:paraId="6396437C" w14:textId="77777777" w:rsidR="00E03FF7" w:rsidRDefault="00000000">
      <w:pPr>
        <w:pStyle w:val="Sottotitolo1"/>
        <w:jc w:val="center"/>
      </w:pPr>
      <w:r>
        <w:t>Additional statistical methods and sensitivity analyses</w:t>
      </w:r>
    </w:p>
    <w:p w14:paraId="41EE72A1" w14:textId="77777777" w:rsidR="00E03FF7" w:rsidRDefault="00000000">
      <w:pPr>
        <w:pStyle w:val="HeadingSmall"/>
      </w:pPr>
      <w:r>
        <w:t>1. Analytic cohorts</w:t>
      </w:r>
    </w:p>
    <w:p w14:paraId="73B072B6" w14:textId="77777777" w:rsidR="00E03FF7" w:rsidRDefault="00000000">
      <w:pPr>
        <w:pStyle w:val="Puntoelenco"/>
      </w:pPr>
      <w:r>
        <w:t>The primary analytic cohort comprised 600 discharged-alive patients: 300 in the pre-implementation phase and 300 in the post-implementation phase.</w:t>
      </w:r>
    </w:p>
    <w:p w14:paraId="532DA35B" w14:textId="77777777" w:rsidR="00E03FF7" w:rsidRDefault="00000000">
      <w:pPr>
        <w:pStyle w:val="Puntoelenco"/>
      </w:pPr>
      <w:r>
        <w:t>Patients who died before discharge were not eligible for functional trajectory or post-discharge survival analyses, but were retained in the safety population.</w:t>
      </w:r>
    </w:p>
    <w:p w14:paraId="18E0C1FD" w14:textId="77777777" w:rsidR="00E03FF7" w:rsidRDefault="00000000">
      <w:pPr>
        <w:pStyle w:val="Puntoelenco"/>
      </w:pPr>
      <w:r>
        <w:t>Safety population: 315 patients in phase 1 and 310 patients in phase 2; in-hospital deaths were 15/315 and 10/310, respectively.</w:t>
      </w:r>
    </w:p>
    <w:p w14:paraId="017EB7EB" w14:textId="77777777" w:rsidR="00E03FF7" w:rsidRDefault="00000000">
      <w:pPr>
        <w:pStyle w:val="HeadingSmall"/>
      </w:pPr>
      <w:r>
        <w:t>2. Main models</w:t>
      </w:r>
    </w:p>
    <w:p w14:paraId="75625DE7" w14:textId="77777777" w:rsidR="00E03FF7" w:rsidRDefault="00000000">
      <w:pPr>
        <w:pStyle w:val="Puntoelenco"/>
      </w:pPr>
      <w:r>
        <w:t>Functional worsening was analysed using logistic regression. The post-implementation phase was the main exposure.</w:t>
      </w:r>
    </w:p>
    <w:p w14:paraId="59B95536" w14:textId="77777777" w:rsidR="00E03FF7" w:rsidRDefault="00000000">
      <w:pPr>
        <w:pStyle w:val="Puntoelenco"/>
      </w:pPr>
      <w:r>
        <w:t>Post-discharge 90-day mortality was analysed using Cox proportional hazards models with time zero defined as hospital discharge and administrative censoring at 90 days.</w:t>
      </w:r>
    </w:p>
    <w:p w14:paraId="3606EC62" w14:textId="77777777" w:rsidR="00E03FF7" w:rsidRDefault="00000000">
      <w:pPr>
        <w:pStyle w:val="Puntoelenco"/>
      </w:pPr>
      <w:r>
        <w:t>The baseline-adjusted Cox model included age, sex, dementia, delirium during hospitalization, and study phase.</w:t>
      </w:r>
    </w:p>
    <w:p w14:paraId="42A7376E" w14:textId="77777777" w:rsidR="00E03FF7" w:rsidRDefault="00000000">
      <w:pPr>
        <w:pStyle w:val="Puntoelenco"/>
      </w:pPr>
      <w:r>
        <w:t>Sequential Cox models then added any functional worsening and urinary catheter use at discharge to explore whether discharge trajectory variables attenuated the phase-mortality association.</w:t>
      </w:r>
    </w:p>
    <w:tbl>
      <w:tblPr>
        <w:tblStyle w:val="Grigliatabella"/>
        <w:tblW w:w="0" w:type="auto"/>
        <w:jc w:val="center"/>
        <w:tblLook w:val="04A0" w:firstRow="1" w:lastRow="0" w:firstColumn="1" w:lastColumn="0" w:noHBand="0" w:noVBand="1"/>
      </w:tblPr>
      <w:tblGrid>
        <w:gridCol w:w="2547"/>
        <w:gridCol w:w="2548"/>
        <w:gridCol w:w="2548"/>
        <w:gridCol w:w="2547"/>
      </w:tblGrid>
      <w:tr w:rsidR="00E03FF7" w14:paraId="6A515B1C" w14:textId="77777777">
        <w:trPr>
          <w:tblHeader/>
          <w:jc w:val="center"/>
        </w:trPr>
        <w:tc>
          <w:tcPr>
            <w:tcW w:w="2550" w:type="dxa"/>
            <w:shd w:val="clear" w:color="auto" w:fill="D9EAF7"/>
            <w:tcMar>
              <w:top w:w="80" w:type="dxa"/>
              <w:left w:w="100" w:type="dxa"/>
              <w:bottom w:w="80" w:type="dxa"/>
              <w:right w:w="100" w:type="dxa"/>
            </w:tcMar>
            <w:vAlign w:val="center"/>
          </w:tcPr>
          <w:p w14:paraId="240649E9" w14:textId="77777777" w:rsidR="00E03FF7" w:rsidRDefault="00000000">
            <w:r>
              <w:rPr>
                <w:b/>
                <w:sz w:val="17"/>
              </w:rPr>
              <w:t>Analysis</w:t>
            </w:r>
          </w:p>
        </w:tc>
        <w:tc>
          <w:tcPr>
            <w:tcW w:w="2550" w:type="dxa"/>
            <w:shd w:val="clear" w:color="auto" w:fill="D9EAF7"/>
            <w:tcMar>
              <w:top w:w="80" w:type="dxa"/>
              <w:left w:w="100" w:type="dxa"/>
              <w:bottom w:w="80" w:type="dxa"/>
              <w:right w:w="100" w:type="dxa"/>
            </w:tcMar>
            <w:vAlign w:val="center"/>
          </w:tcPr>
          <w:p w14:paraId="204E260B" w14:textId="77777777" w:rsidR="00E03FF7" w:rsidRDefault="00000000">
            <w:r>
              <w:rPr>
                <w:b/>
                <w:sz w:val="17"/>
              </w:rPr>
              <w:t>Model/covariates</w:t>
            </w:r>
          </w:p>
        </w:tc>
        <w:tc>
          <w:tcPr>
            <w:tcW w:w="2550" w:type="dxa"/>
            <w:shd w:val="clear" w:color="auto" w:fill="D9EAF7"/>
            <w:tcMar>
              <w:top w:w="80" w:type="dxa"/>
              <w:left w:w="100" w:type="dxa"/>
              <w:bottom w:w="80" w:type="dxa"/>
              <w:right w:w="100" w:type="dxa"/>
            </w:tcMar>
            <w:vAlign w:val="center"/>
          </w:tcPr>
          <w:p w14:paraId="711648E3" w14:textId="77777777" w:rsidR="00E03FF7" w:rsidRDefault="00000000">
            <w:r>
              <w:rPr>
                <w:b/>
                <w:sz w:val="17"/>
              </w:rPr>
              <w:t>Estimate for post-implementation phase</w:t>
            </w:r>
          </w:p>
        </w:tc>
        <w:tc>
          <w:tcPr>
            <w:tcW w:w="2550" w:type="dxa"/>
            <w:shd w:val="clear" w:color="auto" w:fill="D9EAF7"/>
            <w:tcMar>
              <w:top w:w="80" w:type="dxa"/>
              <w:left w:w="100" w:type="dxa"/>
              <w:bottom w:w="80" w:type="dxa"/>
              <w:right w:w="100" w:type="dxa"/>
            </w:tcMar>
            <w:vAlign w:val="center"/>
          </w:tcPr>
          <w:p w14:paraId="7EF724F2" w14:textId="77777777" w:rsidR="00E03FF7" w:rsidRDefault="00000000">
            <w:r>
              <w:rPr>
                <w:b/>
                <w:sz w:val="17"/>
              </w:rPr>
              <w:t>Purpose</w:t>
            </w:r>
          </w:p>
        </w:tc>
      </w:tr>
      <w:tr w:rsidR="00E03FF7" w14:paraId="6062BC59" w14:textId="77777777">
        <w:trPr>
          <w:jc w:val="center"/>
        </w:trPr>
        <w:tc>
          <w:tcPr>
            <w:tcW w:w="2550" w:type="dxa"/>
            <w:tcMar>
              <w:top w:w="80" w:type="dxa"/>
              <w:left w:w="100" w:type="dxa"/>
              <w:bottom w:w="80" w:type="dxa"/>
              <w:right w:w="100" w:type="dxa"/>
            </w:tcMar>
            <w:vAlign w:val="center"/>
          </w:tcPr>
          <w:p w14:paraId="4E214379" w14:textId="77777777" w:rsidR="00E03FF7" w:rsidRDefault="00000000">
            <w:r>
              <w:rPr>
                <w:sz w:val="17"/>
              </w:rPr>
              <w:t>Baseline-adjusted Cox</w:t>
            </w:r>
          </w:p>
        </w:tc>
        <w:tc>
          <w:tcPr>
            <w:tcW w:w="2550" w:type="dxa"/>
            <w:tcMar>
              <w:top w:w="80" w:type="dxa"/>
              <w:left w:w="100" w:type="dxa"/>
              <w:bottom w:w="80" w:type="dxa"/>
              <w:right w:w="100" w:type="dxa"/>
            </w:tcMar>
            <w:vAlign w:val="center"/>
          </w:tcPr>
          <w:p w14:paraId="6D264DEC" w14:textId="77777777" w:rsidR="00E03FF7" w:rsidRDefault="00000000">
            <w:r>
              <w:rPr>
                <w:sz w:val="17"/>
              </w:rPr>
              <w:t>Age, sex, dementia, delirium, phase</w:t>
            </w:r>
          </w:p>
        </w:tc>
        <w:tc>
          <w:tcPr>
            <w:tcW w:w="2550" w:type="dxa"/>
            <w:tcMar>
              <w:top w:w="80" w:type="dxa"/>
              <w:left w:w="100" w:type="dxa"/>
              <w:bottom w:w="80" w:type="dxa"/>
              <w:right w:w="100" w:type="dxa"/>
            </w:tcMar>
            <w:vAlign w:val="center"/>
          </w:tcPr>
          <w:p w14:paraId="7188562F" w14:textId="77777777" w:rsidR="00E03FF7" w:rsidRDefault="00000000">
            <w:r>
              <w:rPr>
                <w:sz w:val="17"/>
              </w:rPr>
              <w:t>HR 0.53, 95% CI 0.35 to 0.80; p=0.003</w:t>
            </w:r>
          </w:p>
        </w:tc>
        <w:tc>
          <w:tcPr>
            <w:tcW w:w="2550" w:type="dxa"/>
            <w:tcMar>
              <w:top w:w="80" w:type="dxa"/>
              <w:left w:w="100" w:type="dxa"/>
              <w:bottom w:w="80" w:type="dxa"/>
              <w:right w:w="100" w:type="dxa"/>
            </w:tcMar>
            <w:vAlign w:val="center"/>
          </w:tcPr>
          <w:p w14:paraId="165F483B" w14:textId="77777777" w:rsidR="00E03FF7" w:rsidRDefault="00000000">
            <w:r>
              <w:rPr>
                <w:sz w:val="17"/>
              </w:rPr>
              <w:t>Primary adjusted survival estimate.</w:t>
            </w:r>
          </w:p>
        </w:tc>
      </w:tr>
      <w:tr w:rsidR="00E03FF7" w14:paraId="79D1A0EC" w14:textId="77777777">
        <w:trPr>
          <w:jc w:val="center"/>
        </w:trPr>
        <w:tc>
          <w:tcPr>
            <w:tcW w:w="2550" w:type="dxa"/>
            <w:tcMar>
              <w:top w:w="80" w:type="dxa"/>
              <w:left w:w="100" w:type="dxa"/>
              <w:bottom w:w="80" w:type="dxa"/>
              <w:right w:w="100" w:type="dxa"/>
            </w:tcMar>
            <w:vAlign w:val="center"/>
          </w:tcPr>
          <w:p w14:paraId="46E09605" w14:textId="77777777" w:rsidR="00E03FF7" w:rsidRDefault="00000000">
            <w:r>
              <w:rPr>
                <w:sz w:val="17"/>
              </w:rPr>
              <w:t>Season-adjusted Cox</w:t>
            </w:r>
          </w:p>
        </w:tc>
        <w:tc>
          <w:tcPr>
            <w:tcW w:w="2550" w:type="dxa"/>
            <w:tcMar>
              <w:top w:w="80" w:type="dxa"/>
              <w:left w:w="100" w:type="dxa"/>
              <w:bottom w:w="80" w:type="dxa"/>
              <w:right w:w="100" w:type="dxa"/>
            </w:tcMar>
            <w:vAlign w:val="center"/>
          </w:tcPr>
          <w:p w14:paraId="30E8290A" w14:textId="77777777" w:rsidR="00E03FF7" w:rsidRDefault="00000000">
            <w:r>
              <w:rPr>
                <w:sz w:val="17"/>
              </w:rPr>
              <w:t>Baseline-adjusted Cox plus discharge season</w:t>
            </w:r>
          </w:p>
        </w:tc>
        <w:tc>
          <w:tcPr>
            <w:tcW w:w="2550" w:type="dxa"/>
            <w:tcMar>
              <w:top w:w="80" w:type="dxa"/>
              <w:left w:w="100" w:type="dxa"/>
              <w:bottom w:w="80" w:type="dxa"/>
              <w:right w:w="100" w:type="dxa"/>
            </w:tcMar>
            <w:vAlign w:val="center"/>
          </w:tcPr>
          <w:p w14:paraId="557B3BB3" w14:textId="77777777" w:rsidR="00E03FF7" w:rsidRDefault="00000000">
            <w:r>
              <w:rPr>
                <w:sz w:val="17"/>
              </w:rPr>
              <w:t>HR 0.56, 95% CI 0.37 to 0.86; p=0.008</w:t>
            </w:r>
          </w:p>
        </w:tc>
        <w:tc>
          <w:tcPr>
            <w:tcW w:w="2550" w:type="dxa"/>
            <w:tcMar>
              <w:top w:w="80" w:type="dxa"/>
              <w:left w:w="100" w:type="dxa"/>
              <w:bottom w:w="80" w:type="dxa"/>
              <w:right w:w="100" w:type="dxa"/>
            </w:tcMar>
            <w:vAlign w:val="center"/>
          </w:tcPr>
          <w:p w14:paraId="73AE1E69" w14:textId="77777777" w:rsidR="00E03FF7" w:rsidRDefault="00000000">
            <w:r>
              <w:rPr>
                <w:sz w:val="17"/>
              </w:rPr>
              <w:t>Assess potential seasonal confounding.</w:t>
            </w:r>
          </w:p>
        </w:tc>
      </w:tr>
      <w:tr w:rsidR="00E03FF7" w14:paraId="1B254025" w14:textId="77777777">
        <w:trPr>
          <w:jc w:val="center"/>
        </w:trPr>
        <w:tc>
          <w:tcPr>
            <w:tcW w:w="2550" w:type="dxa"/>
            <w:tcMar>
              <w:top w:w="80" w:type="dxa"/>
              <w:left w:w="100" w:type="dxa"/>
              <w:bottom w:w="80" w:type="dxa"/>
              <w:right w:w="100" w:type="dxa"/>
            </w:tcMar>
            <w:vAlign w:val="center"/>
          </w:tcPr>
          <w:p w14:paraId="7A176475" w14:textId="77777777" w:rsidR="00E03FF7" w:rsidRDefault="00000000">
            <w:r>
              <w:rPr>
                <w:sz w:val="17"/>
              </w:rPr>
              <w:t>IPTW Cox</w:t>
            </w:r>
          </w:p>
        </w:tc>
        <w:tc>
          <w:tcPr>
            <w:tcW w:w="2550" w:type="dxa"/>
            <w:tcMar>
              <w:top w:w="80" w:type="dxa"/>
              <w:left w:w="100" w:type="dxa"/>
              <w:bottom w:w="80" w:type="dxa"/>
              <w:right w:w="100" w:type="dxa"/>
            </w:tcMar>
            <w:vAlign w:val="center"/>
          </w:tcPr>
          <w:p w14:paraId="6E75DDE7" w14:textId="77777777" w:rsidR="00E03FF7" w:rsidRDefault="00000000">
            <w:r>
              <w:rPr>
                <w:sz w:val="17"/>
              </w:rPr>
              <w:t>Stabilized inverse probability of treatment weights from baseline covariates</w:t>
            </w:r>
          </w:p>
        </w:tc>
        <w:tc>
          <w:tcPr>
            <w:tcW w:w="2550" w:type="dxa"/>
            <w:tcMar>
              <w:top w:w="80" w:type="dxa"/>
              <w:left w:w="100" w:type="dxa"/>
              <w:bottom w:w="80" w:type="dxa"/>
              <w:right w:w="100" w:type="dxa"/>
            </w:tcMar>
            <w:vAlign w:val="center"/>
          </w:tcPr>
          <w:p w14:paraId="3ACEDB6F" w14:textId="77777777" w:rsidR="00E03FF7" w:rsidRDefault="00000000">
            <w:r>
              <w:rPr>
                <w:sz w:val="17"/>
              </w:rPr>
              <w:t>Weighted HR 0.56, 95% CI 0.37 to 0.86; p=0.007</w:t>
            </w:r>
          </w:p>
        </w:tc>
        <w:tc>
          <w:tcPr>
            <w:tcW w:w="2550" w:type="dxa"/>
            <w:tcMar>
              <w:top w:w="80" w:type="dxa"/>
              <w:left w:w="100" w:type="dxa"/>
              <w:bottom w:w="80" w:type="dxa"/>
              <w:right w:w="100" w:type="dxa"/>
            </w:tcMar>
            <w:vAlign w:val="center"/>
          </w:tcPr>
          <w:p w14:paraId="2CC4F62F" w14:textId="77777777" w:rsidR="00E03FF7" w:rsidRDefault="00000000">
            <w:r>
              <w:rPr>
                <w:sz w:val="17"/>
              </w:rPr>
              <w:t>Assess robustness to measured baseline imbalance.</w:t>
            </w:r>
          </w:p>
        </w:tc>
      </w:tr>
      <w:tr w:rsidR="00E03FF7" w14:paraId="4A431419" w14:textId="77777777">
        <w:trPr>
          <w:jc w:val="center"/>
        </w:trPr>
        <w:tc>
          <w:tcPr>
            <w:tcW w:w="2550" w:type="dxa"/>
            <w:tcMar>
              <w:top w:w="80" w:type="dxa"/>
              <w:left w:w="100" w:type="dxa"/>
              <w:bottom w:w="80" w:type="dxa"/>
              <w:right w:w="100" w:type="dxa"/>
            </w:tcMar>
            <w:vAlign w:val="center"/>
          </w:tcPr>
          <w:p w14:paraId="7F1A8176" w14:textId="77777777" w:rsidR="00E03FF7" w:rsidRDefault="00000000">
            <w:r>
              <w:rPr>
                <w:sz w:val="17"/>
              </w:rPr>
              <w:t>Sequential Cox model 2</w:t>
            </w:r>
          </w:p>
        </w:tc>
        <w:tc>
          <w:tcPr>
            <w:tcW w:w="2550" w:type="dxa"/>
            <w:tcMar>
              <w:top w:w="80" w:type="dxa"/>
              <w:left w:w="100" w:type="dxa"/>
              <w:bottom w:w="80" w:type="dxa"/>
              <w:right w:w="100" w:type="dxa"/>
            </w:tcMar>
            <w:vAlign w:val="center"/>
          </w:tcPr>
          <w:p w14:paraId="36E58AA6" w14:textId="77777777" w:rsidR="00E03FF7" w:rsidRDefault="00000000">
            <w:r>
              <w:rPr>
                <w:sz w:val="17"/>
              </w:rPr>
              <w:t>Baseline-adjusted Cox plus any functional worsening</w:t>
            </w:r>
          </w:p>
        </w:tc>
        <w:tc>
          <w:tcPr>
            <w:tcW w:w="2550" w:type="dxa"/>
            <w:tcMar>
              <w:top w:w="80" w:type="dxa"/>
              <w:left w:w="100" w:type="dxa"/>
              <w:bottom w:w="80" w:type="dxa"/>
              <w:right w:w="100" w:type="dxa"/>
            </w:tcMar>
            <w:vAlign w:val="center"/>
          </w:tcPr>
          <w:p w14:paraId="1F04C2AC" w14:textId="77777777" w:rsidR="00E03FF7" w:rsidRDefault="00000000">
            <w:r>
              <w:rPr>
                <w:sz w:val="17"/>
              </w:rPr>
              <w:t>HR 0.60, 95% CI 0.39 to 0.91; p=0.017</w:t>
            </w:r>
          </w:p>
        </w:tc>
        <w:tc>
          <w:tcPr>
            <w:tcW w:w="2550" w:type="dxa"/>
            <w:tcMar>
              <w:top w:w="80" w:type="dxa"/>
              <w:left w:w="100" w:type="dxa"/>
              <w:bottom w:w="80" w:type="dxa"/>
              <w:right w:w="100" w:type="dxa"/>
            </w:tcMar>
            <w:vAlign w:val="center"/>
          </w:tcPr>
          <w:p w14:paraId="14ACF516" w14:textId="77777777" w:rsidR="00E03FF7" w:rsidRDefault="00000000">
            <w:r>
              <w:rPr>
                <w:sz w:val="17"/>
              </w:rPr>
              <w:t>Explore attenuation after adding functional trajectory.</w:t>
            </w:r>
          </w:p>
        </w:tc>
      </w:tr>
      <w:tr w:rsidR="00E03FF7" w14:paraId="33F3FD96" w14:textId="77777777">
        <w:trPr>
          <w:jc w:val="center"/>
        </w:trPr>
        <w:tc>
          <w:tcPr>
            <w:tcW w:w="2550" w:type="dxa"/>
            <w:tcMar>
              <w:top w:w="80" w:type="dxa"/>
              <w:left w:w="100" w:type="dxa"/>
              <w:bottom w:w="80" w:type="dxa"/>
              <w:right w:w="100" w:type="dxa"/>
            </w:tcMar>
            <w:vAlign w:val="center"/>
          </w:tcPr>
          <w:p w14:paraId="0A66EB63" w14:textId="77777777" w:rsidR="00E03FF7" w:rsidRDefault="00000000">
            <w:r>
              <w:rPr>
                <w:sz w:val="17"/>
              </w:rPr>
              <w:t>Sequential Cox model 3</w:t>
            </w:r>
          </w:p>
        </w:tc>
        <w:tc>
          <w:tcPr>
            <w:tcW w:w="2550" w:type="dxa"/>
            <w:tcMar>
              <w:top w:w="80" w:type="dxa"/>
              <w:left w:w="100" w:type="dxa"/>
              <w:bottom w:w="80" w:type="dxa"/>
              <w:right w:w="100" w:type="dxa"/>
            </w:tcMar>
            <w:vAlign w:val="center"/>
          </w:tcPr>
          <w:p w14:paraId="2960E273" w14:textId="77777777" w:rsidR="00E03FF7" w:rsidRDefault="00000000">
            <w:r>
              <w:rPr>
                <w:sz w:val="17"/>
              </w:rPr>
              <w:t>Model 2 plus urinary catheter at discharge</w:t>
            </w:r>
          </w:p>
        </w:tc>
        <w:tc>
          <w:tcPr>
            <w:tcW w:w="2550" w:type="dxa"/>
            <w:tcMar>
              <w:top w:w="80" w:type="dxa"/>
              <w:left w:w="100" w:type="dxa"/>
              <w:bottom w:w="80" w:type="dxa"/>
              <w:right w:w="100" w:type="dxa"/>
            </w:tcMar>
            <w:vAlign w:val="center"/>
          </w:tcPr>
          <w:p w14:paraId="04DC1313" w14:textId="77777777" w:rsidR="00E03FF7" w:rsidRDefault="00000000">
            <w:r>
              <w:rPr>
                <w:sz w:val="17"/>
              </w:rPr>
              <w:t>HR 0.63, 95% CI 0.41 to 0.97; p=0.035</w:t>
            </w:r>
          </w:p>
        </w:tc>
        <w:tc>
          <w:tcPr>
            <w:tcW w:w="2550" w:type="dxa"/>
            <w:tcMar>
              <w:top w:w="80" w:type="dxa"/>
              <w:left w:w="100" w:type="dxa"/>
              <w:bottom w:w="80" w:type="dxa"/>
              <w:right w:w="100" w:type="dxa"/>
            </w:tcMar>
            <w:vAlign w:val="center"/>
          </w:tcPr>
          <w:p w14:paraId="09D46359" w14:textId="77777777" w:rsidR="00E03FF7" w:rsidRDefault="00000000">
            <w:r>
              <w:rPr>
                <w:sz w:val="17"/>
              </w:rPr>
              <w:t>Explore further attenuation after adding care-process variable.</w:t>
            </w:r>
          </w:p>
        </w:tc>
      </w:tr>
    </w:tbl>
    <w:p w14:paraId="088ABB5D" w14:textId="77777777" w:rsidR="00020AF6" w:rsidRDefault="00020AF6">
      <w:pPr>
        <w:pStyle w:val="HeadingSmall"/>
      </w:pPr>
    </w:p>
    <w:p w14:paraId="32543C6F" w14:textId="17112A26" w:rsidR="00E03FF7" w:rsidRDefault="00000000">
      <w:pPr>
        <w:pStyle w:val="HeadingSmall"/>
      </w:pPr>
      <w:r>
        <w:t>3. Propensity score weighting</w:t>
      </w:r>
    </w:p>
    <w:p w14:paraId="649F391A" w14:textId="77777777" w:rsidR="00E03FF7" w:rsidRDefault="00000000">
      <w:pPr>
        <w:pStyle w:val="Puntoelenco"/>
      </w:pPr>
      <w:r>
        <w:t>A propensity score-weighted Cox model was used as a sensitivity analysis to account for measured baseline imbalance between phases.</w:t>
      </w:r>
    </w:p>
    <w:p w14:paraId="4B5E7EEC" w14:textId="77777777" w:rsidR="00E03FF7" w:rsidRDefault="00000000">
      <w:pPr>
        <w:pStyle w:val="Puntoelenco"/>
      </w:pPr>
      <w:r>
        <w:t>The propensity score estimated the probability of being in the post-implementation phase conditional on baseline covariates available before discharge.</w:t>
      </w:r>
    </w:p>
    <w:p w14:paraId="033813D5" w14:textId="77777777" w:rsidR="00E03FF7" w:rsidRDefault="00000000">
      <w:pPr>
        <w:pStyle w:val="Puntoelenco"/>
      </w:pPr>
      <w:r>
        <w:t>Stabilized inverse probability of treatment weights were used to reduce instability from extreme weights.</w:t>
      </w:r>
    </w:p>
    <w:p w14:paraId="195D7BAB" w14:textId="77777777" w:rsidR="00E03FF7" w:rsidRDefault="00000000">
      <w:pPr>
        <w:pStyle w:val="Puntoelenco"/>
      </w:pPr>
      <w:r>
        <w:t>Covariate balance was assessed using standardized mean differences before and after weighting.</w:t>
      </w:r>
    </w:p>
    <w:p w14:paraId="325E05D2" w14:textId="77777777" w:rsidR="00E03FF7" w:rsidRDefault="00000000">
      <w:pPr>
        <w:pStyle w:val="Puntoelenco"/>
      </w:pPr>
      <w:r>
        <w:t>This approach addresses measured confounding only and does not remove the possibility of residual confounding by unmeasured factors.</w:t>
      </w:r>
    </w:p>
    <w:p w14:paraId="10A0E71B" w14:textId="77777777" w:rsidR="00020AF6" w:rsidRDefault="00020AF6">
      <w:pPr>
        <w:pStyle w:val="HeadingSmall"/>
      </w:pPr>
    </w:p>
    <w:p w14:paraId="5C122AB2" w14:textId="4D42A42B" w:rsidR="00E03FF7" w:rsidRDefault="00000000">
      <w:pPr>
        <w:pStyle w:val="HeadingSmall"/>
      </w:pPr>
      <w:r>
        <w:lastRenderedPageBreak/>
        <w:t>4. Interrupted time-series analyses</w:t>
      </w:r>
    </w:p>
    <w:p w14:paraId="3FFCCD99" w14:textId="77777777" w:rsidR="00E03FF7" w:rsidRDefault="00000000">
      <w:pPr>
        <w:pStyle w:val="Puntoelenco"/>
      </w:pPr>
      <w:r>
        <w:t>Interrupted time-series analyses were performed using discharge-time blocks and segmented regression, with June 2024 as the intervention point.</w:t>
      </w:r>
    </w:p>
    <w:p w14:paraId="606845BD" w14:textId="77777777" w:rsidR="00E03FF7" w:rsidRDefault="00000000">
      <w:pPr>
        <w:pStyle w:val="Puntoelenco"/>
      </w:pPr>
      <w:r>
        <w:t>The primary ITS used 15-day discharge blocks to preserve temporal resolution. Sparse edge blocks in the 15-day analysis were merged with adjacent blocks so that all 600 patients were retained and unstable one-patient edge points were avoided.</w:t>
      </w:r>
    </w:p>
    <w:p w14:paraId="1B4857BA" w14:textId="77777777" w:rsidR="00E03FF7" w:rsidRDefault="00000000">
      <w:pPr>
        <w:pStyle w:val="Puntoelenco"/>
      </w:pPr>
      <w:r>
        <w:t>Exploratory ITS analyses using 30-day blocks were performed to assess stability using less granular but larger and more stable time intervals.</w:t>
      </w:r>
    </w:p>
    <w:p w14:paraId="415A3BE8" w14:textId="77777777" w:rsidR="00E03FF7" w:rsidRDefault="00000000">
      <w:pPr>
        <w:pStyle w:val="Puntoelenco"/>
      </w:pPr>
      <w:r>
        <w:t>Because outcomes were binary and analysed as events over total patients per block, binomial segmented models were considered the primary ITS approach. Linear segmented models of aggregated proportions were retained as secondary sensitivity checks.</w:t>
      </w:r>
    </w:p>
    <w:tbl>
      <w:tblPr>
        <w:tblStyle w:val="Grigliatabella"/>
        <w:tblW w:w="0" w:type="auto"/>
        <w:jc w:val="center"/>
        <w:tblLook w:val="04A0" w:firstRow="1" w:lastRow="0" w:firstColumn="1" w:lastColumn="0" w:noHBand="0" w:noVBand="1"/>
      </w:tblPr>
      <w:tblGrid>
        <w:gridCol w:w="1698"/>
        <w:gridCol w:w="1698"/>
        <w:gridCol w:w="1698"/>
        <w:gridCol w:w="1698"/>
        <w:gridCol w:w="1699"/>
        <w:gridCol w:w="1699"/>
      </w:tblGrid>
      <w:tr w:rsidR="00E03FF7" w14:paraId="113E3233" w14:textId="77777777" w:rsidTr="00020AF6">
        <w:trPr>
          <w:tblHeader/>
          <w:jc w:val="center"/>
        </w:trPr>
        <w:tc>
          <w:tcPr>
            <w:tcW w:w="1700" w:type="dxa"/>
            <w:shd w:val="clear" w:color="auto" w:fill="DAEEF3" w:themeFill="accent5" w:themeFillTint="33"/>
            <w:tcMar>
              <w:top w:w="80" w:type="dxa"/>
              <w:left w:w="100" w:type="dxa"/>
              <w:bottom w:w="80" w:type="dxa"/>
              <w:right w:w="100" w:type="dxa"/>
            </w:tcMar>
            <w:vAlign w:val="center"/>
          </w:tcPr>
          <w:p w14:paraId="3DB91C1B" w14:textId="77777777" w:rsidR="00E03FF7" w:rsidRDefault="00000000">
            <w:r>
              <w:rPr>
                <w:b/>
                <w:sz w:val="17"/>
              </w:rPr>
              <w:t>Outcome</w:t>
            </w:r>
          </w:p>
        </w:tc>
        <w:tc>
          <w:tcPr>
            <w:tcW w:w="1700" w:type="dxa"/>
            <w:shd w:val="clear" w:color="auto" w:fill="DAEEF3" w:themeFill="accent5" w:themeFillTint="33"/>
            <w:tcMar>
              <w:top w:w="80" w:type="dxa"/>
              <w:left w:w="100" w:type="dxa"/>
              <w:bottom w:w="80" w:type="dxa"/>
              <w:right w:w="100" w:type="dxa"/>
            </w:tcMar>
            <w:vAlign w:val="center"/>
          </w:tcPr>
          <w:p w14:paraId="01781613" w14:textId="77777777" w:rsidR="00E03FF7" w:rsidRDefault="00000000">
            <w:r>
              <w:rPr>
                <w:b/>
                <w:sz w:val="17"/>
              </w:rPr>
              <w:t>Blocks</w:t>
            </w:r>
          </w:p>
        </w:tc>
        <w:tc>
          <w:tcPr>
            <w:tcW w:w="1700" w:type="dxa"/>
            <w:shd w:val="clear" w:color="auto" w:fill="DAEEF3" w:themeFill="accent5" w:themeFillTint="33"/>
            <w:tcMar>
              <w:top w:w="80" w:type="dxa"/>
              <w:left w:w="100" w:type="dxa"/>
              <w:bottom w:w="80" w:type="dxa"/>
              <w:right w:w="100" w:type="dxa"/>
            </w:tcMar>
            <w:vAlign w:val="center"/>
          </w:tcPr>
          <w:p w14:paraId="76F37758" w14:textId="77777777" w:rsidR="00E03FF7" w:rsidRDefault="00000000">
            <w:r>
              <w:rPr>
                <w:b/>
                <w:sz w:val="17"/>
              </w:rPr>
              <w:t>No. blocks</w:t>
            </w:r>
          </w:p>
        </w:tc>
        <w:tc>
          <w:tcPr>
            <w:tcW w:w="1700" w:type="dxa"/>
            <w:shd w:val="clear" w:color="auto" w:fill="DAEEF3" w:themeFill="accent5" w:themeFillTint="33"/>
            <w:tcMar>
              <w:top w:w="80" w:type="dxa"/>
              <w:left w:w="100" w:type="dxa"/>
              <w:bottom w:w="80" w:type="dxa"/>
              <w:right w:w="100" w:type="dxa"/>
            </w:tcMar>
            <w:vAlign w:val="center"/>
          </w:tcPr>
          <w:p w14:paraId="75365DC2" w14:textId="77777777" w:rsidR="00E03FF7" w:rsidRDefault="00000000">
            <w:r>
              <w:rPr>
                <w:b/>
                <w:sz w:val="17"/>
              </w:rPr>
              <w:t>Events / patients</w:t>
            </w:r>
          </w:p>
        </w:tc>
        <w:tc>
          <w:tcPr>
            <w:tcW w:w="1700" w:type="dxa"/>
            <w:shd w:val="clear" w:color="auto" w:fill="DAEEF3" w:themeFill="accent5" w:themeFillTint="33"/>
            <w:tcMar>
              <w:top w:w="80" w:type="dxa"/>
              <w:left w:w="100" w:type="dxa"/>
              <w:bottom w:w="80" w:type="dxa"/>
              <w:right w:w="100" w:type="dxa"/>
            </w:tcMar>
            <w:vAlign w:val="center"/>
          </w:tcPr>
          <w:p w14:paraId="41B7CB58" w14:textId="77777777" w:rsidR="00E03FF7" w:rsidRDefault="00000000">
            <w:r>
              <w:rPr>
                <w:b/>
                <w:sz w:val="17"/>
              </w:rPr>
              <w:t>Binomial segmented p</w:t>
            </w:r>
          </w:p>
        </w:tc>
        <w:tc>
          <w:tcPr>
            <w:tcW w:w="1700" w:type="dxa"/>
            <w:shd w:val="clear" w:color="auto" w:fill="DAEEF3" w:themeFill="accent5" w:themeFillTint="33"/>
            <w:tcMar>
              <w:top w:w="80" w:type="dxa"/>
              <w:left w:w="100" w:type="dxa"/>
              <w:bottom w:w="80" w:type="dxa"/>
              <w:right w:w="100" w:type="dxa"/>
            </w:tcMar>
            <w:vAlign w:val="center"/>
          </w:tcPr>
          <w:p w14:paraId="4300D027" w14:textId="77777777" w:rsidR="00E03FF7" w:rsidRDefault="00000000">
            <w:r>
              <w:rPr>
                <w:b/>
                <w:sz w:val="17"/>
              </w:rPr>
              <w:t>Linear proportion p</w:t>
            </w:r>
          </w:p>
        </w:tc>
      </w:tr>
      <w:tr w:rsidR="00E03FF7" w14:paraId="6F7EAECB" w14:textId="77777777">
        <w:trPr>
          <w:jc w:val="center"/>
        </w:trPr>
        <w:tc>
          <w:tcPr>
            <w:tcW w:w="1700" w:type="dxa"/>
            <w:tcMar>
              <w:top w:w="80" w:type="dxa"/>
              <w:left w:w="100" w:type="dxa"/>
              <w:bottom w:w="80" w:type="dxa"/>
              <w:right w:w="100" w:type="dxa"/>
            </w:tcMar>
            <w:vAlign w:val="center"/>
          </w:tcPr>
          <w:p w14:paraId="1A1893B0" w14:textId="77777777" w:rsidR="00E03FF7" w:rsidRDefault="00000000">
            <w:r>
              <w:rPr>
                <w:sz w:val="17"/>
              </w:rPr>
              <w:t>Any functional worsening</w:t>
            </w:r>
          </w:p>
        </w:tc>
        <w:tc>
          <w:tcPr>
            <w:tcW w:w="1700" w:type="dxa"/>
            <w:tcMar>
              <w:top w:w="80" w:type="dxa"/>
              <w:left w:w="100" w:type="dxa"/>
              <w:bottom w:w="80" w:type="dxa"/>
              <w:right w:w="100" w:type="dxa"/>
            </w:tcMar>
            <w:vAlign w:val="center"/>
          </w:tcPr>
          <w:p w14:paraId="3BE69384" w14:textId="77777777" w:rsidR="00E03FF7" w:rsidRDefault="00000000">
            <w:r>
              <w:rPr>
                <w:sz w:val="17"/>
              </w:rPr>
              <w:t>15 days</w:t>
            </w:r>
          </w:p>
        </w:tc>
        <w:tc>
          <w:tcPr>
            <w:tcW w:w="1700" w:type="dxa"/>
            <w:tcMar>
              <w:top w:w="80" w:type="dxa"/>
              <w:left w:w="100" w:type="dxa"/>
              <w:bottom w:w="80" w:type="dxa"/>
              <w:right w:w="100" w:type="dxa"/>
            </w:tcMar>
            <w:vAlign w:val="center"/>
          </w:tcPr>
          <w:p w14:paraId="17B5FADC" w14:textId="77777777" w:rsidR="00E03FF7" w:rsidRDefault="00000000">
            <w:r>
              <w:rPr>
                <w:sz w:val="17"/>
              </w:rPr>
              <w:t>26</w:t>
            </w:r>
          </w:p>
        </w:tc>
        <w:tc>
          <w:tcPr>
            <w:tcW w:w="1700" w:type="dxa"/>
            <w:tcMar>
              <w:top w:w="80" w:type="dxa"/>
              <w:left w:w="100" w:type="dxa"/>
              <w:bottom w:w="80" w:type="dxa"/>
              <w:right w:w="100" w:type="dxa"/>
            </w:tcMar>
            <w:vAlign w:val="center"/>
          </w:tcPr>
          <w:p w14:paraId="3B657D79" w14:textId="77777777" w:rsidR="00E03FF7" w:rsidRDefault="00000000">
            <w:r>
              <w:rPr>
                <w:sz w:val="17"/>
              </w:rPr>
              <w:t>238 / 600</w:t>
            </w:r>
          </w:p>
        </w:tc>
        <w:tc>
          <w:tcPr>
            <w:tcW w:w="1700" w:type="dxa"/>
            <w:tcMar>
              <w:top w:w="80" w:type="dxa"/>
              <w:left w:w="100" w:type="dxa"/>
              <w:bottom w:w="80" w:type="dxa"/>
              <w:right w:w="100" w:type="dxa"/>
            </w:tcMar>
            <w:vAlign w:val="center"/>
          </w:tcPr>
          <w:p w14:paraId="3F8B6399" w14:textId="77777777" w:rsidR="00E03FF7" w:rsidRDefault="00000000">
            <w:r>
              <w:rPr>
                <w:sz w:val="17"/>
              </w:rPr>
              <w:t>0.017</w:t>
            </w:r>
          </w:p>
        </w:tc>
        <w:tc>
          <w:tcPr>
            <w:tcW w:w="1700" w:type="dxa"/>
            <w:tcMar>
              <w:top w:w="80" w:type="dxa"/>
              <w:left w:w="100" w:type="dxa"/>
              <w:bottom w:w="80" w:type="dxa"/>
              <w:right w:w="100" w:type="dxa"/>
            </w:tcMar>
            <w:vAlign w:val="center"/>
          </w:tcPr>
          <w:p w14:paraId="6178B9D9" w14:textId="77777777" w:rsidR="00E03FF7" w:rsidRDefault="00000000">
            <w:r>
              <w:rPr>
                <w:sz w:val="17"/>
              </w:rPr>
              <w:t>0.191</w:t>
            </w:r>
          </w:p>
        </w:tc>
      </w:tr>
      <w:tr w:rsidR="00E03FF7" w14:paraId="150EE4C2" w14:textId="77777777">
        <w:trPr>
          <w:jc w:val="center"/>
        </w:trPr>
        <w:tc>
          <w:tcPr>
            <w:tcW w:w="1700" w:type="dxa"/>
            <w:tcMar>
              <w:top w:w="80" w:type="dxa"/>
              <w:left w:w="100" w:type="dxa"/>
              <w:bottom w:w="80" w:type="dxa"/>
              <w:right w:w="100" w:type="dxa"/>
            </w:tcMar>
            <w:vAlign w:val="center"/>
          </w:tcPr>
          <w:p w14:paraId="6A049057" w14:textId="77777777" w:rsidR="00E03FF7" w:rsidRDefault="00000000">
            <w:r>
              <w:rPr>
                <w:sz w:val="17"/>
              </w:rPr>
              <w:t>90-day mortality</w:t>
            </w:r>
          </w:p>
        </w:tc>
        <w:tc>
          <w:tcPr>
            <w:tcW w:w="1700" w:type="dxa"/>
            <w:tcMar>
              <w:top w:w="80" w:type="dxa"/>
              <w:left w:w="100" w:type="dxa"/>
              <w:bottom w:w="80" w:type="dxa"/>
              <w:right w:w="100" w:type="dxa"/>
            </w:tcMar>
            <w:vAlign w:val="center"/>
          </w:tcPr>
          <w:p w14:paraId="4C223757" w14:textId="77777777" w:rsidR="00E03FF7" w:rsidRDefault="00000000">
            <w:r>
              <w:rPr>
                <w:sz w:val="17"/>
              </w:rPr>
              <w:t>15 days</w:t>
            </w:r>
          </w:p>
        </w:tc>
        <w:tc>
          <w:tcPr>
            <w:tcW w:w="1700" w:type="dxa"/>
            <w:tcMar>
              <w:top w:w="80" w:type="dxa"/>
              <w:left w:w="100" w:type="dxa"/>
              <w:bottom w:w="80" w:type="dxa"/>
              <w:right w:w="100" w:type="dxa"/>
            </w:tcMar>
            <w:vAlign w:val="center"/>
          </w:tcPr>
          <w:p w14:paraId="57B1E75C" w14:textId="77777777" w:rsidR="00E03FF7" w:rsidRDefault="00000000">
            <w:r>
              <w:rPr>
                <w:sz w:val="17"/>
              </w:rPr>
              <w:t>26</w:t>
            </w:r>
          </w:p>
        </w:tc>
        <w:tc>
          <w:tcPr>
            <w:tcW w:w="1700" w:type="dxa"/>
            <w:tcMar>
              <w:top w:w="80" w:type="dxa"/>
              <w:left w:w="100" w:type="dxa"/>
              <w:bottom w:w="80" w:type="dxa"/>
              <w:right w:w="100" w:type="dxa"/>
            </w:tcMar>
            <w:vAlign w:val="center"/>
          </w:tcPr>
          <w:p w14:paraId="5F059DB2" w14:textId="77777777" w:rsidR="00E03FF7" w:rsidRDefault="00000000">
            <w:r>
              <w:rPr>
                <w:sz w:val="17"/>
              </w:rPr>
              <w:t>97 / 600</w:t>
            </w:r>
          </w:p>
        </w:tc>
        <w:tc>
          <w:tcPr>
            <w:tcW w:w="1700" w:type="dxa"/>
            <w:tcMar>
              <w:top w:w="80" w:type="dxa"/>
              <w:left w:w="100" w:type="dxa"/>
              <w:bottom w:w="80" w:type="dxa"/>
              <w:right w:w="100" w:type="dxa"/>
            </w:tcMar>
            <w:vAlign w:val="center"/>
          </w:tcPr>
          <w:p w14:paraId="757F975E" w14:textId="77777777" w:rsidR="00E03FF7" w:rsidRDefault="00000000">
            <w:r>
              <w:rPr>
                <w:sz w:val="17"/>
              </w:rPr>
              <w:t>0.068</w:t>
            </w:r>
          </w:p>
        </w:tc>
        <w:tc>
          <w:tcPr>
            <w:tcW w:w="1700" w:type="dxa"/>
            <w:tcMar>
              <w:top w:w="80" w:type="dxa"/>
              <w:left w:w="100" w:type="dxa"/>
              <w:bottom w:w="80" w:type="dxa"/>
              <w:right w:w="100" w:type="dxa"/>
            </w:tcMar>
            <w:vAlign w:val="center"/>
          </w:tcPr>
          <w:p w14:paraId="3ADEEBF5" w14:textId="77777777" w:rsidR="00E03FF7" w:rsidRDefault="00000000">
            <w:r>
              <w:rPr>
                <w:sz w:val="17"/>
              </w:rPr>
              <w:t>0.131</w:t>
            </w:r>
          </w:p>
        </w:tc>
      </w:tr>
      <w:tr w:rsidR="00E03FF7" w14:paraId="55BE60E0" w14:textId="77777777">
        <w:trPr>
          <w:jc w:val="center"/>
        </w:trPr>
        <w:tc>
          <w:tcPr>
            <w:tcW w:w="1700" w:type="dxa"/>
            <w:tcMar>
              <w:top w:w="80" w:type="dxa"/>
              <w:left w:w="100" w:type="dxa"/>
              <w:bottom w:w="80" w:type="dxa"/>
              <w:right w:w="100" w:type="dxa"/>
            </w:tcMar>
            <w:vAlign w:val="center"/>
          </w:tcPr>
          <w:p w14:paraId="776A9647" w14:textId="77777777" w:rsidR="00E03FF7" w:rsidRDefault="00000000">
            <w:r>
              <w:rPr>
                <w:sz w:val="17"/>
              </w:rPr>
              <w:t>Urinary catheter at discharge</w:t>
            </w:r>
          </w:p>
        </w:tc>
        <w:tc>
          <w:tcPr>
            <w:tcW w:w="1700" w:type="dxa"/>
            <w:tcMar>
              <w:top w:w="80" w:type="dxa"/>
              <w:left w:w="100" w:type="dxa"/>
              <w:bottom w:w="80" w:type="dxa"/>
              <w:right w:w="100" w:type="dxa"/>
            </w:tcMar>
            <w:vAlign w:val="center"/>
          </w:tcPr>
          <w:p w14:paraId="4F141DA6" w14:textId="77777777" w:rsidR="00E03FF7" w:rsidRDefault="00000000">
            <w:r>
              <w:rPr>
                <w:sz w:val="17"/>
              </w:rPr>
              <w:t>15 days</w:t>
            </w:r>
          </w:p>
        </w:tc>
        <w:tc>
          <w:tcPr>
            <w:tcW w:w="1700" w:type="dxa"/>
            <w:tcMar>
              <w:top w:w="80" w:type="dxa"/>
              <w:left w:w="100" w:type="dxa"/>
              <w:bottom w:w="80" w:type="dxa"/>
              <w:right w:w="100" w:type="dxa"/>
            </w:tcMar>
            <w:vAlign w:val="center"/>
          </w:tcPr>
          <w:p w14:paraId="51C24CE2" w14:textId="77777777" w:rsidR="00E03FF7" w:rsidRDefault="00000000">
            <w:r>
              <w:rPr>
                <w:sz w:val="17"/>
              </w:rPr>
              <w:t>26</w:t>
            </w:r>
          </w:p>
        </w:tc>
        <w:tc>
          <w:tcPr>
            <w:tcW w:w="1700" w:type="dxa"/>
            <w:tcMar>
              <w:top w:w="80" w:type="dxa"/>
              <w:left w:w="100" w:type="dxa"/>
              <w:bottom w:w="80" w:type="dxa"/>
              <w:right w:w="100" w:type="dxa"/>
            </w:tcMar>
            <w:vAlign w:val="center"/>
          </w:tcPr>
          <w:p w14:paraId="260C634E" w14:textId="77777777" w:rsidR="00E03FF7" w:rsidRDefault="00000000">
            <w:r>
              <w:rPr>
                <w:sz w:val="17"/>
              </w:rPr>
              <w:t>136 / 600</w:t>
            </w:r>
          </w:p>
        </w:tc>
        <w:tc>
          <w:tcPr>
            <w:tcW w:w="1700" w:type="dxa"/>
            <w:tcMar>
              <w:top w:w="80" w:type="dxa"/>
              <w:left w:w="100" w:type="dxa"/>
              <w:bottom w:w="80" w:type="dxa"/>
              <w:right w:w="100" w:type="dxa"/>
            </w:tcMar>
            <w:vAlign w:val="center"/>
          </w:tcPr>
          <w:p w14:paraId="444A5BB6" w14:textId="77777777" w:rsidR="00E03FF7" w:rsidRDefault="00000000">
            <w:r>
              <w:rPr>
                <w:sz w:val="17"/>
              </w:rPr>
              <w:t>0.688</w:t>
            </w:r>
          </w:p>
        </w:tc>
        <w:tc>
          <w:tcPr>
            <w:tcW w:w="1700" w:type="dxa"/>
            <w:tcMar>
              <w:top w:w="80" w:type="dxa"/>
              <w:left w:w="100" w:type="dxa"/>
              <w:bottom w:w="80" w:type="dxa"/>
              <w:right w:w="100" w:type="dxa"/>
            </w:tcMar>
            <w:vAlign w:val="center"/>
          </w:tcPr>
          <w:p w14:paraId="73AD2DAE" w14:textId="77777777" w:rsidR="00E03FF7" w:rsidRDefault="00000000">
            <w:r>
              <w:rPr>
                <w:sz w:val="17"/>
              </w:rPr>
              <w:t>0.686</w:t>
            </w:r>
          </w:p>
        </w:tc>
      </w:tr>
      <w:tr w:rsidR="00E03FF7" w14:paraId="28AD61F8" w14:textId="77777777">
        <w:trPr>
          <w:jc w:val="center"/>
        </w:trPr>
        <w:tc>
          <w:tcPr>
            <w:tcW w:w="1700" w:type="dxa"/>
            <w:tcMar>
              <w:top w:w="80" w:type="dxa"/>
              <w:left w:w="100" w:type="dxa"/>
              <w:bottom w:w="80" w:type="dxa"/>
              <w:right w:w="100" w:type="dxa"/>
            </w:tcMar>
            <w:vAlign w:val="center"/>
          </w:tcPr>
          <w:p w14:paraId="0397442D" w14:textId="77777777" w:rsidR="00E03FF7" w:rsidRDefault="00000000">
            <w:r>
              <w:rPr>
                <w:sz w:val="17"/>
              </w:rPr>
              <w:t>Any functional worsening</w:t>
            </w:r>
          </w:p>
        </w:tc>
        <w:tc>
          <w:tcPr>
            <w:tcW w:w="1700" w:type="dxa"/>
            <w:tcMar>
              <w:top w:w="80" w:type="dxa"/>
              <w:left w:w="100" w:type="dxa"/>
              <w:bottom w:w="80" w:type="dxa"/>
              <w:right w:w="100" w:type="dxa"/>
            </w:tcMar>
            <w:vAlign w:val="center"/>
          </w:tcPr>
          <w:p w14:paraId="5D1F1ACF" w14:textId="77777777" w:rsidR="00E03FF7" w:rsidRDefault="00000000">
            <w:r>
              <w:rPr>
                <w:sz w:val="17"/>
              </w:rPr>
              <w:t>30 days</w:t>
            </w:r>
          </w:p>
        </w:tc>
        <w:tc>
          <w:tcPr>
            <w:tcW w:w="1700" w:type="dxa"/>
            <w:tcMar>
              <w:top w:w="80" w:type="dxa"/>
              <w:left w:w="100" w:type="dxa"/>
              <w:bottom w:w="80" w:type="dxa"/>
              <w:right w:w="100" w:type="dxa"/>
            </w:tcMar>
            <w:vAlign w:val="center"/>
          </w:tcPr>
          <w:p w14:paraId="0D545457" w14:textId="77777777" w:rsidR="00E03FF7" w:rsidRDefault="00000000">
            <w:r>
              <w:rPr>
                <w:sz w:val="17"/>
              </w:rPr>
              <w:t>14</w:t>
            </w:r>
          </w:p>
        </w:tc>
        <w:tc>
          <w:tcPr>
            <w:tcW w:w="1700" w:type="dxa"/>
            <w:tcMar>
              <w:top w:w="80" w:type="dxa"/>
              <w:left w:w="100" w:type="dxa"/>
              <w:bottom w:w="80" w:type="dxa"/>
              <w:right w:w="100" w:type="dxa"/>
            </w:tcMar>
            <w:vAlign w:val="center"/>
          </w:tcPr>
          <w:p w14:paraId="7734389C" w14:textId="77777777" w:rsidR="00E03FF7" w:rsidRDefault="00000000">
            <w:r>
              <w:rPr>
                <w:sz w:val="17"/>
              </w:rPr>
              <w:t>238 / 600</w:t>
            </w:r>
          </w:p>
        </w:tc>
        <w:tc>
          <w:tcPr>
            <w:tcW w:w="1700" w:type="dxa"/>
            <w:tcMar>
              <w:top w:w="80" w:type="dxa"/>
              <w:left w:w="100" w:type="dxa"/>
              <w:bottom w:w="80" w:type="dxa"/>
              <w:right w:w="100" w:type="dxa"/>
            </w:tcMar>
            <w:vAlign w:val="center"/>
          </w:tcPr>
          <w:p w14:paraId="296CC2EB" w14:textId="77777777" w:rsidR="00E03FF7" w:rsidRDefault="00000000">
            <w:r>
              <w:rPr>
                <w:sz w:val="17"/>
              </w:rPr>
              <w:t>0.022</w:t>
            </w:r>
          </w:p>
        </w:tc>
        <w:tc>
          <w:tcPr>
            <w:tcW w:w="1700" w:type="dxa"/>
            <w:tcMar>
              <w:top w:w="80" w:type="dxa"/>
              <w:left w:w="100" w:type="dxa"/>
              <w:bottom w:w="80" w:type="dxa"/>
              <w:right w:w="100" w:type="dxa"/>
            </w:tcMar>
            <w:vAlign w:val="center"/>
          </w:tcPr>
          <w:p w14:paraId="4C7E69CB" w14:textId="77777777" w:rsidR="00E03FF7" w:rsidRDefault="00000000">
            <w:r>
              <w:rPr>
                <w:sz w:val="17"/>
              </w:rPr>
              <w:t>0.111</w:t>
            </w:r>
          </w:p>
        </w:tc>
      </w:tr>
      <w:tr w:rsidR="00E03FF7" w14:paraId="5075FFDA" w14:textId="77777777">
        <w:trPr>
          <w:jc w:val="center"/>
        </w:trPr>
        <w:tc>
          <w:tcPr>
            <w:tcW w:w="1700" w:type="dxa"/>
            <w:tcMar>
              <w:top w:w="80" w:type="dxa"/>
              <w:left w:w="100" w:type="dxa"/>
              <w:bottom w:w="80" w:type="dxa"/>
              <w:right w:w="100" w:type="dxa"/>
            </w:tcMar>
            <w:vAlign w:val="center"/>
          </w:tcPr>
          <w:p w14:paraId="1E943D0A" w14:textId="77777777" w:rsidR="00E03FF7" w:rsidRDefault="00000000">
            <w:r>
              <w:rPr>
                <w:sz w:val="17"/>
              </w:rPr>
              <w:t>90-day mortality</w:t>
            </w:r>
          </w:p>
        </w:tc>
        <w:tc>
          <w:tcPr>
            <w:tcW w:w="1700" w:type="dxa"/>
            <w:tcMar>
              <w:top w:w="80" w:type="dxa"/>
              <w:left w:w="100" w:type="dxa"/>
              <w:bottom w:w="80" w:type="dxa"/>
              <w:right w:w="100" w:type="dxa"/>
            </w:tcMar>
            <w:vAlign w:val="center"/>
          </w:tcPr>
          <w:p w14:paraId="37F66939" w14:textId="77777777" w:rsidR="00E03FF7" w:rsidRDefault="00000000">
            <w:r>
              <w:rPr>
                <w:sz w:val="17"/>
              </w:rPr>
              <w:t>30 days</w:t>
            </w:r>
          </w:p>
        </w:tc>
        <w:tc>
          <w:tcPr>
            <w:tcW w:w="1700" w:type="dxa"/>
            <w:tcMar>
              <w:top w:w="80" w:type="dxa"/>
              <w:left w:w="100" w:type="dxa"/>
              <w:bottom w:w="80" w:type="dxa"/>
              <w:right w:w="100" w:type="dxa"/>
            </w:tcMar>
            <w:vAlign w:val="center"/>
          </w:tcPr>
          <w:p w14:paraId="032F7937" w14:textId="77777777" w:rsidR="00E03FF7" w:rsidRDefault="00000000">
            <w:r>
              <w:rPr>
                <w:sz w:val="17"/>
              </w:rPr>
              <w:t>14</w:t>
            </w:r>
          </w:p>
        </w:tc>
        <w:tc>
          <w:tcPr>
            <w:tcW w:w="1700" w:type="dxa"/>
            <w:tcMar>
              <w:top w:w="80" w:type="dxa"/>
              <w:left w:w="100" w:type="dxa"/>
              <w:bottom w:w="80" w:type="dxa"/>
              <w:right w:w="100" w:type="dxa"/>
            </w:tcMar>
            <w:vAlign w:val="center"/>
          </w:tcPr>
          <w:p w14:paraId="4F49EDB9" w14:textId="77777777" w:rsidR="00E03FF7" w:rsidRDefault="00000000">
            <w:r>
              <w:rPr>
                <w:sz w:val="17"/>
              </w:rPr>
              <w:t>97 / 600</w:t>
            </w:r>
          </w:p>
        </w:tc>
        <w:tc>
          <w:tcPr>
            <w:tcW w:w="1700" w:type="dxa"/>
            <w:tcMar>
              <w:top w:w="80" w:type="dxa"/>
              <w:left w:w="100" w:type="dxa"/>
              <w:bottom w:w="80" w:type="dxa"/>
              <w:right w:w="100" w:type="dxa"/>
            </w:tcMar>
            <w:vAlign w:val="center"/>
          </w:tcPr>
          <w:p w14:paraId="6231BBA2" w14:textId="77777777" w:rsidR="00E03FF7" w:rsidRDefault="00000000">
            <w:r>
              <w:rPr>
                <w:sz w:val="17"/>
              </w:rPr>
              <w:t>0.047</w:t>
            </w:r>
          </w:p>
        </w:tc>
        <w:tc>
          <w:tcPr>
            <w:tcW w:w="1700" w:type="dxa"/>
            <w:tcMar>
              <w:top w:w="80" w:type="dxa"/>
              <w:left w:w="100" w:type="dxa"/>
              <w:bottom w:w="80" w:type="dxa"/>
              <w:right w:w="100" w:type="dxa"/>
            </w:tcMar>
            <w:vAlign w:val="center"/>
          </w:tcPr>
          <w:p w14:paraId="28F81623" w14:textId="77777777" w:rsidR="00E03FF7" w:rsidRDefault="00000000">
            <w:r>
              <w:rPr>
                <w:sz w:val="17"/>
              </w:rPr>
              <w:t>0.069</w:t>
            </w:r>
          </w:p>
        </w:tc>
      </w:tr>
      <w:tr w:rsidR="00E03FF7" w14:paraId="157AA5A7" w14:textId="77777777">
        <w:trPr>
          <w:jc w:val="center"/>
        </w:trPr>
        <w:tc>
          <w:tcPr>
            <w:tcW w:w="1700" w:type="dxa"/>
            <w:tcMar>
              <w:top w:w="80" w:type="dxa"/>
              <w:left w:w="100" w:type="dxa"/>
              <w:bottom w:w="80" w:type="dxa"/>
              <w:right w:w="100" w:type="dxa"/>
            </w:tcMar>
            <w:vAlign w:val="center"/>
          </w:tcPr>
          <w:p w14:paraId="59E51E71" w14:textId="77777777" w:rsidR="00E03FF7" w:rsidRDefault="00000000">
            <w:r>
              <w:rPr>
                <w:sz w:val="17"/>
              </w:rPr>
              <w:t>Urinary catheter at discharge</w:t>
            </w:r>
          </w:p>
        </w:tc>
        <w:tc>
          <w:tcPr>
            <w:tcW w:w="1700" w:type="dxa"/>
            <w:tcMar>
              <w:top w:w="80" w:type="dxa"/>
              <w:left w:w="100" w:type="dxa"/>
              <w:bottom w:w="80" w:type="dxa"/>
              <w:right w:w="100" w:type="dxa"/>
            </w:tcMar>
            <w:vAlign w:val="center"/>
          </w:tcPr>
          <w:p w14:paraId="45CDC37F" w14:textId="77777777" w:rsidR="00E03FF7" w:rsidRDefault="00000000">
            <w:r>
              <w:rPr>
                <w:sz w:val="17"/>
              </w:rPr>
              <w:t>30 days</w:t>
            </w:r>
          </w:p>
        </w:tc>
        <w:tc>
          <w:tcPr>
            <w:tcW w:w="1700" w:type="dxa"/>
            <w:tcMar>
              <w:top w:w="80" w:type="dxa"/>
              <w:left w:w="100" w:type="dxa"/>
              <w:bottom w:w="80" w:type="dxa"/>
              <w:right w:w="100" w:type="dxa"/>
            </w:tcMar>
            <w:vAlign w:val="center"/>
          </w:tcPr>
          <w:p w14:paraId="01D1AEF1" w14:textId="77777777" w:rsidR="00E03FF7" w:rsidRDefault="00000000">
            <w:r>
              <w:rPr>
                <w:sz w:val="17"/>
              </w:rPr>
              <w:t>14</w:t>
            </w:r>
          </w:p>
        </w:tc>
        <w:tc>
          <w:tcPr>
            <w:tcW w:w="1700" w:type="dxa"/>
            <w:tcMar>
              <w:top w:w="80" w:type="dxa"/>
              <w:left w:w="100" w:type="dxa"/>
              <w:bottom w:w="80" w:type="dxa"/>
              <w:right w:w="100" w:type="dxa"/>
            </w:tcMar>
            <w:vAlign w:val="center"/>
          </w:tcPr>
          <w:p w14:paraId="6430F1D2" w14:textId="77777777" w:rsidR="00E03FF7" w:rsidRDefault="00000000">
            <w:r>
              <w:rPr>
                <w:sz w:val="17"/>
              </w:rPr>
              <w:t>136 / 600</w:t>
            </w:r>
          </w:p>
        </w:tc>
        <w:tc>
          <w:tcPr>
            <w:tcW w:w="1700" w:type="dxa"/>
            <w:tcMar>
              <w:top w:w="80" w:type="dxa"/>
              <w:left w:w="100" w:type="dxa"/>
              <w:bottom w:w="80" w:type="dxa"/>
              <w:right w:w="100" w:type="dxa"/>
            </w:tcMar>
            <w:vAlign w:val="center"/>
          </w:tcPr>
          <w:p w14:paraId="44B9EDD1" w14:textId="77777777" w:rsidR="00E03FF7" w:rsidRDefault="00000000">
            <w:r>
              <w:rPr>
                <w:sz w:val="17"/>
              </w:rPr>
              <w:t>0.808</w:t>
            </w:r>
          </w:p>
        </w:tc>
        <w:tc>
          <w:tcPr>
            <w:tcW w:w="1700" w:type="dxa"/>
            <w:tcMar>
              <w:top w:w="80" w:type="dxa"/>
              <w:left w:w="100" w:type="dxa"/>
              <w:bottom w:w="80" w:type="dxa"/>
              <w:right w:w="100" w:type="dxa"/>
            </w:tcMar>
            <w:vAlign w:val="center"/>
          </w:tcPr>
          <w:p w14:paraId="2BE54451" w14:textId="77777777" w:rsidR="00E03FF7" w:rsidRDefault="00000000">
            <w:r>
              <w:rPr>
                <w:sz w:val="17"/>
              </w:rPr>
              <w:t>0.995</w:t>
            </w:r>
          </w:p>
        </w:tc>
      </w:tr>
    </w:tbl>
    <w:p w14:paraId="20364F5F" w14:textId="77777777" w:rsidR="00020AF6" w:rsidRDefault="00020AF6">
      <w:pPr>
        <w:pStyle w:val="HeadingSmall"/>
      </w:pPr>
    </w:p>
    <w:p w14:paraId="1D31C36C" w14:textId="07CEB65A" w:rsidR="00E03FF7" w:rsidRDefault="00000000">
      <w:pPr>
        <w:pStyle w:val="HeadingSmall"/>
      </w:pPr>
      <w:r>
        <w:t>5. Suggested interpretation</w:t>
      </w:r>
    </w:p>
    <w:p w14:paraId="1922D237" w14:textId="77777777" w:rsidR="00E03FF7" w:rsidRDefault="00000000">
      <w:pPr>
        <w:pStyle w:val="Puntoelenco"/>
      </w:pPr>
      <w:r>
        <w:t>Functional worsening showed favourable post-implementation slope changes in binomial ITS models using both 15-day and 30-day blocks.</w:t>
      </w:r>
    </w:p>
    <w:p w14:paraId="67E7427F" w14:textId="77777777" w:rsidR="00E03FF7" w:rsidRDefault="00000000">
      <w:pPr>
        <w:pStyle w:val="Puntoelenco"/>
      </w:pPr>
      <w:r>
        <w:t>For 90-day mortality, the 15-day binomial ITS was directionally favourable but did not reach conventional statistical significance; the exploratory 30-day binomial model reached statistical significance.</w:t>
      </w:r>
    </w:p>
    <w:p w14:paraId="2DEEFD05" w14:textId="77777777" w:rsidR="00E03FF7" w:rsidRDefault="00000000">
      <w:pPr>
        <w:pStyle w:val="Puntoelenco"/>
      </w:pPr>
      <w:r>
        <w:t>No ITS signal was observed for urinary catheter use at discharge in either block specification.</w:t>
      </w:r>
    </w:p>
    <w:p w14:paraId="446D7E76" w14:textId="77777777" w:rsidR="00E03FF7" w:rsidRDefault="00000000">
      <w:pPr>
        <w:pStyle w:val="Puntoelenco"/>
      </w:pPr>
      <w:r>
        <w:t>The ITS results should be interpreted as supportive and exploratory, with the main inference resting on individual-level functional outcomes, adjusted Cox models, and IPTW sensitivity analyses.</w:t>
      </w:r>
    </w:p>
    <w:sectPr w:rsidR="00E03FF7"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3844037">
    <w:abstractNumId w:val="8"/>
  </w:num>
  <w:num w:numId="2" w16cid:durableId="1305233095">
    <w:abstractNumId w:val="6"/>
  </w:num>
  <w:num w:numId="3" w16cid:durableId="637537217">
    <w:abstractNumId w:val="5"/>
  </w:num>
  <w:num w:numId="4" w16cid:durableId="648099836">
    <w:abstractNumId w:val="4"/>
  </w:num>
  <w:num w:numId="5" w16cid:durableId="555824633">
    <w:abstractNumId w:val="7"/>
  </w:num>
  <w:num w:numId="6" w16cid:durableId="491718986">
    <w:abstractNumId w:val="3"/>
  </w:num>
  <w:num w:numId="7" w16cid:durableId="1153645693">
    <w:abstractNumId w:val="2"/>
  </w:num>
  <w:num w:numId="8" w16cid:durableId="1702586088">
    <w:abstractNumId w:val="1"/>
  </w:num>
  <w:num w:numId="9" w16cid:durableId="1841499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AF6"/>
    <w:rsid w:val="00034616"/>
    <w:rsid w:val="0006063C"/>
    <w:rsid w:val="0015074B"/>
    <w:rsid w:val="0029639D"/>
    <w:rsid w:val="00326F90"/>
    <w:rsid w:val="00AA1D8D"/>
    <w:rsid w:val="00B47730"/>
    <w:rsid w:val="00CB0664"/>
    <w:rsid w:val="00E03FF7"/>
    <w:rsid w:val="00E578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1E7532"/>
  <w14:defaultImageDpi w14:val="300"/>
  <w15:docId w15:val="{E94E5199-4366-4053-8D27-273C64C6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eastAsia="Arial" w:hAnsi="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Title"/>
    <w:rPr>
      <w:rFonts w:ascii="Arial" w:eastAsia="Arial" w:hAnsi="Arial"/>
      <w:b/>
      <w:sz w:val="30"/>
    </w:rPr>
  </w:style>
  <w:style w:type="paragraph" w:customStyle="1" w:styleId="Sottotitolo1">
    <w:name w:val="Sottotitolo1"/>
    <w:rPr>
      <w:rFonts w:ascii="Arial" w:eastAsia="Arial" w:hAnsi="Arial"/>
      <w:sz w:val="18"/>
    </w:rPr>
  </w:style>
  <w:style w:type="paragraph" w:customStyle="1" w:styleId="HeadingSmall">
    <w:name w:val="HeadingSmall"/>
    <w:rPr>
      <w:rFonts w:ascii="Arial" w:eastAsia="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fabrizio turrini</cp:lastModifiedBy>
  <cp:revision>2</cp:revision>
  <dcterms:created xsi:type="dcterms:W3CDTF">2026-08-17T11:47:00Z</dcterms:created>
  <dcterms:modified xsi:type="dcterms:W3CDTF">2026-08-17T11:47:00Z</dcterms:modified>
  <cp:category/>
</cp:coreProperties>
</file>