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uppressLineNumbers/>
      </w:pPr>
      <w:r>
        <w:t>S1 Text. Supplementary methods and complete results</w:t>
      </w:r>
    </w:p>
    <w:p>
      <w:r>
        <w:t xml:space="preserve">Companion to </w:t>
      </w:r>
      <w:r>
        <w:rPr>
          <w:i/>
        </w:rPr>
        <w:t xml:space="preserve">Outcome labels and patient reuse in clinical validation: reanalyses of the DIPK and TIL-30 breast-cancer evaluations</w:t>
      </w:r>
      <w:r>
        <w:t>.</w:t>
      </w:r>
    </w:p>
    <w:p>
      <w:r>
        <w:t xml:space="preserve">The primary comparison changes only the target, keeping patients and saved scores fixed. Later analyses ask whether a released biological signature's AUC changes similarly, and examine shared molecular background, patient identity and prediction beyond clinical variables. A later targeted extension traces outcomes and patients in two released TIL-30 evaluation sets. The specifications below record when each analysis was added and what was then known. Processed data, results and analysis code are archived as described under Data and code availability.</w:t>
      </w:r>
    </w:p>
    <w:p>
      <w:pPr>
        <w:pStyle w:val="Heading1"/>
      </w:pPr>
      <w:r>
        <w:t>Supplementary methods: provenance and analysis history</w:t>
      </w:r>
    </w:p>
    <w:p>
      <w:r>
        <w:t xml:space="preserve">The official DIPK repository was reviewed at </w:t>
      </w:r>
      <w:r>
        <w:rPr>
          <w:rFonts w:ascii="Consolas" w:hAnsi="Consolas"/>
          <w:sz w:val="20"/>
        </w:rPr>
        <w:t>0edfc151fbbdb7864d577865f9541a689d706c5b</w:t>
      </w:r>
      <w:r>
        <w:t xml:space="preserve">. Nine CSV files recovered from the linked author archives supplied a label table and separate pCR and RD prediction tables for each of the three datasets; their member names, declared sizes, CRCs and SHA256 hashes were checked. The original audit used only these CSVs, not the model objects; a later execution check is reported below. Predictions were joined to metadata by unique GSM identifiers, not by row position. Scores are negative saved LN IC50, the direction of the original plots, not a direction chosen to maximize AUC. The saved scores matched the repository figure data within 5.1 × 10⁻¹⁰, and recalculated Welch tests agreed with the displayed P values. The original plots compared groups only; all AUCs were calculated here. Archive provenance and the reviewed GitHub code are documented separately.</w:t>
      </w:r>
    </w:p>
    <w:p>
      <w:r>
        <w:t xml:space="preserve">Each analysis was specified before it was run. The DIPK extension of the primary protocol was written before predictions with sample identifiers were recovered or performance against observed pathology was examined. The background follow-up was specified after the primary result and covariate and outcome counts were known, before new subgroup effects; the GSE20194 follow-up after its original array AUC and metadata counts, before new patient or subset effects. Neither follow-up was registered in advance.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107"/>
        <w:gridCol w:w="3973"/>
      </w:tblGrid>
      <w:tr>
        <w:trPr>
          <w:cantSplit/>
          <w:tblHeader/>
        </w:trPr>
        <w:tc>
          <w:tcPr>
            <w:tcW w:type="dxa" w:w="6107"/>
            <w:vAlign w:val="center"/>
            <w:tcMar>
              <w:top w:w="65" w:type="dxa"/>
              <w:bottom w:w="65" w:type="dxa"/>
              <w:left w:w="65" w:type="dxa"/>
              <w:right w:w="65" w:type="dxa"/>
            </w:tcMar>
            <w:shd w:fill="EAEAEA"/>
          </w:tcPr>
          <w:p>
            <w:pPr>
              <w:keepNext/>
              <w:spacing w:line="252" w:lineRule="auto" w:after="40" w:before="40"/>
              <w:jc w:val="left"/>
            </w:pPr>
            <w:r>
              <w:rPr>
                <w:b/>
                <w:sz w:val="19"/>
              </w:rPr>
              <w:t>Analysis</w:t>
            </w:r>
          </w:p>
        </w:tc>
        <w:tc>
          <w:tcPr>
            <w:tcW w:type="dxa" w:w="3973"/>
            <w:vAlign w:val="center"/>
            <w:tcMar>
              <w:top w:w="65" w:type="dxa"/>
              <w:bottom w:w="65" w:type="dxa"/>
              <w:left w:w="65" w:type="dxa"/>
              <w:right w:w="65" w:type="dxa"/>
            </w:tcMar>
            <w:shd w:fill="EAEAEA"/>
          </w:tcPr>
          <w:p>
            <w:pPr>
              <w:keepNext/>
              <w:spacing w:line="252" w:lineRule="auto" w:after="40" w:before="40"/>
              <w:jc w:val="center"/>
            </w:pPr>
            <w:r>
              <w:rPr>
                <w:b/>
                <w:sz w:val="19"/>
              </w:rPr>
              <w:t>Bootstrap draws / seed</w:t>
            </w:r>
          </w:p>
        </w:tc>
      </w:tr>
      <w:tr>
        <w:trPr>
          <w:cantSplit/>
        </w:trPr>
        <w:tc>
          <w:tcPr>
            <w:tcW w:type="dxa" w:w="6107"/>
            <w:vAlign w:val="center"/>
            <w:tcMar>
              <w:top w:w="65" w:type="dxa"/>
              <w:bottom w:w="65" w:type="dxa"/>
              <w:left w:w="65" w:type="dxa"/>
              <w:right w:w="65" w:type="dxa"/>
            </w:tcMar>
          </w:tcPr>
          <w:p>
            <w:pPr>
              <w:keepNext w:val="0"/>
              <w:spacing w:line="252" w:lineRule="auto" w:after="40" w:before="40"/>
              <w:jc w:val="left"/>
            </w:pPr>
            <w:r>
              <w:rPr>
                <w:sz w:val="19"/>
              </w:rPr>
              <w:t>Primary label correction</w:t>
            </w:r>
          </w:p>
        </w:tc>
        <w:tc>
          <w:tcPr>
            <w:tcW w:type="dxa" w:w="3973"/>
            <w:vAlign w:val="center"/>
            <w:tcMar>
              <w:top w:w="65" w:type="dxa"/>
              <w:bottom w:w="65" w:type="dxa"/>
              <w:left w:w="65" w:type="dxa"/>
              <w:right w:w="65" w:type="dxa"/>
            </w:tcMar>
          </w:tcPr>
          <w:p>
            <w:pPr>
              <w:keepNext w:val="0"/>
              <w:spacing w:line="252" w:lineRule="auto" w:after="40" w:before="40"/>
              <w:jc w:val="center"/>
            </w:pPr>
            <w:r>
              <w:rPr>
                <w:sz w:val="19"/>
              </w:rPr>
              <w:t>2,000 / 20260926</w:t>
            </w:r>
          </w:p>
        </w:tc>
      </w:tr>
      <w:tr>
        <w:trPr>
          <w:cantSplit/>
        </w:trPr>
        <w:tc>
          <w:tcPr>
            <w:tcW w:type="dxa" w:w="6107"/>
            <w:vAlign w:val="center"/>
            <w:tcMar>
              <w:top w:w="65" w:type="dxa"/>
              <w:bottom w:w="65" w:type="dxa"/>
              <w:left w:w="65" w:type="dxa"/>
              <w:right w:w="65" w:type="dxa"/>
            </w:tcMar>
          </w:tcPr>
          <w:p>
            <w:pPr>
              <w:keepNext w:val="0"/>
              <w:spacing w:line="252" w:lineRule="auto" w:after="40" w:before="40"/>
              <w:jc w:val="left"/>
            </w:pPr>
            <w:r>
              <w:rPr>
                <w:sz w:val="19"/>
              </w:rPr>
              <w:t>Clinical-background sensitivity</w:t>
            </w:r>
          </w:p>
        </w:tc>
        <w:tc>
          <w:tcPr>
            <w:tcW w:type="dxa" w:w="3973"/>
            <w:vAlign w:val="center"/>
            <w:tcMar>
              <w:top w:w="65" w:type="dxa"/>
              <w:bottom w:w="65" w:type="dxa"/>
              <w:left w:w="65" w:type="dxa"/>
              <w:right w:w="65" w:type="dxa"/>
            </w:tcMar>
          </w:tcPr>
          <w:p>
            <w:pPr>
              <w:keepNext w:val="0"/>
              <w:spacing w:line="252" w:lineRule="auto" w:after="40" w:before="40"/>
              <w:jc w:val="center"/>
            </w:pPr>
            <w:r>
              <w:rPr>
                <w:sz w:val="19"/>
              </w:rPr>
              <w:t>2,000 / 20260927</w:t>
            </w:r>
          </w:p>
        </w:tc>
      </w:tr>
      <w:tr>
        <w:trPr>
          <w:cantSplit/>
        </w:trPr>
        <w:tc>
          <w:tcPr>
            <w:tcW w:type="dxa" w:w="6107"/>
            <w:vAlign w:val="center"/>
            <w:tcMar>
              <w:top w:w="65" w:type="dxa"/>
              <w:bottom w:w="65" w:type="dxa"/>
              <w:left w:w="65" w:type="dxa"/>
              <w:right w:w="65" w:type="dxa"/>
            </w:tcMar>
          </w:tcPr>
          <w:p>
            <w:pPr>
              <w:keepNext w:val="0"/>
              <w:spacing w:line="252" w:lineRule="auto" w:after="40" w:before="40"/>
              <w:jc w:val="left"/>
            </w:pPr>
            <w:r>
              <w:rPr>
                <w:sz w:val="19"/>
              </w:rPr>
              <w:t>GSE20194 patient-unit sensitivity</w:t>
            </w:r>
          </w:p>
        </w:tc>
        <w:tc>
          <w:tcPr>
            <w:tcW w:type="dxa" w:w="3973"/>
            <w:vAlign w:val="center"/>
            <w:tcMar>
              <w:top w:w="65" w:type="dxa"/>
              <w:bottom w:w="65" w:type="dxa"/>
              <w:left w:w="65" w:type="dxa"/>
              <w:right w:w="65" w:type="dxa"/>
            </w:tcMar>
          </w:tcPr>
          <w:p>
            <w:pPr>
              <w:keepNext w:val="0"/>
              <w:spacing w:line="252" w:lineRule="auto" w:after="40" w:before="40"/>
              <w:jc w:val="center"/>
            </w:pPr>
            <w:r>
              <w:rPr>
                <w:sz w:val="19"/>
              </w:rPr>
              <w:t>2,000 / 20260928</w:t>
            </w:r>
          </w:p>
        </w:tc>
      </w:tr>
    </w:tbl>
    <w:p>
      <w:pPr>
        <w:spacing w:after="60" w:line="240" w:lineRule="auto"/>
      </w:pPr>
      <w:r>
        <w:rPr>
          <w:sz w:val="6"/>
        </w:rPr>
      </w:r>
    </w:p>
    <w:p>
      <w:r>
        <w:t xml:space="preserve">The label comparison changes only the target, with patients and scores fixed. The patient-aggregation and eligibility comparisons change the evaluation unit or included records, and the prediction analyses fit secondary models to observed response. These estimates answer different questions and are not interchangeable.</w:t>
      </w:r>
    </w:p>
    <w:p>
      <w:r>
        <w:t xml:space="preserve">Each paired primary bootstrap draw resamples, with replacement, the 306 patients with known outcomes and uses that sample for both targets; every draw contained both outcome classes. The 310-record AUC against DLDA30 labels, 0.852154, is reported only to show agreement with the source; the main contrast uses the same 306 patients for both targets.</w:t>
      </w:r>
    </w:p>
    <w:p>
      <w:r>
        <w:t xml:space="preserve">Within-stratum AUC counts concordant pairs of one observed-pCR and one non-pCR patient from the same group, with tied scores counted as half, so each group is weighted by its number of eligible pairs. These weights change when the labels change, so the paired label contrast is not standardized to common weights. In logistic models, age enters continuously per ten years, the score is standardized with the mean and standard deviation of each analysis sample, and ER or PAM50 enters as a categorical predictor. The saved design matrices specify all contrasts. No variables, thresholds or interactions were selected. GSE32646 ER uses the source study's 10% cutoff.</w:t>
      </w:r>
    </w:p>
    <w:p>
      <w:pPr>
        <w:pStyle w:val="Heading1"/>
      </w:pPr>
      <w:r>
        <w:t>Supplementary methods: GSE20194 identity and raw-array checks</w:t>
      </w:r>
    </w:p>
    <w:p>
      <w:r>
        <w:t xml:space="preserve">The frozen official matrix header has 549,495 bytes and SHA256 </w:t>
      </w:r>
      <w:r>
        <w:rPr>
          <w:rFonts w:ascii="Consolas" w:hAnsi="Consolas"/>
          <w:sz w:val="20"/>
        </w:rPr>
        <w:t>998acc6ca9aa469a8944120c04d67bbc5d5cb54ba3c265f2600e286b075af8da</w:t>
      </w:r>
      <w:r>
        <w:t xml:space="preserve">. The official decompressed sample workbook has 161,280 bytes. Its Sample_Info and CodeBook sheets classify 130 records as MAQC_T (training), 100 as MAQC_V (validation), 29 as MDA_R (replicates) and 19 as MAQC_Q (source-flagged outliers); the CodeBook assigns the additional replicate/outlier </w:t>
      </w:r>
      <w:r>
        <w:rPr>
          <w:rFonts w:ascii="Consolas" w:hAnsi="Consolas"/>
          <w:sz w:val="20"/>
        </w:rPr>
        <w:t>23678_AB01562100_26133</w:t>
      </w:r>
      <w:r>
        <w:t xml:space="preserve"> to Q. The 19 Q arrays come from 18 source patients because M247 has two.</w:t>
      </w:r>
    </w:p>
    <w:p>
      <w:r>
        <w:t xml:space="preserve">Workbook and GEO filenames matched exactly apart from two formatting differences: </w:t>
      </w:r>
      <w:r>
        <w:rPr>
          <w:rFonts w:ascii="Consolas" w:hAnsi="Consolas"/>
          <w:sz w:val="20"/>
        </w:rPr>
        <w:t>FL786 642.CEL</w:t>
      </w:r>
      <w:r>
        <w:t xml:space="preserve"> to </w:t>
      </w:r>
      <w:r>
        <w:rPr>
          <w:rFonts w:ascii="Consolas" w:hAnsi="Consolas"/>
          <w:sz w:val="20"/>
        </w:rPr>
        <w:t>FL786_642.CEL</w:t>
      </w:r>
      <w:r>
        <w:t xml:space="preserve">, and </w:t>
      </w:r>
      <w:r>
        <w:rPr>
          <w:rFonts w:ascii="Consolas" w:hAnsi="Consolas"/>
          <w:sz w:val="20"/>
        </w:rPr>
        <w:t>FL1141-801(2).CEL</w:t>
      </w:r>
      <w:r>
        <w:t xml:space="preserve"> to </w:t>
      </w:r>
      <w:r>
        <w:rPr>
          <w:rFonts w:ascii="Consolas" w:hAnsi="Consolas"/>
          <w:sz w:val="20"/>
        </w:rPr>
        <w:t>FL1141-801_2_.CEL</w:t>
      </w:r>
      <w:r>
        <w:t xml:space="preserve">. In ten rows the archived metadata fields appear in different positions, so fields were read by name; all were checked against GEO. All 278 labels equal the observed </w:t>
      </w:r>
      <w:r>
        <w:rPr>
          <w:rFonts w:ascii="Consolas" w:hAnsi="Consolas"/>
          <w:sz w:val="20"/>
        </w:rPr>
        <w:t>pcr_vs_rd</w:t>
      </w:r>
      <w:r>
        <w:t xml:space="preserve"> field, defined as absence of residual invasive cancer in breast and nodes for pCR.</w:t>
      </w:r>
    </w:p>
    <w:p>
      <w:r>
        <w:t xml:space="preserve">Patient identifiers come from explicit </w:t>
      </w:r>
      <w:r>
        <w:rPr>
          <w:rFonts w:ascii="Consolas" w:hAnsi="Consolas"/>
          <w:sz w:val="20"/>
        </w:rPr>
        <w:t>source_name_ch1</w:t>
      </w:r>
      <w:r>
        <w:t xml:space="preserve"> text, </w:t>
      </w:r>
      <w:r>
        <w:rPr>
          <w:rFonts w:ascii="Consolas" w:hAnsi="Consolas"/>
          <w:sz w:val="20"/>
        </w:rPr>
        <w:t>Sample ID -- ...</w:t>
      </w:r>
      <w:r>
        <w:t xml:space="preserve">. Aliases from specimen titles drop the documented </w:t>
      </w:r>
      <w:r>
        <w:rPr>
          <w:rFonts w:ascii="Consolas" w:hAnsi="Consolas"/>
          <w:sz w:val="20"/>
        </w:rPr>
        <w:t>BR_FNA_</w:t>
      </w:r>
      <w:r>
        <w:t xml:space="preserve"> prefix and replicate suffix and treat hyphens and underscores in PERU names as equivalent. Source-identifier and alias groups correspond one to one; aliases alone were never used to merge records. This gives 248 patient identifiers, 50 with pCR, none with conflicting outcomes. Cross-series links used only MDACC identifiers, never I-SPY or Osaka names.</w:t>
      </w:r>
    </w:p>
    <w:p>
      <w:r>
        <w:t xml:space="preserve">The 188 patients linked to GSE25055 have 199 GSE20194 records. For 187, at least one original CEL filename is shared; M367 shares only the source patient identifier. Observed outcomes agree for all linked patients. Age differences (up to ten years) and M695's ER IHC difference are recorded in the mapping, not corrected. No GSM or raw-filename overlap with GSE32646 was found; undetected shared patients remain possible.</w:t>
      </w:r>
    </w:p>
    <w:p>
      <w:r>
        <w:t xml:space="preserve">Three pairs were selected by rules fixed before the new subset score analysis: the first and last pairs with shared filenames in GSE20194 GSM order (M157 and M806), and the first patient link with different filenames (M367). The six public compressed CEL files total 17,149,128 bytes. Byte hashes differ because GSE20194 files are text CEL v3 and GSE25055 files binary CEL v4. Biopython 1.86 read v3, but its v4 parser failed with a short-buffer error; the installed library was not modified.</w:t>
      </w:r>
    </w:p>
    <w:p>
      <w:r>
        <w:t xml:space="preserve">Our v4 reader instead follows the length-delimited fields of </w:t>
      </w:r>
      <w:r>
        <w:rPr>
          <w:rFonts w:ascii="Consolas" w:hAnsi="Consolas"/>
          <w:sz w:val="20"/>
        </w:rPr>
        <w:t>ReadXDABCel</w:t>
      </w:r>
      <w:r>
        <w:t xml:space="preserve"> from the Affymetrix Fusion SDK source [1], commit </w:t>
      </w:r>
      <w:r>
        <w:rPr>
          <w:rFonts w:ascii="Consolas" w:hAnsi="Consolas"/>
          <w:sz w:val="20"/>
        </w:rPr>
        <w:t>6fd83fcaca7707c1b198482ae11bc8aeb0e2c0b2</w:t>
      </w:r>
      <w:r>
        <w:t xml:space="preserve">, file SHA256 </w:t>
      </w:r>
      <w:r>
        <w:rPr>
          <w:rFonts w:ascii="Consolas" w:hAnsi="Consolas"/>
          <w:sz w:val="20"/>
        </w:rPr>
        <w:t>9a0ffa003475b7dd6cb8c7cd320273cfe3ce8cb1028f472df88d72a4f4ee2d57</w:t>
      </w:r>
      <w:r>
        <w:t xml:space="preserve">. It accounts for the full file length, including dimensions, records and the mask and outlier sections at the end. M157 and M806 match in all 506,944 intensity, standard-deviation and pixel-count values after conversion to the float32 precision of the binary files. M367 does not match and remains a link on the patient identifier alone. Mask and outlier coordinates were not compared.</w:t>
      </w:r>
    </w:p>
    <w:p>
      <w:r>
        <w:t xml:space="preserve">Each patient's score is the mean negative saved LN IC50 across that patient's arrays. All 2,000 draws were defined in each of the three patient-level bootstrap analyses. The 60 patients without a known link to GSE25055 include 18 with pCR. The source MAQC subset excludes both replicate and outlier arrays, so its AUC difference cannot be attributed to duplicate removal alone.</w:t>
      </w:r>
    </w:p>
    <w:p>
      <w:pPr>
        <w:pStyle w:val="Heading1"/>
      </w:pPr>
      <w:r>
        <w:t>Table S1. Every specified subgroup against observed response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800"/>
        <w:gridCol w:w="576"/>
        <w:gridCol w:w="691"/>
        <w:gridCol w:w="893"/>
        <w:gridCol w:w="2520"/>
        <w:gridCol w:w="2160"/>
      </w:tblGrid>
      <w:tr>
        <w:trPr>
          <w:cantSplit/>
          <w:tblHeader/>
        </w:trPr>
        <w:tc>
          <w:tcPr>
            <w:tcW w:type="dxa" w:w="1440"/>
            <w:vAlign w:val="center"/>
            <w:tcMar>
              <w:top w:w="65" w:type="dxa"/>
              <w:bottom w:w="65" w:type="dxa"/>
              <w:left w:w="65" w:type="dxa"/>
              <w:right w:w="65" w:type="dxa"/>
            </w:tcMar>
            <w:shd w:fill="EAEAEA"/>
          </w:tcPr>
          <w:p>
            <w:pPr>
              <w:keepNext/>
              <w:spacing w:line="252" w:lineRule="auto" w:after="40" w:before="40"/>
              <w:jc w:val="left"/>
            </w:pPr>
            <w:r>
              <w:rPr>
                <w:b/>
                <w:sz w:val="19"/>
              </w:rPr>
              <w:t>Cohort</w:t>
            </w:r>
          </w:p>
        </w:tc>
        <w:tc>
          <w:tcPr>
            <w:tcW w:type="dxa" w:w="1800"/>
            <w:vAlign w:val="center"/>
            <w:tcMar>
              <w:top w:w="65" w:type="dxa"/>
              <w:bottom w:w="65" w:type="dxa"/>
              <w:left w:w="65" w:type="dxa"/>
              <w:right w:w="65" w:type="dxa"/>
            </w:tcMar>
            <w:shd w:fill="EAEAEA"/>
          </w:tcPr>
          <w:p>
            <w:pPr>
              <w:keepNext/>
              <w:spacing w:line="252" w:lineRule="auto" w:after="40" w:before="40"/>
              <w:jc w:val="center"/>
            </w:pPr>
            <w:r>
              <w:rPr>
                <w:b/>
                <w:sz w:val="19"/>
              </w:rPr>
              <w:t>Stratum</w:t>
            </w:r>
          </w:p>
        </w:tc>
        <w:tc>
          <w:tcPr>
            <w:tcW w:type="dxa" w:w="576"/>
            <w:vAlign w:val="center"/>
            <w:tcMar>
              <w:top w:w="65" w:type="dxa"/>
              <w:bottom w:w="65" w:type="dxa"/>
              <w:left w:w="65" w:type="dxa"/>
              <w:right w:w="65" w:type="dxa"/>
            </w:tcMar>
            <w:shd w:fill="EAEAEA"/>
          </w:tcPr>
          <w:p>
            <w:pPr>
              <w:keepNext/>
              <w:spacing w:line="252" w:lineRule="auto" w:after="40" w:before="40"/>
              <w:jc w:val="center"/>
            </w:pPr>
            <w:r>
              <w:rPr>
                <w:b/>
                <w:sz w:val="19"/>
              </w:rPr>
              <w:t>n</w:t>
            </w:r>
          </w:p>
        </w:tc>
        <w:tc>
          <w:tcPr>
            <w:tcW w:type="dxa" w:w="691"/>
            <w:vAlign w:val="center"/>
            <w:tcMar>
              <w:top w:w="65" w:type="dxa"/>
              <w:bottom w:w="65" w:type="dxa"/>
              <w:left w:w="65" w:type="dxa"/>
              <w:right w:w="65" w:type="dxa"/>
            </w:tcMar>
            <w:shd w:fill="EAEAEA"/>
          </w:tcPr>
          <w:p>
            <w:pPr>
              <w:keepNext/>
              <w:spacing w:line="252" w:lineRule="auto" w:after="40" w:before="40"/>
              <w:jc w:val="center"/>
            </w:pPr>
            <w:r>
              <w:rPr>
                <w:b/>
                <w:sz w:val="19"/>
              </w:rPr>
              <w:t>pCR</w:t>
            </w:r>
          </w:p>
        </w:tc>
        <w:tc>
          <w:tcPr>
            <w:tcW w:type="dxa" w:w="893"/>
            <w:vAlign w:val="center"/>
            <w:tcMar>
              <w:top w:w="65" w:type="dxa"/>
              <w:bottom w:w="65" w:type="dxa"/>
              <w:left w:w="65" w:type="dxa"/>
              <w:right w:w="65" w:type="dxa"/>
            </w:tcMar>
            <w:shd w:fill="EAEAEA"/>
          </w:tcPr>
          <w:p>
            <w:pPr>
              <w:keepNext/>
              <w:spacing w:line="252" w:lineRule="auto" w:after="40" w:before="40"/>
              <w:jc w:val="center"/>
            </w:pPr>
            <w:r>
              <w:rPr>
                <w:b/>
                <w:sz w:val="19"/>
              </w:rPr>
              <w:t>AUC</w:t>
            </w:r>
          </w:p>
        </w:tc>
        <w:tc>
          <w:tcPr>
            <w:tcW w:type="dxa" w:w="2520"/>
            <w:vAlign w:val="center"/>
            <w:tcMar>
              <w:top w:w="65" w:type="dxa"/>
              <w:bottom w:w="65" w:type="dxa"/>
              <w:left w:w="65" w:type="dxa"/>
              <w:right w:w="65" w:type="dxa"/>
            </w:tcMar>
            <w:shd w:fill="EAEAEA"/>
          </w:tcPr>
          <w:p>
            <w:pPr>
              <w:keepNext/>
              <w:spacing w:line="252" w:lineRule="auto" w:after="40" w:before="40"/>
              <w:jc w:val="center"/>
            </w:pPr>
            <w:r>
              <w:rPr>
                <w:b/>
                <w:sz w:val="19"/>
              </w:rPr>
              <w:t>Bootstrap 95% interval</w:t>
            </w:r>
          </w:p>
        </w:tc>
        <w:tc>
          <w:tcPr>
            <w:tcW w:type="dxa" w:w="2160"/>
            <w:vAlign w:val="center"/>
            <w:tcMar>
              <w:top w:w="65" w:type="dxa"/>
              <w:bottom w:w="65" w:type="dxa"/>
              <w:left w:w="65" w:type="dxa"/>
              <w:right w:w="65" w:type="dxa"/>
            </w:tcMar>
            <w:shd w:fill="EAEAEA"/>
          </w:tcPr>
          <w:p>
            <w:pPr>
              <w:keepNext/>
              <w:spacing w:line="252" w:lineRule="auto" w:after="40" w:before="40"/>
              <w:jc w:val="center"/>
            </w:pPr>
            <w:r>
              <w:rPr>
                <w:b/>
                <w:sz w:val="19"/>
              </w:rPr>
              <w:t>Valid / 2,000 draws</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ER negative</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129</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45</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0.646</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0.544–0.742</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ER positive</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172</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11</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0.680</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0.477–0.866</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PAM50 Basal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120</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44</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0.582</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0.463–0.691</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PAM50 Her2</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20</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3</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0.706</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0.389–1.000</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1,939</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PAM50 LumA</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98</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3</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0.298</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0.152–0.510</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1,909</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PAM50 LumB</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43</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4</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0.859</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0.641–1.000</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1,969</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PAM50 Normal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25</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3</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0.833</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0.435–1.000</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1,916</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GSE32646</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ER negative</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44</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19</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0.581</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0.398–0.752</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GSE32646</w:t>
            </w:r>
          </w:p>
        </w:tc>
        <w:tc>
          <w:tcPr>
            <w:tcW w:type="dxa" w:w="1800"/>
            <w:vAlign w:val="center"/>
            <w:tcMar>
              <w:top w:w="65" w:type="dxa"/>
              <w:bottom w:w="65" w:type="dxa"/>
              <w:left w:w="65" w:type="dxa"/>
              <w:right w:w="65" w:type="dxa"/>
            </w:tcMar>
          </w:tcPr>
          <w:p>
            <w:pPr>
              <w:keepNext w:val="0"/>
              <w:spacing w:line="252" w:lineRule="auto" w:after="40" w:before="40"/>
              <w:jc w:val="center"/>
            </w:pPr>
            <w:r>
              <w:rPr>
                <w:sz w:val="19"/>
              </w:rPr>
              <w:t>ER positive</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71</w:t>
            </w:r>
          </w:p>
        </w:tc>
        <w:tc>
          <w:tcPr>
            <w:tcW w:type="dxa" w:w="691"/>
            <w:vAlign w:val="center"/>
            <w:tcMar>
              <w:top w:w="65" w:type="dxa"/>
              <w:bottom w:w="65" w:type="dxa"/>
              <w:left w:w="65" w:type="dxa"/>
              <w:right w:w="65" w:type="dxa"/>
            </w:tcMar>
          </w:tcPr>
          <w:p>
            <w:pPr>
              <w:keepNext w:val="0"/>
              <w:spacing w:line="252" w:lineRule="auto" w:after="40" w:before="40"/>
              <w:jc w:val="center"/>
            </w:pPr>
            <w:r>
              <w:rPr>
                <w:sz w:val="19"/>
              </w:rPr>
              <w:t>8</w:t>
            </w:r>
          </w:p>
        </w:tc>
        <w:tc>
          <w:tcPr>
            <w:tcW w:type="dxa" w:w="893"/>
            <w:vAlign w:val="center"/>
            <w:tcMar>
              <w:top w:w="65" w:type="dxa"/>
              <w:bottom w:w="65" w:type="dxa"/>
              <w:left w:w="65" w:type="dxa"/>
              <w:right w:w="65" w:type="dxa"/>
            </w:tcMar>
          </w:tcPr>
          <w:p>
            <w:pPr>
              <w:keepNext w:val="0"/>
              <w:spacing w:line="252" w:lineRule="auto" w:after="40" w:before="40"/>
              <w:jc w:val="center"/>
            </w:pPr>
            <w:r>
              <w:rPr>
                <w:sz w:val="19"/>
              </w:rPr>
              <w:t>0.815</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0.679–0.936</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2,000</w:t>
            </w:r>
          </w:p>
        </w:tc>
      </w:tr>
    </w:tbl>
    <w:p>
      <w:pPr>
        <w:spacing w:after="60" w:line="240" w:lineRule="auto"/>
      </w:pPr>
      <w:r>
        <w:rPr>
          <w:sz w:val="6"/>
        </w:rPr>
      </w:r>
    </w:p>
    <w:p>
      <w:r>
        <w:t xml:space="preserve">Small subgroups can lack an outcome class in a bootstrap sample; intervals use the defined draws only, without replacement draws. The LumA AUC rests on three pCR cases and does not show reliable reverse prediction. No interaction test was added after subgroup differences were seen.</w:t>
      </w:r>
    </w:p>
    <w:p>
      <w:pPr>
        <w:pStyle w:val="Heading1"/>
      </w:pPr>
      <w:r>
        <w:t>Table S2. Background sensitivity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62"/>
        <w:gridCol w:w="1692"/>
        <w:gridCol w:w="2970"/>
        <w:gridCol w:w="2656"/>
      </w:tblGrid>
      <w:tr>
        <w:trPr>
          <w:cantSplit/>
          <w:tblHeader/>
        </w:trPr>
        <w:tc>
          <w:tcPr>
            <w:tcW w:type="dxa" w:w="2762"/>
            <w:vAlign w:val="center"/>
            <w:tcMar>
              <w:top w:w="65" w:type="dxa"/>
              <w:bottom w:w="65" w:type="dxa"/>
              <w:left w:w="65" w:type="dxa"/>
              <w:right w:w="65" w:type="dxa"/>
            </w:tcMar>
            <w:shd w:fill="EAEAEA"/>
          </w:tcPr>
          <w:p>
            <w:pPr>
              <w:keepNext/>
              <w:spacing w:line="252" w:lineRule="auto" w:after="40" w:before="40"/>
              <w:jc w:val="left"/>
            </w:pPr>
            <w:r>
              <w:rPr>
                <w:b/>
                <w:sz w:val="19"/>
              </w:rPr>
              <w:t>Cohort / background</w:t>
            </w:r>
          </w:p>
        </w:tc>
        <w:tc>
          <w:tcPr>
            <w:tcW w:type="dxa" w:w="1692"/>
            <w:vAlign w:val="center"/>
            <w:tcMar>
              <w:top w:w="65" w:type="dxa"/>
              <w:bottom w:w="65" w:type="dxa"/>
              <w:left w:w="65" w:type="dxa"/>
              <w:right w:w="65" w:type="dxa"/>
            </w:tcMar>
            <w:shd w:fill="EAEAEA"/>
          </w:tcPr>
          <w:p>
            <w:pPr>
              <w:keepNext/>
              <w:spacing w:line="252" w:lineRule="auto" w:after="40" w:before="40"/>
              <w:jc w:val="center"/>
            </w:pPr>
            <w:r>
              <w:rPr>
                <w:b/>
                <w:sz w:val="19"/>
              </w:rPr>
              <w:t>n / pCR</w:t>
            </w:r>
          </w:p>
        </w:tc>
        <w:tc>
          <w:tcPr>
            <w:tcW w:type="dxa" w:w="2970"/>
            <w:vAlign w:val="center"/>
            <w:tcMar>
              <w:top w:w="65" w:type="dxa"/>
              <w:bottom w:w="65" w:type="dxa"/>
              <w:left w:w="65" w:type="dxa"/>
              <w:right w:w="65" w:type="dxa"/>
            </w:tcMar>
            <w:shd w:fill="EAEAEA"/>
          </w:tcPr>
          <w:p>
            <w:pPr>
              <w:keepNext/>
              <w:spacing w:line="252" w:lineRule="auto" w:after="40" w:before="40"/>
              <w:jc w:val="left"/>
            </w:pPr>
            <w:r>
              <w:rPr>
                <w:b/>
                <w:sz w:val="19"/>
              </w:rPr>
              <w:t>Within-stratum observed AUC (bootstrap 95% interval)</w:t>
            </w:r>
          </w:p>
        </w:tc>
        <w:tc>
          <w:tcPr>
            <w:tcW w:type="dxa" w:w="2656"/>
            <w:vAlign w:val="center"/>
            <w:tcMar>
              <w:top w:w="65" w:type="dxa"/>
              <w:bottom w:w="65" w:type="dxa"/>
              <w:left w:w="65" w:type="dxa"/>
              <w:right w:w="65" w:type="dxa"/>
            </w:tcMar>
            <w:shd w:fill="EAEAEA"/>
          </w:tcPr>
          <w:p>
            <w:pPr>
              <w:keepNext/>
              <w:spacing w:line="252" w:lineRule="auto" w:after="40" w:before="40"/>
              <w:jc w:val="left"/>
            </w:pPr>
            <w:r>
              <w:rPr>
                <w:b/>
                <w:sz w:val="19"/>
              </w:rPr>
              <w:t>Score OR per SD, adjusted for age and background (Wald 95% interval)</w:t>
            </w:r>
          </w:p>
        </w:tc>
      </w:tr>
      <w:tr>
        <w:trPr>
          <w:cantSplit/>
        </w:trPr>
        <w:tc>
          <w:tcPr>
            <w:tcW w:type="dxa" w:w="2762"/>
            <w:vAlign w:val="center"/>
            <w:tcMar>
              <w:top w:w="65" w:type="dxa"/>
              <w:bottom w:w="65" w:type="dxa"/>
              <w:left w:w="65" w:type="dxa"/>
              <w:right w:w="65" w:type="dxa"/>
            </w:tcMar>
          </w:tcPr>
          <w:p>
            <w:pPr>
              <w:keepNext w:val="0"/>
              <w:spacing w:line="252" w:lineRule="auto" w:after="40" w:before="40"/>
              <w:jc w:val="left"/>
            </w:pPr>
            <w:r>
              <w:rPr>
                <w:sz w:val="19"/>
              </w:rPr>
              <w:t>GSE25055 / ER IHC</w:t>
            </w:r>
          </w:p>
        </w:tc>
        <w:tc>
          <w:tcPr>
            <w:tcW w:type="dxa" w:w="1692"/>
            <w:vAlign w:val="center"/>
            <w:tcMar>
              <w:top w:w="65" w:type="dxa"/>
              <w:bottom w:w="65" w:type="dxa"/>
              <w:left w:w="65" w:type="dxa"/>
              <w:right w:w="65" w:type="dxa"/>
            </w:tcMar>
          </w:tcPr>
          <w:p>
            <w:pPr>
              <w:keepNext w:val="0"/>
              <w:spacing w:line="252" w:lineRule="auto" w:after="40" w:before="40"/>
              <w:jc w:val="center"/>
            </w:pPr>
            <w:r>
              <w:rPr>
                <w:sz w:val="19"/>
              </w:rPr>
              <w:t>301 / 56</w:t>
            </w:r>
          </w:p>
        </w:tc>
        <w:tc>
          <w:tcPr>
            <w:tcW w:type="dxa" w:w="2970"/>
            <w:vAlign w:val="center"/>
            <w:tcMar>
              <w:top w:w="65" w:type="dxa"/>
              <w:bottom w:w="65" w:type="dxa"/>
              <w:left w:w="65" w:type="dxa"/>
              <w:right w:w="65" w:type="dxa"/>
            </w:tcMar>
          </w:tcPr>
          <w:p>
            <w:pPr>
              <w:keepNext w:val="0"/>
              <w:spacing w:line="252" w:lineRule="auto" w:after="40" w:before="40"/>
              <w:jc w:val="center"/>
            </w:pPr>
            <w:r>
              <w:rPr>
                <w:sz w:val="19"/>
              </w:rPr>
              <w:t>0.657 (0.561–0.746)</w:t>
            </w:r>
          </w:p>
        </w:tc>
        <w:tc>
          <w:tcPr>
            <w:tcW w:type="dxa" w:w="2656"/>
            <w:vAlign w:val="center"/>
            <w:tcMar>
              <w:top w:w="65" w:type="dxa"/>
              <w:bottom w:w="65" w:type="dxa"/>
              <w:left w:w="65" w:type="dxa"/>
              <w:right w:w="65" w:type="dxa"/>
            </w:tcMar>
          </w:tcPr>
          <w:p>
            <w:pPr>
              <w:keepNext w:val="0"/>
              <w:spacing w:line="252" w:lineRule="auto" w:after="40" w:before="40"/>
              <w:jc w:val="center"/>
            </w:pPr>
            <w:r>
              <w:rPr>
                <w:sz w:val="19"/>
              </w:rPr>
              <w:t>2.14 (1.45–3.16)</w:t>
            </w:r>
          </w:p>
        </w:tc>
      </w:tr>
      <w:tr>
        <w:trPr>
          <w:cantSplit/>
        </w:trPr>
        <w:tc>
          <w:tcPr>
            <w:tcW w:type="dxa" w:w="2762"/>
            <w:vAlign w:val="center"/>
            <w:tcMar>
              <w:top w:w="65" w:type="dxa"/>
              <w:bottom w:w="65" w:type="dxa"/>
              <w:left w:w="65" w:type="dxa"/>
              <w:right w:w="65" w:type="dxa"/>
            </w:tcMar>
          </w:tcPr>
          <w:p>
            <w:pPr>
              <w:keepNext w:val="0"/>
              <w:spacing w:line="252" w:lineRule="auto" w:after="40" w:before="40"/>
              <w:jc w:val="left"/>
            </w:pPr>
            <w:r>
              <w:rPr>
                <w:sz w:val="19"/>
              </w:rPr>
              <w:t>GSE25055 / PAM50</w:t>
            </w:r>
          </w:p>
        </w:tc>
        <w:tc>
          <w:tcPr>
            <w:tcW w:type="dxa" w:w="1692"/>
            <w:vAlign w:val="center"/>
            <w:tcMar>
              <w:top w:w="65" w:type="dxa"/>
              <w:bottom w:w="65" w:type="dxa"/>
              <w:left w:w="65" w:type="dxa"/>
              <w:right w:w="65" w:type="dxa"/>
            </w:tcMar>
          </w:tcPr>
          <w:p>
            <w:pPr>
              <w:keepNext w:val="0"/>
              <w:spacing w:line="252" w:lineRule="auto" w:after="40" w:before="40"/>
              <w:jc w:val="center"/>
            </w:pPr>
            <w:r>
              <w:rPr>
                <w:sz w:val="19"/>
              </w:rPr>
              <w:t>306 / 57</w:t>
            </w:r>
          </w:p>
        </w:tc>
        <w:tc>
          <w:tcPr>
            <w:tcW w:type="dxa" w:w="2970"/>
            <w:vAlign w:val="center"/>
            <w:tcMar>
              <w:top w:w="65" w:type="dxa"/>
              <w:bottom w:w="65" w:type="dxa"/>
              <w:left w:w="65" w:type="dxa"/>
              <w:right w:w="65" w:type="dxa"/>
            </w:tcMar>
          </w:tcPr>
          <w:p>
            <w:pPr>
              <w:keepNext w:val="0"/>
              <w:spacing w:line="252" w:lineRule="auto" w:after="40" w:before="40"/>
              <w:jc w:val="center"/>
            </w:pPr>
            <w:r>
              <w:rPr>
                <w:sz w:val="19"/>
              </w:rPr>
              <w:t>0.578 (0.471–0.681)</w:t>
            </w:r>
          </w:p>
        </w:tc>
        <w:tc>
          <w:tcPr>
            <w:tcW w:type="dxa" w:w="2656"/>
            <w:vAlign w:val="center"/>
            <w:tcMar>
              <w:top w:w="65" w:type="dxa"/>
              <w:bottom w:w="65" w:type="dxa"/>
              <w:left w:w="65" w:type="dxa"/>
              <w:right w:w="65" w:type="dxa"/>
            </w:tcMar>
          </w:tcPr>
          <w:p>
            <w:pPr>
              <w:keepNext w:val="0"/>
              <w:spacing w:line="252" w:lineRule="auto" w:after="40" w:before="40"/>
              <w:jc w:val="center"/>
            </w:pPr>
            <w:r>
              <w:rPr>
                <w:sz w:val="19"/>
              </w:rPr>
              <w:t>1.81 (1.21–2.71)</w:t>
            </w:r>
          </w:p>
        </w:tc>
      </w:tr>
      <w:tr>
        <w:trPr>
          <w:cantSplit/>
        </w:trPr>
        <w:tc>
          <w:tcPr>
            <w:tcW w:type="dxa" w:w="2762"/>
            <w:vAlign w:val="center"/>
            <w:tcMar>
              <w:top w:w="65" w:type="dxa"/>
              <w:bottom w:w="65" w:type="dxa"/>
              <w:left w:w="65" w:type="dxa"/>
              <w:right w:w="65" w:type="dxa"/>
            </w:tcMar>
          </w:tcPr>
          <w:p>
            <w:pPr>
              <w:keepNext w:val="0"/>
              <w:spacing w:line="252" w:lineRule="auto" w:after="40" w:before="40"/>
              <w:jc w:val="left"/>
            </w:pPr>
            <w:r>
              <w:rPr>
                <w:sz w:val="19"/>
              </w:rPr>
              <w:t>GSE32646 / ER IHC</w:t>
            </w:r>
          </w:p>
        </w:tc>
        <w:tc>
          <w:tcPr>
            <w:tcW w:type="dxa" w:w="1692"/>
            <w:vAlign w:val="center"/>
            <w:tcMar>
              <w:top w:w="65" w:type="dxa"/>
              <w:bottom w:w="65" w:type="dxa"/>
              <w:left w:w="65" w:type="dxa"/>
              <w:right w:w="65" w:type="dxa"/>
            </w:tcMar>
          </w:tcPr>
          <w:p>
            <w:pPr>
              <w:keepNext w:val="0"/>
              <w:spacing w:line="252" w:lineRule="auto" w:after="40" w:before="40"/>
              <w:jc w:val="center"/>
            </w:pPr>
            <w:r>
              <w:rPr>
                <w:sz w:val="19"/>
              </w:rPr>
              <w:t>115 / 27</w:t>
            </w:r>
          </w:p>
        </w:tc>
        <w:tc>
          <w:tcPr>
            <w:tcW w:type="dxa" w:w="2970"/>
            <w:vAlign w:val="center"/>
            <w:tcMar>
              <w:top w:w="65" w:type="dxa"/>
              <w:bottom w:w="65" w:type="dxa"/>
              <w:left w:w="65" w:type="dxa"/>
              <w:right w:w="65" w:type="dxa"/>
            </w:tcMar>
          </w:tcPr>
          <w:p>
            <w:pPr>
              <w:keepNext w:val="0"/>
              <w:spacing w:line="252" w:lineRule="auto" w:after="40" w:before="40"/>
              <w:jc w:val="center"/>
            </w:pPr>
            <w:r>
              <w:rPr>
                <w:sz w:val="19"/>
              </w:rPr>
              <w:t>0.702 (0.571–0.813)</w:t>
            </w:r>
          </w:p>
        </w:tc>
        <w:tc>
          <w:tcPr>
            <w:tcW w:type="dxa" w:w="2656"/>
            <w:vAlign w:val="center"/>
            <w:tcMar>
              <w:top w:w="65" w:type="dxa"/>
              <w:bottom w:w="65" w:type="dxa"/>
              <w:left w:w="65" w:type="dxa"/>
              <w:right w:w="65" w:type="dxa"/>
            </w:tcMar>
          </w:tcPr>
          <w:p>
            <w:pPr>
              <w:keepNext w:val="0"/>
              <w:spacing w:line="252" w:lineRule="auto" w:after="40" w:before="40"/>
              <w:jc w:val="center"/>
            </w:pPr>
            <w:r>
              <w:rPr>
                <w:sz w:val="19"/>
              </w:rPr>
              <w:t>2.10 (1.20–3.70)</w:t>
            </w:r>
          </w:p>
        </w:tc>
      </w:tr>
    </w:tbl>
    <w:p>
      <w:pPr>
        <w:spacing w:after="60" w:line="240" w:lineRule="auto"/>
      </w:pPr>
      <w:r>
        <w:rPr>
          <w:sz w:val="6"/>
        </w:rPr>
      </w:r>
    </w:p>
    <w:p>
      <w:r>
        <w:t xml:space="preserve">In GSE25055, replacing DLDA30 labels with observed pathology changed within-ER AUC by −0.138 (−0.271 to −0.007) and within-PAM50 AUC by −0.095 (−0.276 to 0.105), each from 2,000 defined paired draws. These exploratory estimates use pair weights that change with the labels. All logistic models had full-rank designs and converged without warnings. Within-group AUC and the adjusted odds ratio measure different quantities. Main Figure 5A–B displays both.</w:t>
      </w:r>
    </w:p>
    <w:p>
      <w:pPr>
        <w:pStyle w:val="Heading1"/>
      </w:pPr>
      <w:r>
        <w:t>Table S3. Claims and their inspectable evidence</w:t>
      </w:r>
    </w:p>
    <w:p>
      <w:r>
        <w:t>Paths are relative to the archive root [2,3]. Files marked as generated contain third-party scores, labels or lists; they are not redistributed and are created by the archived scripts after scripts/fetch_inputs.py downloads the sources.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3420"/>
        <w:gridCol w:w="3420"/>
      </w:tblGrid>
      <w:tr>
        <w:trPr>
          <w:cantSplit/>
          <w:tblHeader/>
        </w:trPr>
        <w:tc>
          <w:tcPr>
            <w:tcW w:type="dxa" w:w="3240"/>
            <w:vAlign w:val="center"/>
            <w:tcMar>
              <w:top w:w="65" w:type="dxa"/>
              <w:bottom w:w="65" w:type="dxa"/>
              <w:left w:w="65" w:type="dxa"/>
              <w:right w:w="65" w:type="dxa"/>
            </w:tcMar>
            <w:shd w:fill="EAEAEA"/>
          </w:tcPr>
          <w:p>
            <w:pPr>
              <w:keepNext/>
              <w:spacing w:line="252" w:lineRule="auto" w:after="40" w:before="40"/>
              <w:jc w:val="left"/>
            </w:pPr>
            <w:r>
              <w:rPr>
                <w:b/>
                <w:sz w:val="19"/>
              </w:rPr>
              <w:t>Claim</w:t>
            </w:r>
          </w:p>
        </w:tc>
        <w:tc>
          <w:tcPr>
            <w:tcW w:type="dxa" w:w="3420"/>
            <w:vAlign w:val="center"/>
            <w:tcMar>
              <w:top w:w="65" w:type="dxa"/>
              <w:bottom w:w="65" w:type="dxa"/>
              <w:left w:w="65" w:type="dxa"/>
              <w:right w:w="65" w:type="dxa"/>
            </w:tcMar>
            <w:shd w:fill="EAEAEA"/>
          </w:tcPr>
          <w:p>
            <w:pPr>
              <w:keepNext/>
              <w:spacing w:line="252" w:lineRule="auto" w:after="40" w:before="40"/>
              <w:jc w:val="center"/>
            </w:pPr>
            <w:r>
              <w:rPr>
                <w:b/>
                <w:sz w:val="19"/>
              </w:rPr>
              <w:t>Evidence and fields</w:t>
            </w:r>
          </w:p>
        </w:tc>
        <w:tc>
          <w:tcPr>
            <w:tcW w:type="dxa" w:w="3420"/>
            <w:vAlign w:val="center"/>
            <w:tcMar>
              <w:top w:w="65" w:type="dxa"/>
              <w:bottom w:w="65" w:type="dxa"/>
              <w:left w:w="65" w:type="dxa"/>
              <w:right w:w="65" w:type="dxa"/>
            </w:tcMar>
            <w:shd w:fill="EAEAEA"/>
          </w:tcPr>
          <w:p>
            <w:pPr>
              <w:keepNext/>
              <w:spacing w:line="252" w:lineRule="auto" w:after="40" w:before="40"/>
              <w:jc w:val="center"/>
            </w:pPr>
            <w:r>
              <w:rPr>
                <w:b/>
                <w:sz w:val="19"/>
              </w:rPr>
              <w:t>Scope</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GSE25055 labels are DLDA30 outputs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Exact-ID crosswalk (</w:t>
            </w:r>
            <w:r>
              <w:rPr>
                <w:rFonts w:ascii="Consolas" w:hAnsi="Consolas"/>
                <w:sz w:val="19"/>
              </w:rPr>
              <w:t>results/GSE25055_fixed_prediction_crosswalk.csv</w:t>
            </w:r>
            <w:r>
              <w:rPr>
                <w:sz w:val="19"/>
              </w:rPr>
              <w:t xml:space="preserve">), </w:t>
            </w:r>
            <w:r>
              <w:rPr>
                <w:rFonts w:ascii="Consolas" w:hAnsi="Consolas"/>
                <w:sz w:val="19"/>
              </w:rPr>
              <w:t>raw_archive_label</w:t>
            </w:r>
            <w:r>
              <w:rPr>
                <w:sz w:val="19"/>
              </w:rPr>
              <w:t xml:space="preserve">, </w:t>
            </w:r>
            <w:r>
              <w:rPr>
                <w:rFonts w:ascii="Consolas" w:hAnsi="Consolas"/>
                <w:sz w:val="19"/>
              </w:rPr>
              <w:t>archive_group</w:t>
            </w:r>
            <w:r>
              <w:rPr>
                <w:sz w:val="19"/>
              </w:rPr>
              <w:t xml:space="preserve">, </w:t>
            </w:r>
            <w:r>
              <w:rPr>
                <w:rFonts w:ascii="Consolas" w:hAnsi="Consolas"/>
                <w:sz w:val="19"/>
              </w:rPr>
              <w:t>dlda30_prediction</w:t>
            </w:r>
            <w:r>
              <w:rPr>
                <w:sz w:val="19"/>
              </w:rPr>
              <w:t xml:space="preserve">, </w:t>
            </w:r>
            <w:r>
              <w:rPr>
                <w:rFonts w:ascii="Consolas" w:hAnsi="Consolas"/>
                <w:sz w:val="19"/>
              </w:rPr>
              <w:t>observed_pcr_rd</w:t>
            </w:r>
            <w:r>
              <w:rPr>
                <w:sz w:val="19"/>
              </w:rPr>
              <w:t>; primary results (</w:t>
            </w:r>
            <w:r>
              <w:rPr>
                <w:rFonts w:ascii="Consolas" w:hAnsi="Consolas"/>
                <w:sz w:val="19"/>
              </w:rPr>
              <w:t>results/label_repair_results.json</w:t>
            </w:r>
            <w:r>
              <w:rPr>
                <w:sz w:val="19"/>
              </w:rPr>
              <w:t xml:space="preserve">), </w:t>
            </w:r>
            <w:r>
              <w:rPr>
                <w:rFonts w:ascii="Consolas" w:hAnsi="Consolas"/>
                <w:sz w:val="19"/>
              </w:rPr>
              <w:t>identity_checks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310 source-label matches; 90/306 disagreements with observed outcome.</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Replacing DLDA30 labels lowers AUC by 0.103</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Primary results (</w:t>
            </w:r>
            <w:r>
              <w:rPr>
                <w:rFonts w:ascii="Consolas" w:hAnsi="Consolas"/>
                <w:sz w:val="19"/>
              </w:rPr>
              <w:t>results/label_repair_results.json</w:t>
            </w:r>
            <w:r>
              <w:rPr>
                <w:sz w:val="19"/>
              </w:rPr>
              <w:t xml:space="preserve">), </w:t>
            </w:r>
            <w:r>
              <w:rPr>
                <w:rFonts w:ascii="Consolas" w:hAnsi="Consolas"/>
                <w:sz w:val="19"/>
              </w:rPr>
              <w:t>same_306_stored_DLDA30</w:t>
            </w:r>
            <w:r>
              <w:rPr>
                <w:sz w:val="19"/>
              </w:rPr>
              <w:t xml:space="preserve">, </w:t>
            </w:r>
            <w:r>
              <w:rPr>
                <w:rFonts w:ascii="Consolas" w:hAnsi="Consolas"/>
                <w:sz w:val="19"/>
              </w:rPr>
              <w:t>same_306_observed_pathology</w:t>
            </w:r>
            <w:r>
              <w:rPr>
                <w:sz w:val="19"/>
              </w:rPr>
              <w:t xml:space="preserve">, </w:t>
            </w:r>
            <w:r>
              <w:rPr>
                <w:rFonts w:ascii="Consolas" w:hAnsi="Consolas"/>
                <w:sz w:val="19"/>
              </w:rPr>
              <w:t>auc_delta</w:t>
            </w:r>
            <w:r>
              <w:rPr>
                <w:sz w:val="19"/>
              </w:rPr>
              <w:t xml:space="preserve">, </w:t>
            </w:r>
            <w:r>
              <w:rPr>
                <w:rFonts w:ascii="Consolas" w:hAnsi="Consolas"/>
                <w:sz w:val="19"/>
              </w:rPr>
              <w:t>bootstrap</w:t>
            </w:r>
            <w:r>
              <w:rPr>
                <w:sz w:val="19"/>
              </w:rPr>
              <w:t>; paired draws (</w:t>
            </w:r>
            <w:r>
              <w:rPr>
                <w:rFonts w:ascii="Consolas" w:hAnsi="Consolas"/>
                <w:sz w:val="19"/>
              </w:rPr>
              <w:t>results/paired_label_bootstrap.csv</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Same 306 patients and saved scores.</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GSE32646 and GSE20194 labels match pathology</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GSE32646 crosswalk (</w:t>
            </w:r>
            <w:r>
              <w:rPr>
                <w:rFonts w:ascii="Consolas" w:hAnsi="Consolas"/>
                <w:sz w:val="19"/>
              </w:rPr>
              <w:t>results/GSE32646_fixed_prediction_crosswalk.csv</w:t>
            </w:r>
            <w:r>
              <w:rPr>
                <w:sz w:val="19"/>
              </w:rPr>
              <w:t>); GSE20194 crosswalk (</w:t>
            </w:r>
            <w:r>
              <w:rPr>
                <w:rFonts w:ascii="Consolas" w:hAnsi="Consolas"/>
                <w:sz w:val="19"/>
              </w:rPr>
              <w:t>results/third_cohort/GSE20194_verified_array_crosswalk.csv</w:t>
            </w:r>
            <w:r>
              <w:rPr>
                <w:sz w:val="19"/>
              </w:rPr>
              <w:t>); identity audit (</w:t>
            </w:r>
            <w:r>
              <w:rPr>
                <w:rFonts w:ascii="Consolas" w:hAnsi="Consolas"/>
                <w:sz w:val="19"/>
              </w:rPr>
              <w:t>results/third_cohort/identity_audit.json</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Matches source fields; no new clinical review.</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278 arrays represent 248 patient IDs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Array crosswalk (</w:t>
            </w:r>
            <w:r>
              <w:rPr>
                <w:rFonts w:ascii="Consolas" w:hAnsi="Consolas"/>
                <w:sz w:val="19"/>
              </w:rPr>
              <w:t>results/third_cohort/GSE20194_verified_array_crosswalk.csv</w:t>
            </w:r>
            <w:r>
              <w:rPr>
                <w:sz w:val="19"/>
              </w:rPr>
              <w:t xml:space="preserve">), </w:t>
            </w:r>
            <w:r>
              <w:rPr>
                <w:rFonts w:ascii="Consolas" w:hAnsi="Consolas"/>
                <w:sz w:val="19"/>
              </w:rPr>
              <w:t>patient_key</w:t>
            </w:r>
            <w:r>
              <w:rPr>
                <w:sz w:val="19"/>
              </w:rPr>
              <w:t xml:space="preserve">, </w:t>
            </w:r>
            <w:r>
              <w:rPr>
                <w:rFonts w:ascii="Consolas" w:hAnsi="Consolas"/>
                <w:sz w:val="19"/>
              </w:rPr>
              <w:t>maqc_status</w:t>
            </w:r>
            <w:r>
              <w:rPr>
                <w:sz w:val="19"/>
              </w:rPr>
              <w:t>; patient means (</w:t>
            </w:r>
            <w:r>
              <w:rPr>
                <w:rFonts w:ascii="Consolas" w:hAnsi="Consolas"/>
                <w:sz w:val="19"/>
              </w:rPr>
              <w:t>results/third_cohort/GSE20194_patient_means.csv</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Explicit source-ID groups, checked against specimen aliases.</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188 patients link to GSE25055; 187 share CEL filenames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Cross-series links (</w:t>
            </w:r>
            <w:r>
              <w:rPr>
                <w:rFonts w:ascii="Consolas" w:hAnsi="Consolas"/>
                <w:sz w:val="19"/>
              </w:rPr>
              <w:t>results/third_cohort/GSE20194_GSE25055_array_links.csv</w:t>
            </w:r>
            <w:r>
              <w:rPr>
                <w:sz w:val="19"/>
              </w:rPr>
              <w:t>); identity audit (</w:t>
            </w:r>
            <w:r>
              <w:rPr>
                <w:rFonts w:ascii="Consolas" w:hAnsi="Consolas"/>
                <w:sz w:val="19"/>
              </w:rPr>
              <w:t>results/third_cohort/identity_audit.json</w:t>
            </w:r>
            <w:r>
              <w:rPr>
                <w:sz w:val="19"/>
              </w:rPr>
              <w:t xml:space="preserve">), </w:t>
            </w:r>
            <w:r>
              <w:rPr>
                <w:rFonts w:ascii="Consolas" w:hAnsi="Consolas"/>
                <w:sz w:val="19"/>
              </w:rPr>
              <w:t>cross_series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199 GSE20194 arrays from 188 patients; not by itself evidence of DIPK training leakage.</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Two selected array pairs match, M367 differs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Raw selection (</w:t>
            </w:r>
            <w:r>
              <w:rPr>
                <w:rFonts w:ascii="Consolas" w:hAnsi="Consolas"/>
                <w:sz w:val="19"/>
              </w:rPr>
              <w:t>results/third_cohort/raw_spotcheck_selection.csv</w:t>
            </w:r>
            <w:r>
              <w:rPr>
                <w:sz w:val="19"/>
              </w:rPr>
              <w:t>); value checks (</w:t>
            </w:r>
            <w:r>
              <w:rPr>
                <w:rFonts w:ascii="Consolas" w:hAnsi="Consolas"/>
                <w:sz w:val="19"/>
              </w:rPr>
              <w:t>results/third_cohort/raw_value_checks.json</w:t>
            </w:r>
            <w:r>
              <w:rPr>
                <w:sz w:val="19"/>
              </w:rPr>
              <w:t xml:space="preserve">), </w:t>
            </w:r>
            <w:r>
              <w:rPr>
                <w:rFonts w:ascii="Consolas" w:hAnsi="Consolas"/>
                <w:sz w:val="19"/>
              </w:rPr>
              <w:t>pairs</w:t>
            </w:r>
            <w:r>
              <w:rPr>
                <w:sz w:val="19"/>
              </w:rPr>
              <w:t xml:space="preserve">, </w:t>
            </w:r>
            <w:r>
              <w:rPr>
                <w:rFonts w:ascii="Consolas" w:hAnsi="Consolas"/>
                <w:sz w:val="19"/>
              </w:rPr>
              <w:t>v4_layout_source</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Three pairs only; intensity/SD/pixel counts at float32 precision.</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Patient-level analyses retain discrimination</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Patient results (</w:t>
            </w:r>
            <w:r>
              <w:rPr>
                <w:rFonts w:ascii="Consolas" w:hAnsi="Consolas"/>
                <w:sz w:val="19"/>
              </w:rPr>
              <w:t>results/third_cohort/patient_level_results.csv</w:t>
            </w:r>
            <w:r>
              <w:rPr>
                <w:sz w:val="19"/>
              </w:rPr>
              <w:t>); analysis sets (</w:t>
            </w:r>
            <w:r>
              <w:rPr>
                <w:rFonts w:ascii="Consolas" w:hAnsi="Consolas"/>
                <w:sz w:val="19"/>
              </w:rPr>
              <w:t>results/third_cohort/patient_analysis_sets.csv</w:t>
            </w:r>
            <w:r>
              <w:rPr>
                <w:sz w:val="19"/>
              </w:rPr>
              <w:t>); patient draws (</w:t>
            </w:r>
            <w:r>
              <w:rPr>
                <w:rFonts w:ascii="Consolas" w:hAnsi="Consolas"/>
                <w:sz w:val="19"/>
              </w:rPr>
              <w:t>results/third_cohort/patient_bootstrap.csv</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Three aggregation or eligibility rules; differences do not estimate reuse effects.</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Score remains positively associated after adjustment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Adjusted estimates (</w:t>
            </w:r>
            <w:r>
              <w:rPr>
                <w:rFonts w:ascii="Consolas" w:hAnsi="Consolas"/>
                <w:sz w:val="19"/>
              </w:rPr>
              <w:t>results/sensitivity/adjusted_associations.csv</w:t>
            </w:r>
            <w:r>
              <w:rPr>
                <w:sz w:val="19"/>
              </w:rPr>
              <w:t>); full subgroup estimates (</w:t>
            </w:r>
            <w:r>
              <w:rPr>
                <w:rFonts w:ascii="Consolas" w:hAnsi="Consolas"/>
                <w:sz w:val="19"/>
              </w:rPr>
              <w:t>results/sensitivity/subgroup_auc.csv</w:t>
            </w:r>
            <w:r>
              <w:rPr>
                <w:sz w:val="19"/>
              </w:rPr>
              <w:t>); within-stratum estimates (</w:t>
            </w:r>
            <w:r>
              <w:rPr>
                <w:rFonts w:ascii="Consolas" w:hAnsi="Consolas"/>
                <w:sz w:val="19"/>
              </w:rPr>
              <w:t>results/sensitivity/within_stratum_auc.csv</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Exploratory adjusted associations, not added prediction in new patients.</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Numerical implementations agree</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Primary R checks (</w:t>
            </w:r>
            <w:r>
              <w:rPr>
                <w:rFonts w:ascii="Consolas" w:hAnsi="Consolas"/>
                <w:sz w:val="19"/>
              </w:rPr>
              <w:t>results/R_crosscheck.csv</w:t>
            </w:r>
            <w:r>
              <w:rPr>
                <w:sz w:val="19"/>
              </w:rPr>
              <w:t>); background R coefficients (</w:t>
            </w:r>
            <w:r>
              <w:rPr>
                <w:rFonts w:ascii="Consolas" w:hAnsi="Consolas"/>
                <w:sz w:val="19"/>
              </w:rPr>
              <w:t>results/sensitivity/R_coefficients.csv</w:t>
            </w:r>
            <w:r>
              <w:rPr>
                <w:sz w:val="19"/>
              </w:rPr>
              <w:t>); patient R checks (</w:t>
            </w:r>
            <w:r>
              <w:rPr>
                <w:rFonts w:ascii="Consolas" w:hAnsi="Consolas"/>
                <w:sz w:val="19"/>
              </w:rPr>
              <w:t>results/third_cohort/R_unit_crosscheck.csv</w:t>
            </w:r>
            <w:r>
              <w:rPr>
                <w:sz w:val="19"/>
              </w:rPr>
              <w: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Cross-implementation verification.</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No specific correction found in a bounded search</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Bounded searches of publisher records, Crossref, Europe PMC MED and GitHub</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Publisher, Crossref, Europe PMC MED, GitHub issues and exact-term queries; priority not established.</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AUC reduction remains within recruitment sources (fixed-weight average)</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Source summary and paired draws (</w:t>
            </w:r>
            <w:r>
              <w:rPr>
                <w:rFonts w:ascii="Consolas" w:hAnsi="Consolas"/>
                <w:sz w:val="19"/>
              </w:rPr>
              <w:t>results/extension/source_label_summary.csv</w:t>
            </w:r>
            <w:r>
              <w:rPr>
                <w:sz w:val="19"/>
              </w:rPr>
              <w:t xml:space="preserve">, </w:t>
            </w:r>
            <w:r>
              <w:rPr>
                <w:rFonts w:ascii="Consolas" w:hAnsi="Consolas"/>
                <w:sz w:val="19"/>
              </w:rPr>
              <w:t>results/extension/source_label_bootstrap.csv</w:t>
            </w:r>
            <w:r>
              <w:rPr>
                <w:sz w:val="19"/>
              </w:rPr>
              <w:t>); Table S11</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Same 306 patients; MDACC-specific interval includes zero; no heterogeneity test.</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RPS duplicate list includes 186 of the 188 linked accessions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Published RPS Table S3 [4]; exact-accession comparison (</w:t>
            </w:r>
            <w:r>
              <w:rPr>
                <w:rFonts w:ascii="Consolas" w:hAnsi="Consolas"/>
                <w:sz w:val="19"/>
              </w:rPr>
              <w:t>generated RPS_identity_reference_comparison.csv</w:t>
            </w:r>
            <w:r>
              <w:rPr>
                <w:sz w:val="19"/>
              </w:rPr>
              <w:t>); Table S13</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RPS list spans five datasets and names no duplicate partners; all four differing accessions are reported.</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Gains beyond seven clinical variables have intervals including zero</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Complete means and refit draws (</w:t>
            </w:r>
            <w:r>
              <w:rPr>
                <w:rFonts w:ascii="Consolas" w:hAnsi="Consolas"/>
                <w:sz w:val="19"/>
              </w:rPr>
              <w:t>results/extension/clinical_expanded_metrics.csv</w:t>
            </w:r>
            <w:r>
              <w:rPr>
                <w:sz w:val="19"/>
              </w:rPr>
              <w:t xml:space="preserve">, </w:t>
            </w:r>
            <w:r>
              <w:rPr>
                <w:rFonts w:ascii="Consolas" w:hAnsi="Consolas"/>
                <w:sz w:val="19"/>
              </w:rPr>
              <w:t>results/extension/clinical_expanded_bootstrap.csv</w:t>
            </w:r>
            <w:r>
              <w:rPr>
                <w:sz w:val="19"/>
              </w:rPr>
              <w:t>); Tables S9–S10</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Exploratory; conditional on the original partitions and saved scores; coverage in small samples unverified.</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Unchanged secondary models misestimate mean risk in the target cohort</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Transfer predictions and joint source/target intervals (</w:t>
            </w:r>
            <w:r>
              <w:rPr>
                <w:rFonts w:ascii="Consolas" w:hAnsi="Consolas"/>
                <w:sz w:val="19"/>
              </w:rPr>
              <w:t>results/extension/transport_predictions.csv</w:t>
            </w:r>
            <w:r>
              <w:rPr>
                <w:sz w:val="19"/>
              </w:rPr>
              <w:t xml:space="preserve">, </w:t>
            </w:r>
            <w:r>
              <w:rPr>
                <w:rFonts w:ascii="Consolas" w:hAnsi="Consolas"/>
                <w:sz w:val="19"/>
              </w:rPr>
              <w:t>results/extension/transport_refit_increment.csv</w:t>
            </w:r>
            <w:r>
              <w:rPr>
                <w:sz w:val="19"/>
              </w:rPr>
              <w:t>); Table S8</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Secondary models fitted here; DIPK itself outputs predicted log IC50, not response probabilities.</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Recorded subtype structure brings the permutation reference close to the actual AUC against DLDA30 labels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Exact reference means, permutations and bootstrap draws (</w:t>
            </w:r>
            <w:r>
              <w:rPr>
                <w:rFonts w:ascii="Consolas" w:hAnsi="Consolas"/>
                <w:sz w:val="19"/>
              </w:rPr>
              <w:t>results/extension/proxy_background_results.json</w:t>
            </w:r>
            <w:r>
              <w:rPr>
                <w:sz w:val="19"/>
              </w:rPr>
              <w:t xml:space="preserve">, </w:t>
            </w:r>
            <w:r>
              <w:rPr>
                <w:rFonts w:ascii="Consolas" w:hAnsi="Consolas"/>
                <w:sz w:val="19"/>
              </w:rPr>
              <w:t>results/extension/proxy_background_permutations.csv</w:t>
            </w:r>
            <w:r>
              <w:rPr>
                <w:sz w:val="19"/>
              </w:rPr>
              <w:t xml:space="preserve">, </w:t>
            </w:r>
            <w:r>
              <w:rPr>
                <w:rFonts w:ascii="Consolas" w:hAnsi="Consolas"/>
                <w:sz w:val="19"/>
              </w:rPr>
              <w:t>results/extension/proxy_background_bootstrap.csv</w:t>
            </w:r>
            <w:r>
              <w:rPr>
                <w:sz w:val="19"/>
              </w:rPr>
              <w:t>); Tables S14–S16</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Exploratory; strata with only one DLDA30 label stay fixed; actual-minus-expected intervals include zero for PAM50 and ER-plus-PAM50; does not measure subtype's share or what DIPK learned.</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A correctly labeled signature also has higher AUC against DLDA30 labels than against pathology</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Patient crosswalk, full paired estimates and shared draws (</w:t>
            </w:r>
            <w:r>
              <w:rPr>
                <w:rFonts w:ascii="Consolas" w:hAnsi="Consolas"/>
                <w:sz w:val="19"/>
              </w:rPr>
              <w:t>generated sylver_comparison_input.csv</w:t>
            </w:r>
            <w:r>
              <w:rPr>
                <w:sz w:val="19"/>
              </w:rPr>
              <w:t xml:space="preserve">, </w:t>
            </w:r>
            <w:r>
              <w:rPr>
                <w:rFonts w:ascii="Consolas" w:hAnsi="Consolas"/>
                <w:sz w:val="19"/>
              </w:rPr>
              <w:t>results/extension/sylver_comparison_results.json</w:t>
            </w:r>
            <w:r>
              <w:rPr>
                <w:sz w:val="19"/>
              </w:rPr>
              <w:t xml:space="preserve">, </w:t>
            </w:r>
            <w:r>
              <w:rPr>
                <w:rFonts w:ascii="Consolas" w:hAnsi="Consolas"/>
                <w:sz w:val="19"/>
              </w:rPr>
              <w:t>results/extension/sylver_comparison_bootstrap.csv</w:t>
            </w:r>
            <w:r>
              <w:rPr>
                <w:sz w:val="19"/>
              </w:rPr>
              <w:t>); Tables S17–S18</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SLM-HRD's source labels match pathology; DLDA30 labels are applied to it only here. Same 306 patients; neither score was shown to be better or equivalent.</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In GSE25065, the change in SLM-HRD's AUC between targets is unresolved</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Released-score results and shared draws (</w:t>
            </w:r>
            <w:r>
              <w:rPr>
                <w:rFonts w:ascii="Consolas" w:hAnsi="Consolas"/>
                <w:sz w:val="19"/>
              </w:rPr>
              <w:t>results/extension/sylver_second_cohort_results.json</w:t>
            </w:r>
            <w:r>
              <w:rPr>
                <w:sz w:val="19"/>
              </w:rPr>
              <w:t xml:space="preserve">, </w:t>
            </w:r>
            <w:r>
              <w:rPr>
                <w:rFonts w:ascii="Consolas" w:hAnsi="Consolas"/>
                <w:sz w:val="19"/>
              </w:rPr>
              <w:t>results/extension/sylver_second_cohort_bootstrap.csv</w:t>
            </w:r>
            <w:r>
              <w:rPr>
                <w:sz w:val="19"/>
              </w:rPr>
              <w:t>); Table S19 and Figure 1F</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Intervals include zero for all 181 patients and for the 153 left after excluding RPS-flagged samples. Evidence about SLM-HRD, not DIPK.</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 xml:space="preserve">TIL-30's GSE41998 labels record AC complete response, not final pCR</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Source outcome crosswalk, estimates and shared draws (</w:t>
            </w:r>
            <w:r>
              <w:rPr>
                <w:rFonts w:ascii="Consolas" w:hAnsi="Consolas"/>
                <w:sz w:val="19"/>
              </w:rPr>
              <w:t>generated GSE41998_fixed_score_crosswalk.csv</w:t>
            </w:r>
            <w:r>
              <w:rPr>
                <w:sz w:val="19"/>
              </w:rPr>
              <w:t xml:space="preserve">, </w:t>
            </w:r>
            <w:r>
              <w:rPr>
                <w:rFonts w:ascii="Consolas" w:hAnsi="Consolas"/>
                <w:sz w:val="19"/>
              </w:rPr>
              <w:t>results/til30/GSE41998_target_results.csv</w:t>
            </w:r>
            <w:r>
              <w:rPr>
                <w:sz w:val="19"/>
              </w:rPr>
              <w:t xml:space="preserve">, </w:t>
            </w:r>
            <w:r>
              <w:rPr>
                <w:rFonts w:ascii="Consolas" w:hAnsi="Consolas"/>
                <w:sz w:val="19"/>
              </w:rPr>
              <w:t>results/til30/GSE41998_paired_bootstrap.csv</w:t>
            </w:r>
            <w:r>
              <w:rPr>
                <w:sz w:val="19"/>
              </w:rPr>
              <w:t>); Table S20 and Fig 2</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All 122 released records; targets disagree in 43. AUC-difference interval includes zero; average precision rises with the positive fraction.</w:t>
            </w:r>
          </w:p>
        </w:tc>
      </w:tr>
      <w:tr>
        <w:trPr>
          <w:cantSplit/>
        </w:trPr>
        <w:tc>
          <w:tcPr>
            <w:tcW w:type="dxa" w:w="3240"/>
            <w:vAlign w:val="center"/>
            <w:tcMar>
              <w:top w:w="65" w:type="dxa"/>
              <w:bottom w:w="65" w:type="dxa"/>
              <w:left w:w="65" w:type="dxa"/>
              <w:right w:w="65" w:type="dxa"/>
            </w:tcMar>
          </w:tcPr>
          <w:p>
            <w:pPr>
              <w:keepNext w:val="0"/>
              <w:spacing w:line="252" w:lineRule="auto" w:after="40" w:before="40"/>
              <w:jc w:val="left"/>
            </w:pPr>
            <w:r>
              <w:rPr>
                <w:sz w:val="19"/>
              </w:rPr>
              <w:t>TIL-30 GSE20194 validation records reuse training patients</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Validation patient-support and training-link tables (</w:t>
            </w:r>
            <w:r>
              <w:rPr>
                <w:rFonts w:ascii="Consolas" w:hAnsi="Consolas"/>
                <w:sz w:val="19"/>
              </w:rPr>
              <w:t>generated GSE20194_validation_patient_support.csv</w:t>
            </w:r>
            <w:r>
              <w:rPr>
                <w:sz w:val="19"/>
              </w:rPr>
              <w:t xml:space="preserve">, </w:t>
            </w:r>
            <w:r>
              <w:rPr>
                <w:rFonts w:ascii="Consolas" w:hAnsi="Consolas"/>
                <w:sz w:val="19"/>
              </w:rPr>
              <w:t>generated GSE20194_links_to_training.csv</w:t>
            </w:r>
            <w:r>
              <w:rPr>
                <w:sz w:val="19"/>
              </w:rPr>
              <w:t>); Table S21</w:t>
            </w:r>
          </w:p>
        </w:tc>
        <w:tc>
          <w:tcPr>
            <w:tcW w:type="dxa" w:w="3420"/>
            <w:vAlign w:val="center"/>
            <w:tcMar>
              <w:top w:w="65" w:type="dxa"/>
              <w:bottom w:w="65" w:type="dxa"/>
              <w:left w:w="65" w:type="dxa"/>
              <w:right w:w="65" w:type="dxa"/>
            </w:tcMar>
          </w:tcPr>
          <w:p>
            <w:pPr>
              <w:keepNext w:val="0"/>
              <w:spacing w:line="252" w:lineRule="auto" w:after="40" w:before="40"/>
              <w:jc w:val="left"/>
            </w:pPr>
            <w:r>
              <w:rPr>
                <w:sz w:val="19"/>
              </w:rPr>
              <w:t xml:space="preserve">60 validation records link to 57 training patients. Effect on AUC not estimated; the 11 unlinked records may still include reused patients.</w:t>
            </w:r>
          </w:p>
        </w:tc>
      </w:tr>
    </w:tbl>
    <w:p>
      <w:pPr>
        <w:spacing w:after="60" w:line="240" w:lineRule="auto"/>
      </w:pPr>
      <w:r>
        <w:rPr>
          <w:sz w:val="6"/>
        </w:rPr>
      </w:r>
    </w:p>
    <w:p>
      <w:pPr>
        <w:pStyle w:val="Heading1"/>
      </w:pPr>
      <w:r>
        <w:t>Numerical verification and reuse</w:t>
      </w:r>
    </w:p>
    <w:p>
      <w:r>
        <w:t xml:space="preserve">AUCs from direct pair enumeration in R agree with Python in all checked comparisons. Background logistic coefficients differ between implementations by at most about 1.93 × 10⁻⁹ and standard errors by 7.40 × 10⁻⁶. Patient aggregation and patient-level AUCs and intervals also agree. A separate offline run regenerated 23 CSV tables and five groups of JSON results in a new location and compared them with the frozen versions at relative tolerance 10⁻⁹ and absolute tolerance 10⁻¹², using the existing environment rather than a clean installation. The accompanying package also includes an executable check of processed estimates and saved bootstrap intervals, run separately from the full audit of upstream inputs. In a clean directory with the existing Python environment, the archived scripts for the later analyses and the VAEN label check ran from the archived inputs and downloaded third-party sources, and all 52 regenerated result files matched the archived results.</w:t>
      </w:r>
    </w:p>
    <w:p>
      <w:pPr>
        <w:pStyle w:val="Heading1"/>
      </w:pPr>
      <w:r>
        <w:t>Secondary prediction models and evaluation design</w:t>
      </w:r>
    </w:p>
    <w:p>
      <w:r>
        <w:t xml:space="preserve">The first prediction analyses were specified on 29 September 2026, after the initial reanalysis and before their effects were calculated; later comparisons are described below. All use previously examined patients and are exploratory. Eligible patients were the 301 in GSE25055 with observed outcomes and positive or negative ER IHC status, and all 115 in GSE32646; no age or saved score was missing. Every within-cohort comparison used the same patients, labels and folds, with predictors and penalty fixed before its effects were calculated.</w:t>
      </w:r>
    </w:p>
    <w:p>
      <w:r>
        <w:t xml:space="preserve">Logistic models used scikit-learn 1.7.2, L2 penalty C=1, lbfgs, a maximum of 2,000 iterations and tolerance </w:t>
      </w:r>
      <w:r>
        <w:t>10</w:t>
      </w:r>
      <w:r>
        <w:rPr>
          <w:vertAlign w:val="superscript"/>
        </w:rPr>
        <w:t>−10</w:t>
      </w:r>
      <w:r>
        <w:t xml:space="preserve">. All predictors, including the binary ER indicator, were standardized with each training set's population standard deviation. Only slopes were penalized, not the intercept. The prevalence-only comparator, an intercept-only model, predicted the training prevalence. Ten stratified five-fold partitions used seeds 202609290 through 202609299. For each repeat, AUC and average precision were calculated once on the held-out predictions pooled across all five folds, not averaged over folds. Because training prevalence differs slightly between folds, the prevalence-only model's pooled AUC can differ slightly from 0.5.</w:t>
      </w:r>
    </w:p>
    <w:p>
      <w:r>
        <w:t xml:space="preserve">Brier score is the mean squared error of predicted probabilities; logarithmic loss is the negative mean log probability assigned to the observed outcome; lower is better for both. Average precision sums precision at each observed score threshold, weighted by the gain in recall (not the trapezoidal precision–recall area), and depends on the positive fraction. Ranges across the ten repeats reflect only how patients were split into folds.</w:t>
      </w:r>
    </w:p>
    <w:p>
      <w:r>
        <w:t xml:space="preserve">The transfer analysis fitted each model to the whole source cohort and applied its standardization and coefficients unchanged to the target cohort. Each cohort kept its source study's ER definition, including the 10% cutoff in GSE32646. Target-cohort data were not used for centering or recalibration. Mean predicted probability was compared with the observed pCR fraction (calibration-in-the-large); calibration curves were not analyzed. Saved scores had mean 2.244 (SD 0.217) in the 301 age/ER-eligible GSE25055 patients and 2.965 (SD 0.328) in the 115 GSE32646 patients; the source cohort's mean and SD standardized the score in each direction.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33"/>
        <w:gridCol w:w="4457"/>
        <w:gridCol w:w="1690"/>
      </w:tblGrid>
      <w:tr>
        <w:trPr>
          <w:cantSplit/>
          <w:tblHeader/>
        </w:trPr>
        <w:tc>
          <w:tcPr>
            <w:tcW w:type="dxa" w:w="3933"/>
            <w:vAlign w:val="center"/>
            <w:tcMar>
              <w:top w:w="65" w:type="dxa"/>
              <w:bottom w:w="65" w:type="dxa"/>
              <w:left w:w="65" w:type="dxa"/>
              <w:right w:w="65" w:type="dxa"/>
            </w:tcMar>
            <w:shd w:fill="EAEAEA"/>
          </w:tcPr>
          <w:p>
            <w:pPr>
              <w:keepNext/>
              <w:spacing w:line="252" w:lineRule="auto" w:after="40" w:before="40"/>
              <w:jc w:val="left"/>
            </w:pPr>
            <w:r>
              <w:rPr>
                <w:b/>
                <w:sz w:val="19"/>
              </w:rPr>
              <w:t>Analysis</w:t>
            </w:r>
          </w:p>
        </w:tc>
        <w:tc>
          <w:tcPr>
            <w:tcW w:type="dxa" w:w="4457"/>
            <w:vAlign w:val="center"/>
            <w:tcMar>
              <w:top w:w="65" w:type="dxa"/>
              <w:bottom w:w="65" w:type="dxa"/>
              <w:left w:w="65" w:type="dxa"/>
              <w:right w:w="65" w:type="dxa"/>
            </w:tcMar>
            <w:shd w:fill="EAEAEA"/>
          </w:tcPr>
          <w:p>
            <w:pPr>
              <w:keepNext/>
              <w:spacing w:line="252" w:lineRule="auto" w:after="40" w:before="40"/>
              <w:jc w:val="center"/>
            </w:pPr>
            <w:r>
              <w:rPr>
                <w:b/>
                <w:sz w:val="19"/>
              </w:rPr>
              <w:t>Draws or repetitions</w:t>
            </w:r>
          </w:p>
        </w:tc>
        <w:tc>
          <w:tcPr>
            <w:tcW w:type="dxa" w:w="1690"/>
            <w:vAlign w:val="center"/>
            <w:tcMar>
              <w:top w:w="65" w:type="dxa"/>
              <w:bottom w:w="65" w:type="dxa"/>
              <w:left w:w="65" w:type="dxa"/>
              <w:right w:w="65" w:type="dxa"/>
            </w:tcMar>
            <w:shd w:fill="EAEAEA"/>
          </w:tcPr>
          <w:p>
            <w:pPr>
              <w:keepNext/>
              <w:spacing w:line="252" w:lineRule="auto" w:after="40" w:before="40"/>
              <w:jc w:val="center"/>
            </w:pPr>
            <w:r>
              <w:rPr>
                <w:b/>
                <w:sz w:val="19"/>
              </w:rPr>
              <w:t>Seed</w:t>
            </w:r>
          </w:p>
        </w:tc>
      </w:tr>
      <w:tr>
        <w:trPr>
          <w:cantSplit/>
        </w:trPr>
        <w:tc>
          <w:tcPr>
            <w:tcW w:type="dxa" w:w="3933"/>
            <w:vAlign w:val="center"/>
            <w:tcMar>
              <w:top w:w="65" w:type="dxa"/>
              <w:bottom w:w="65" w:type="dxa"/>
              <w:left w:w="65" w:type="dxa"/>
              <w:right w:w="65" w:type="dxa"/>
            </w:tcMar>
          </w:tcPr>
          <w:p>
            <w:pPr>
              <w:keepNext/>
              <w:spacing w:line="252" w:lineRule="auto" w:after="40" w:before="40"/>
              <w:jc w:val="left"/>
            </w:pPr>
            <w:r>
              <w:rPr>
                <w:sz w:val="19"/>
              </w:rPr>
              <w:t>Label/AP and binary-DLDA30 contrasts</w:t>
            </w:r>
          </w:p>
        </w:tc>
        <w:tc>
          <w:tcPr>
            <w:tcW w:type="dxa" w:w="4457"/>
            <w:vAlign w:val="center"/>
            <w:tcMar>
              <w:top w:w="65" w:type="dxa"/>
              <w:bottom w:w="65" w:type="dxa"/>
              <w:left w:w="65" w:type="dxa"/>
              <w:right w:w="65" w:type="dxa"/>
            </w:tcMar>
          </w:tcPr>
          <w:p>
            <w:pPr>
              <w:keepNext/>
              <w:spacing w:line="252" w:lineRule="auto" w:after="40" w:before="40"/>
              <w:jc w:val="center"/>
            </w:pPr>
            <w:r>
              <w:rPr>
                <w:sz w:val="19"/>
              </w:rPr>
              <w:t>2,000 paired patient draws</w:t>
            </w:r>
          </w:p>
        </w:tc>
        <w:tc>
          <w:tcPr>
            <w:tcW w:type="dxa" w:w="1690"/>
            <w:vAlign w:val="center"/>
            <w:tcMar>
              <w:top w:w="65" w:type="dxa"/>
              <w:bottom w:w="65" w:type="dxa"/>
              <w:left w:w="65" w:type="dxa"/>
              <w:right w:w="65" w:type="dxa"/>
            </w:tcMar>
          </w:tcPr>
          <w:p>
            <w:pPr>
              <w:keepNext/>
              <w:spacing w:line="252" w:lineRule="auto" w:after="40" w:before="40"/>
              <w:jc w:val="center"/>
            </w:pPr>
            <w:r>
              <w:rPr>
                <w:sz w:val="19"/>
              </w:rPr>
              <w:t>202609291</w:t>
            </w:r>
          </w:p>
        </w:tc>
      </w:tr>
      <w:tr>
        <w:trPr>
          <w:cantSplit/>
        </w:trPr>
        <w:tc>
          <w:tcPr>
            <w:tcW w:type="dxa" w:w="3933"/>
            <w:vAlign w:val="center"/>
            <w:tcMar>
              <w:top w:w="65" w:type="dxa"/>
              <w:bottom w:w="65" w:type="dxa"/>
              <w:left w:w="65" w:type="dxa"/>
              <w:right w:w="65" w:type="dxa"/>
            </w:tcMar>
          </w:tcPr>
          <w:p>
            <w:pPr>
              <w:keepNext/>
              <w:spacing w:line="252" w:lineRule="auto" w:after="40" w:before="40"/>
              <w:jc w:val="left"/>
            </w:pPr>
            <w:r>
              <w:rPr>
                <w:sz w:val="19"/>
              </w:rPr>
              <w:t>Within-cohort prediction</w:t>
            </w:r>
          </w:p>
        </w:tc>
        <w:tc>
          <w:tcPr>
            <w:tcW w:type="dxa" w:w="4457"/>
            <w:vAlign w:val="center"/>
            <w:tcMar>
              <w:top w:w="65" w:type="dxa"/>
              <w:bottom w:w="65" w:type="dxa"/>
              <w:left w:w="65" w:type="dxa"/>
              <w:right w:w="65" w:type="dxa"/>
            </w:tcMar>
          </w:tcPr>
          <w:p>
            <w:pPr>
              <w:keepNext/>
              <w:spacing w:line="252" w:lineRule="auto" w:after="40" w:before="40"/>
              <w:jc w:val="center"/>
            </w:pPr>
            <w:r>
              <w:rPr>
                <w:sz w:val="19"/>
              </w:rPr>
              <w:t>10 repeats of five folds</w:t>
            </w:r>
          </w:p>
        </w:tc>
        <w:tc>
          <w:tcPr>
            <w:tcW w:type="dxa" w:w="1690"/>
            <w:vAlign w:val="center"/>
            <w:tcMar>
              <w:top w:w="65" w:type="dxa"/>
              <w:bottom w:w="65" w:type="dxa"/>
              <w:left w:w="65" w:type="dxa"/>
              <w:right w:w="65" w:type="dxa"/>
            </w:tcMar>
          </w:tcPr>
          <w:p>
            <w:pPr>
              <w:keepNext/>
              <w:spacing w:line="252" w:lineRule="auto" w:after="40" w:before="40"/>
              <w:jc w:val="center"/>
            </w:pPr>
            <w:r>
              <w:rPr>
                <w:sz w:val="19"/>
              </w:rPr>
              <w:t>202609290–202609299</w:t>
            </w:r>
          </w:p>
        </w:tc>
      </w:tr>
      <w:tr>
        <w:trPr>
          <w:cantSplit/>
        </w:trPr>
        <w:tc>
          <w:tcPr>
            <w:tcW w:type="dxa" w:w="3933"/>
            <w:vAlign w:val="center"/>
            <w:tcMar>
              <w:top w:w="65" w:type="dxa"/>
              <w:bottom w:w="65" w:type="dxa"/>
              <w:left w:w="65" w:type="dxa"/>
              <w:right w:w="65" w:type="dxa"/>
            </w:tcMar>
          </w:tcPr>
          <w:p>
            <w:pPr>
              <w:keepNext/>
              <w:spacing w:line="252" w:lineRule="auto" w:after="40" w:before="40"/>
              <w:jc w:val="left"/>
            </w:pPr>
            <w:r>
              <w:rPr>
                <w:sz w:val="19"/>
              </w:rPr>
              <w:t xml:space="preserve">Bidirectional transfer</w:t>
            </w:r>
          </w:p>
        </w:tc>
        <w:tc>
          <w:tcPr>
            <w:tcW w:type="dxa" w:w="4457"/>
            <w:vAlign w:val="center"/>
            <w:tcMar>
              <w:top w:w="65" w:type="dxa"/>
              <w:bottom w:w="65" w:type="dxa"/>
              <w:left w:w="65" w:type="dxa"/>
              <w:right w:w="65" w:type="dxa"/>
            </w:tcMar>
          </w:tcPr>
          <w:p>
            <w:pPr>
              <w:keepNext/>
              <w:spacing w:line="252" w:lineRule="auto" w:after="40" w:before="40"/>
              <w:jc w:val="left"/>
            </w:pPr>
            <w:r>
              <w:rPr>
                <w:sz w:val="19"/>
              </w:rPr>
              <w:t>2,000 target-patient draws per direction</w:t>
            </w:r>
          </w:p>
        </w:tc>
        <w:tc>
          <w:tcPr>
            <w:tcW w:type="dxa" w:w="1690"/>
            <w:vAlign w:val="center"/>
            <w:tcMar>
              <w:top w:w="65" w:type="dxa"/>
              <w:bottom w:w="65" w:type="dxa"/>
              <w:left w:w="65" w:type="dxa"/>
              <w:right w:w="65" w:type="dxa"/>
            </w:tcMar>
          </w:tcPr>
          <w:p>
            <w:pPr>
              <w:keepNext/>
              <w:spacing w:line="252" w:lineRule="auto" w:after="40" w:before="40"/>
              <w:jc w:val="center"/>
            </w:pPr>
            <w:r>
              <w:rPr>
                <w:sz w:val="19"/>
              </w:rPr>
              <w:t>202609292</w:t>
            </w:r>
          </w:p>
        </w:tc>
      </w:tr>
      <w:tr>
        <w:trPr>
          <w:cantSplit/>
        </w:trPr>
        <w:tc>
          <w:tcPr>
            <w:tcW w:type="dxa" w:w="3933"/>
            <w:vAlign w:val="center"/>
            <w:tcMar>
              <w:top w:w="65" w:type="dxa"/>
              <w:bottom w:w="65" w:type="dxa"/>
              <w:left w:w="65" w:type="dxa"/>
              <w:right w:w="65" w:type="dxa"/>
            </w:tcMar>
          </w:tcPr>
          <w:p>
            <w:pPr>
              <w:keepNext/>
              <w:spacing w:line="252" w:lineRule="auto" w:after="40" w:before="40"/>
              <w:jc w:val="left"/>
            </w:pPr>
            <w:r>
              <w:rPr>
                <w:sz w:val="19"/>
              </w:rPr>
              <w:t>Array/cluster/patient uncertainty</w:t>
            </w:r>
          </w:p>
        </w:tc>
        <w:tc>
          <w:tcPr>
            <w:tcW w:type="dxa" w:w="4457"/>
            <w:vAlign w:val="center"/>
            <w:tcMar>
              <w:top w:w="65" w:type="dxa"/>
              <w:bottom w:w="65" w:type="dxa"/>
              <w:left w:w="65" w:type="dxa"/>
              <w:right w:w="65" w:type="dxa"/>
            </w:tcMar>
          </w:tcPr>
          <w:p>
            <w:pPr>
              <w:keepNext/>
              <w:spacing w:line="252" w:lineRule="auto" w:after="40" w:before="40"/>
              <w:jc w:val="center"/>
            </w:pPr>
            <w:r>
              <w:rPr>
                <w:sz w:val="19"/>
              </w:rPr>
              <w:t>2,000 draws per scheme</w:t>
            </w:r>
          </w:p>
        </w:tc>
        <w:tc>
          <w:tcPr>
            <w:tcW w:type="dxa" w:w="1690"/>
            <w:vAlign w:val="center"/>
            <w:tcMar>
              <w:top w:w="65" w:type="dxa"/>
              <w:bottom w:w="65" w:type="dxa"/>
              <w:left w:w="65" w:type="dxa"/>
              <w:right w:w="65" w:type="dxa"/>
            </w:tcMar>
          </w:tcPr>
          <w:p>
            <w:pPr>
              <w:keepNext/>
              <w:spacing w:line="252" w:lineRule="auto" w:after="40" w:before="40"/>
              <w:jc w:val="center"/>
            </w:pPr>
            <w:r>
              <w:rPr>
                <w:sz w:val="19"/>
              </w:rPr>
              <w:t>202609293</w:t>
            </w:r>
          </w:p>
        </w:tc>
      </w:tr>
      <w:tr>
        <w:trPr>
          <w:cantSplit/>
        </w:trPr>
        <w:tc>
          <w:tcPr>
            <w:tcW w:type="dxa" w:w="3933"/>
            <w:vAlign w:val="center"/>
            <w:tcMar>
              <w:top w:w="65" w:type="dxa"/>
              <w:bottom w:w="65" w:type="dxa"/>
              <w:left w:w="65" w:type="dxa"/>
              <w:right w:w="65" w:type="dxa"/>
            </w:tcMar>
          </w:tcPr>
          <w:p>
            <w:pPr>
              <w:keepNext w:val="0"/>
              <w:spacing w:line="252" w:lineRule="auto" w:after="40" w:before="40"/>
              <w:jc w:val="left"/>
            </w:pPr>
            <w:r>
              <w:rPr>
                <w:sz w:val="19"/>
              </w:rPr>
              <w:t xml:space="preserve">Later transfer refitting</w:t>
            </w:r>
          </w:p>
        </w:tc>
        <w:tc>
          <w:tcPr>
            <w:tcW w:type="dxa" w:w="4457"/>
            <w:vAlign w:val="center"/>
            <w:tcMar>
              <w:top w:w="65" w:type="dxa"/>
              <w:bottom w:w="65" w:type="dxa"/>
              <w:left w:w="65" w:type="dxa"/>
              <w:right w:w="65" w:type="dxa"/>
            </w:tcMar>
          </w:tcPr>
          <w:p>
            <w:pPr>
              <w:keepNext w:val="0"/>
              <w:spacing w:line="252" w:lineRule="auto" w:after="40" w:before="40"/>
              <w:jc w:val="left"/>
            </w:pPr>
            <w:r>
              <w:rPr>
                <w:sz w:val="19"/>
              </w:rPr>
              <w:t>2,000 joint source-and-target draws per direction</w:t>
            </w:r>
          </w:p>
        </w:tc>
        <w:tc>
          <w:tcPr>
            <w:tcW w:type="dxa" w:w="1690"/>
            <w:vAlign w:val="center"/>
            <w:tcMar>
              <w:top w:w="65" w:type="dxa"/>
              <w:bottom w:w="65" w:type="dxa"/>
              <w:left w:w="65" w:type="dxa"/>
              <w:right w:w="65" w:type="dxa"/>
            </w:tcMar>
          </w:tcPr>
          <w:p>
            <w:pPr>
              <w:keepNext w:val="0"/>
              <w:spacing w:line="252" w:lineRule="auto" w:after="40" w:before="40"/>
              <w:jc w:val="center"/>
            </w:pPr>
            <w:r>
              <w:rPr>
                <w:sz w:val="19"/>
              </w:rPr>
              <w:t>202609294</w:t>
            </w:r>
          </w:p>
        </w:tc>
      </w:tr>
    </w:tbl>
    <w:p>
      <w:pPr>
        <w:spacing w:after="60" w:line="240" w:lineRule="auto"/>
      </w:pPr>
      <w:r>
        <w:rPr>
          <w:sz w:val="6"/>
        </w:rPr>
      </w:r>
    </w:p>
    <w:p>
      <w:r>
        <w:t xml:space="preserve">All bootstrap draws in these initial extension analyses contained both outcome classes. For GSE20194, patient-cluster resampling drew 248 patients with replacement and kept all arrays of each sampled patient, so the number of arrays varied between draws. Naive resampling drew 278 arrays, ignoring that some came from the same patient. Patient-mean resampling used one averaged score per patient. The first two estimate the same array-weighted AUC; the third changes the evaluation unit. This patient-mean interval differs slightly from the earlier one in main Table 2 because it uses a separate random stream.</w:t>
      </w:r>
    </w:p>
    <w:p>
      <w:r>
        <w:t xml:space="preserve">The draws for the label, average-precision and binary-DLDA30 contrasts (seed 202609291) supplied the secondary GSE25055 estimates reported in the main text for all 306 patients. Average precision was 0.798 against archived DLDA30 labels (positive fraction 39.5%) and 0.468 against observed pathology (18.6%), a paired difference of −0.330 (95% interval, −0.460 to −0.180). The same draws gave an observed-pathology-minus-DLDA30 AUC difference of −0.103 (−0.178 to −0.027), similar to the primary interval from seed 20260926. Against observed pathology, the binary DLDA30 classifier had AUC 0.731 and average precision 0.323; the DIPK-minus-DLDA30 AUC difference was 0.017 (−0.059 to 0.090). Table S17 reports the same average-precision contrast from separate 5,000 draws shared with SLM-HRD (−0.464 to −0.188); the two intervals differ only because the random draws differ.</w:t>
      </w:r>
    </w:p>
    <w:p>
      <w:pPr>
        <w:pStyle w:val="Heading1"/>
      </w:pPr>
      <w:r>
        <w:t>Table S4. Complete repeated cross-validation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6"/>
        <w:gridCol w:w="1686"/>
        <w:gridCol w:w="1686"/>
        <w:gridCol w:w="1686"/>
        <w:gridCol w:w="1686"/>
      </w:tblGrid>
      <w:tr>
        <w:trPr>
          <w:cantSplit/>
          <w:tblHeader/>
        </w:trPr>
        <w:tc>
          <w:tcPr>
            <w:tcW w:type="dxa" w:w="3336"/>
            <w:vAlign w:val="center"/>
            <w:tcMar>
              <w:top w:w="65" w:type="dxa"/>
              <w:bottom w:w="65" w:type="dxa"/>
              <w:left w:w="65" w:type="dxa"/>
              <w:right w:w="65" w:type="dxa"/>
            </w:tcMar>
            <w:shd w:fill="EAEAEA"/>
          </w:tcPr>
          <w:p>
            <w:pPr>
              <w:keepNext/>
              <w:spacing w:line="252" w:lineRule="auto" w:after="40" w:before="40"/>
              <w:jc w:val="left"/>
            </w:pPr>
            <w:r>
              <w:rPr>
                <w:b/>
                <w:sz w:val="19"/>
              </w:rPr>
              <w:t>Cohort / model</w:t>
            </w:r>
          </w:p>
        </w:tc>
        <w:tc>
          <w:tcPr>
            <w:tcW w:type="dxa" w:w="1686"/>
            <w:vAlign w:val="center"/>
            <w:tcMar>
              <w:top w:w="65" w:type="dxa"/>
              <w:bottom w:w="65" w:type="dxa"/>
              <w:left w:w="65" w:type="dxa"/>
              <w:right w:w="65" w:type="dxa"/>
            </w:tcMar>
            <w:shd w:fill="EAEAEA"/>
          </w:tcPr>
          <w:p>
            <w:pPr>
              <w:keepNext/>
              <w:spacing w:line="252" w:lineRule="auto" w:after="40" w:before="40"/>
              <w:jc w:val="center"/>
            </w:pPr>
            <w:r>
              <w:rPr>
                <w:b/>
                <w:sz w:val="19"/>
              </w:rPr>
              <w:t>AUC</w:t>
            </w:r>
          </w:p>
        </w:tc>
        <w:tc>
          <w:tcPr>
            <w:tcW w:type="dxa" w:w="1686"/>
            <w:vAlign w:val="center"/>
            <w:tcMar>
              <w:top w:w="65" w:type="dxa"/>
              <w:bottom w:w="65" w:type="dxa"/>
              <w:left w:w="65" w:type="dxa"/>
              <w:right w:w="65" w:type="dxa"/>
            </w:tcMar>
            <w:shd w:fill="EAEAEA"/>
          </w:tcPr>
          <w:p>
            <w:pPr>
              <w:keepNext/>
              <w:spacing w:line="252" w:lineRule="auto" w:after="40" w:before="40"/>
              <w:jc w:val="center"/>
            </w:pPr>
            <w:r>
              <w:rPr>
                <w:b/>
                <w:sz w:val="19"/>
              </w:rPr>
              <w:t>Average precision</w:t>
            </w:r>
          </w:p>
        </w:tc>
        <w:tc>
          <w:tcPr>
            <w:tcW w:type="dxa" w:w="1686"/>
            <w:vAlign w:val="center"/>
            <w:tcMar>
              <w:top w:w="65" w:type="dxa"/>
              <w:bottom w:w="65" w:type="dxa"/>
              <w:left w:w="65" w:type="dxa"/>
              <w:right w:w="65" w:type="dxa"/>
            </w:tcMar>
            <w:shd w:fill="EAEAEA"/>
          </w:tcPr>
          <w:p>
            <w:pPr>
              <w:keepNext/>
              <w:spacing w:line="252" w:lineRule="auto" w:after="40" w:before="40"/>
              <w:jc w:val="center"/>
            </w:pPr>
            <w:r>
              <w:rPr>
                <w:b/>
                <w:sz w:val="19"/>
              </w:rPr>
              <w:t>Brier score</w:t>
            </w:r>
          </w:p>
        </w:tc>
        <w:tc>
          <w:tcPr>
            <w:tcW w:type="dxa" w:w="1686"/>
            <w:vAlign w:val="center"/>
            <w:tcMar>
              <w:top w:w="65" w:type="dxa"/>
              <w:bottom w:w="65" w:type="dxa"/>
              <w:left w:w="65" w:type="dxa"/>
              <w:right w:w="65" w:type="dxa"/>
            </w:tcMar>
            <w:shd w:fill="EAEAEA"/>
          </w:tcPr>
          <w:p>
            <w:pPr>
              <w:keepNext/>
              <w:spacing w:line="252" w:lineRule="auto" w:after="40" w:before="40"/>
              <w:jc w:val="center"/>
            </w:pPr>
            <w:r>
              <w:rPr>
                <w:b/>
                <w:sz w:val="19"/>
              </w:rPr>
              <w:t>Log loss</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 xml:space="preserve">GSE25055 / Prevalence only</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0.493</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0.184</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0.151</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0.480</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GSE25055 / Age + ER</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0.733</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0.335</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0.133</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0.418</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GSE25055 / Score</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0.751</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0.468</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0.129</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0.413</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GSE25055 / Age + ER + score</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0.788</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0.466</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0.125</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0.394</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 xml:space="preserve">GSE32646 / Prevalence only</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0.471</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0.225</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0.180</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0.546</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GSE32646 / Age + ER</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0.689</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0.409</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0.163</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0.499</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GSE32646 / Score</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0.745</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0.466</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0.157</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0.479</w:t>
            </w:r>
          </w:p>
        </w:tc>
      </w:tr>
      <w:tr>
        <w:trPr>
          <w:cantSplit/>
        </w:trPr>
        <w:tc>
          <w:tcPr>
            <w:tcW w:type="dxa" w:w="3336"/>
            <w:vAlign w:val="center"/>
            <w:tcMar>
              <w:top w:w="65" w:type="dxa"/>
              <w:bottom w:w="65" w:type="dxa"/>
              <w:left w:w="65" w:type="dxa"/>
              <w:right w:w="65" w:type="dxa"/>
            </w:tcMar>
          </w:tcPr>
          <w:p>
            <w:pPr>
              <w:keepNext w:val="0"/>
              <w:spacing w:line="252" w:lineRule="auto" w:after="40" w:before="40"/>
              <w:jc w:val="left"/>
            </w:pPr>
            <w:r>
              <w:rPr>
                <w:sz w:val="19"/>
              </w:rPr>
              <w:t>GSE32646 / Age + ER + score</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0.757</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0.469</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0.158</w:t>
            </w:r>
          </w:p>
        </w:tc>
        <w:tc>
          <w:tcPr>
            <w:tcW w:type="dxa" w:w="1686"/>
            <w:vAlign w:val="center"/>
            <w:tcMar>
              <w:top w:w="65" w:type="dxa"/>
              <w:bottom w:w="65" w:type="dxa"/>
              <w:left w:w="65" w:type="dxa"/>
              <w:right w:w="65" w:type="dxa"/>
            </w:tcMar>
          </w:tcPr>
          <w:p>
            <w:pPr>
              <w:keepNext w:val="0"/>
              <w:spacing w:line="252" w:lineRule="auto" w:after="40" w:before="40"/>
              <w:jc w:val="center"/>
            </w:pPr>
            <w:r>
              <w:rPr>
                <w:sz w:val="19"/>
              </w:rPr>
              <w:t>0.479</w:t>
            </w:r>
          </w:p>
        </w:tc>
      </w:tr>
    </w:tbl>
    <w:p>
      <w:pPr>
        <w:spacing w:after="60" w:line="240" w:lineRule="auto"/>
      </w:pPr>
      <w:r>
        <w:rPr>
          <w:sz w:val="6"/>
        </w:rPr>
      </w:r>
    </w:p>
    <w:p>
      <w:r>
        <w:t xml:space="preserve">Entries are means across ten repeats. The processed analysis outputs contain each repeat's metrics and all 16,640 out-of-fold predictions, labeled by patient, fold and model.</w:t>
      </w:r>
    </w:p>
    <w:p>
      <w:pPr>
        <w:pStyle w:val="Heading1"/>
      </w:pPr>
      <w:r>
        <w:t xml:space="preserve">Table S5. Score increments over age and ER across the ten partitions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86"/>
        <w:gridCol w:w="1569"/>
        <w:gridCol w:w="1569"/>
        <w:gridCol w:w="1569"/>
        <w:gridCol w:w="2686"/>
      </w:tblGrid>
      <w:tr>
        <w:trPr>
          <w:cantSplit/>
          <w:tblHeader/>
        </w:trPr>
        <w:tc>
          <w:tcPr>
            <w:tcW w:type="dxa" w:w="2686"/>
            <w:vAlign w:val="center"/>
            <w:tcMar>
              <w:top w:w="65" w:type="dxa"/>
              <w:bottom w:w="65" w:type="dxa"/>
              <w:left w:w="65" w:type="dxa"/>
              <w:right w:w="65" w:type="dxa"/>
            </w:tcMar>
            <w:shd w:fill="EAEAEA"/>
          </w:tcPr>
          <w:p>
            <w:pPr>
              <w:keepNext/>
              <w:spacing w:line="252" w:lineRule="auto" w:after="40" w:before="40"/>
              <w:jc w:val="left"/>
            </w:pPr>
            <w:r>
              <w:rPr>
                <w:b/>
                <w:sz w:val="19"/>
              </w:rPr>
              <w:t>Cohort / metric</w:t>
            </w:r>
          </w:p>
        </w:tc>
        <w:tc>
          <w:tcPr>
            <w:tcW w:type="dxa" w:w="1569"/>
            <w:vAlign w:val="center"/>
            <w:tcMar>
              <w:top w:w="65" w:type="dxa"/>
              <w:bottom w:w="65" w:type="dxa"/>
              <w:left w:w="65" w:type="dxa"/>
              <w:right w:w="65" w:type="dxa"/>
            </w:tcMar>
            <w:shd w:fill="EAEAEA"/>
          </w:tcPr>
          <w:p>
            <w:pPr>
              <w:keepNext/>
              <w:spacing w:line="252" w:lineRule="auto" w:after="40" w:before="40"/>
              <w:jc w:val="center"/>
            </w:pPr>
            <w:r>
              <w:rPr>
                <w:b/>
                <w:sz w:val="19"/>
              </w:rPr>
              <w:t>Mean difference</w:t>
            </w:r>
          </w:p>
        </w:tc>
        <w:tc>
          <w:tcPr>
            <w:tcW w:type="dxa" w:w="1569"/>
            <w:vAlign w:val="center"/>
            <w:tcMar>
              <w:top w:w="65" w:type="dxa"/>
              <w:bottom w:w="65" w:type="dxa"/>
              <w:left w:w="65" w:type="dxa"/>
              <w:right w:w="65" w:type="dxa"/>
            </w:tcMar>
            <w:shd w:fill="EAEAEA"/>
          </w:tcPr>
          <w:p>
            <w:pPr>
              <w:keepNext/>
              <w:spacing w:line="252" w:lineRule="auto" w:after="40" w:before="40"/>
              <w:jc w:val="center"/>
            </w:pPr>
            <w:r>
              <w:rPr>
                <w:b/>
                <w:sz w:val="19"/>
              </w:rPr>
              <w:t>Minimum</w:t>
            </w:r>
          </w:p>
        </w:tc>
        <w:tc>
          <w:tcPr>
            <w:tcW w:type="dxa" w:w="1569"/>
            <w:vAlign w:val="center"/>
            <w:tcMar>
              <w:top w:w="65" w:type="dxa"/>
              <w:bottom w:w="65" w:type="dxa"/>
              <w:left w:w="65" w:type="dxa"/>
              <w:right w:w="65" w:type="dxa"/>
            </w:tcMar>
            <w:shd w:fill="EAEAEA"/>
          </w:tcPr>
          <w:p>
            <w:pPr>
              <w:keepNext/>
              <w:spacing w:line="252" w:lineRule="auto" w:after="40" w:before="40"/>
              <w:jc w:val="center"/>
            </w:pPr>
            <w:r>
              <w:rPr>
                <w:b/>
                <w:sz w:val="19"/>
              </w:rPr>
              <w:t>Maximum</w:t>
            </w:r>
          </w:p>
        </w:tc>
        <w:tc>
          <w:tcPr>
            <w:tcW w:type="dxa" w:w="2686"/>
            <w:vAlign w:val="center"/>
            <w:tcMar>
              <w:top w:w="65" w:type="dxa"/>
              <w:bottom w:w="65" w:type="dxa"/>
              <w:left w:w="65" w:type="dxa"/>
              <w:right w:w="65" w:type="dxa"/>
            </w:tcMar>
            <w:shd w:fill="EAEAEA"/>
          </w:tcPr>
          <w:p>
            <w:pPr>
              <w:keepNext/>
              <w:spacing w:line="252" w:lineRule="auto" w:after="40" w:before="40"/>
              <w:jc w:val="center"/>
            </w:pPr>
            <w:r>
              <w:rPr>
                <w:b/>
                <w:sz w:val="19"/>
              </w:rPr>
              <w:t>Interpretation</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GSE25055 / AUC</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0.0556</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0.0484</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0.0646</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Higher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GSE25055 / Average precision</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0.1306</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0.1185</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0.1522</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Higher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GSE25055 / Brier score</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-0.0079</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-0.0090</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-0.0063</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Lower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GSE25055 / Log loss</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-0.0233</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-0.0264</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-0.0174</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Lower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GSE32646 / AUC</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0.0683</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0.0471</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0.0892</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Higher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GSE32646 / Average precision</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0.0602</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0.0160</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0.1153</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Higher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GSE32646 / Brier score</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-0.0042</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-0.0085</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0.0004</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Lower is better</w:t>
            </w:r>
          </w:p>
        </w:tc>
      </w:tr>
      <w:tr>
        <w:trPr>
          <w:cantSplit/>
        </w:trPr>
        <w:tc>
          <w:tcPr>
            <w:tcW w:type="dxa" w:w="2686"/>
            <w:vAlign w:val="center"/>
            <w:tcMar>
              <w:top w:w="65" w:type="dxa"/>
              <w:bottom w:w="65" w:type="dxa"/>
              <w:left w:w="65" w:type="dxa"/>
              <w:right w:w="65" w:type="dxa"/>
            </w:tcMar>
          </w:tcPr>
          <w:p>
            <w:pPr>
              <w:keepNext w:val="0"/>
              <w:spacing w:line="252" w:lineRule="auto" w:after="40" w:before="40"/>
              <w:jc w:val="left"/>
            </w:pPr>
            <w:r>
              <w:rPr>
                <w:sz w:val="19"/>
              </w:rPr>
              <w:t xml:space="preserve">GSE32646 / Log loss</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-0.0202</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-0.0327</w:t>
            </w:r>
          </w:p>
        </w:tc>
        <w:tc>
          <w:tcPr>
            <w:tcW w:type="dxa" w:w="1569"/>
            <w:vAlign w:val="center"/>
            <w:tcMar>
              <w:top w:w="65" w:type="dxa"/>
              <w:bottom w:w="65" w:type="dxa"/>
              <w:left w:w="65" w:type="dxa"/>
              <w:right w:w="65" w:type="dxa"/>
            </w:tcMar>
          </w:tcPr>
          <w:p>
            <w:pPr>
              <w:keepNext w:val="0"/>
              <w:spacing w:line="252" w:lineRule="auto" w:after="40" w:before="40"/>
              <w:jc w:val="center"/>
            </w:pPr>
            <w:r>
              <w:rPr>
                <w:sz w:val="19"/>
              </w:rPr>
              <w:t>-0.0107</w:t>
            </w:r>
          </w:p>
        </w:tc>
        <w:tc>
          <w:tcPr>
            <w:tcW w:type="dxa" w:w="2686"/>
            <w:vAlign w:val="center"/>
            <w:tcMar>
              <w:top w:w="65" w:type="dxa"/>
              <w:bottom w:w="65" w:type="dxa"/>
              <w:left w:w="65" w:type="dxa"/>
              <w:right w:w="65" w:type="dxa"/>
            </w:tcMar>
          </w:tcPr>
          <w:p>
            <w:pPr>
              <w:keepNext w:val="0"/>
              <w:spacing w:line="252" w:lineRule="auto" w:after="40" w:before="40"/>
              <w:jc w:val="center"/>
            </w:pPr>
            <w:r>
              <w:rPr>
                <w:sz w:val="19"/>
              </w:rPr>
              <w:t>Lower is better</w:t>
            </w:r>
          </w:p>
        </w:tc>
      </w:tr>
    </w:tbl>
    <w:p>
      <w:pPr>
        <w:spacing w:after="60" w:line="240" w:lineRule="auto"/>
      </w:pPr>
      <w:r>
        <w:rPr>
          <w:sz w:val="6"/>
        </w:rPr>
      </w:r>
    </w:p>
    <w:p>
      <w:r>
        <w:t xml:space="preserve">Differences are the age + ER + score model minus the age + ER model in each partition; the range across the ten partitions is not a confidence interval.</w:t>
      </w:r>
    </w:p>
    <w:p>
      <w:pPr>
        <w:pStyle w:val="Heading1"/>
      </w:pPr>
      <w:r>
        <w:t xml:space="preserve">Table S6. Complete transfer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63"/>
        <w:gridCol w:w="1295"/>
        <w:gridCol w:w="1295"/>
        <w:gridCol w:w="1295"/>
        <w:gridCol w:w="1295"/>
        <w:gridCol w:w="1937"/>
      </w:tblGrid>
      <w:tr>
        <w:trPr>
          <w:cantSplit/>
          <w:tblHeader/>
        </w:trPr>
        <w:tc>
          <w:tcPr>
            <w:tcW w:type="dxa" w:w="2963"/>
            <w:vAlign w:val="center"/>
            <w:tcMar>
              <w:top w:w="65" w:type="dxa"/>
              <w:bottom w:w="65" w:type="dxa"/>
              <w:left w:w="65" w:type="dxa"/>
              <w:right w:w="65" w:type="dxa"/>
            </w:tcMar>
            <w:shd w:fill="EAEAEA"/>
          </w:tcPr>
          <w:p>
            <w:pPr>
              <w:keepNext/>
              <w:spacing w:line="252" w:lineRule="auto" w:after="40" w:before="40"/>
              <w:jc w:val="left"/>
            </w:pPr>
            <w:r>
              <w:rPr>
                <w:b/>
                <w:sz w:val="19"/>
              </w:rPr>
              <w:t>Source → target / model</w:t>
            </w:r>
          </w:p>
        </w:tc>
        <w:tc>
          <w:tcPr>
            <w:tcW w:type="dxa" w:w="1295"/>
            <w:vAlign w:val="center"/>
            <w:tcMar>
              <w:top w:w="65" w:type="dxa"/>
              <w:bottom w:w="65" w:type="dxa"/>
              <w:left w:w="65" w:type="dxa"/>
              <w:right w:w="65" w:type="dxa"/>
            </w:tcMar>
            <w:shd w:fill="EAEAEA"/>
          </w:tcPr>
          <w:p>
            <w:pPr>
              <w:keepNext/>
              <w:spacing w:line="252" w:lineRule="auto" w:after="40" w:before="40"/>
              <w:jc w:val="center"/>
            </w:pPr>
            <w:r>
              <w:rPr>
                <w:b/>
                <w:sz w:val="19"/>
              </w:rPr>
              <w:t>AUC</w:t>
            </w:r>
          </w:p>
        </w:tc>
        <w:tc>
          <w:tcPr>
            <w:tcW w:type="dxa" w:w="1295"/>
            <w:vAlign w:val="center"/>
            <w:tcMar>
              <w:top w:w="65" w:type="dxa"/>
              <w:bottom w:w="65" w:type="dxa"/>
              <w:left w:w="65" w:type="dxa"/>
              <w:right w:w="65" w:type="dxa"/>
            </w:tcMar>
            <w:shd w:fill="EAEAEA"/>
          </w:tcPr>
          <w:p>
            <w:pPr>
              <w:keepNext/>
              <w:spacing w:line="252" w:lineRule="auto" w:after="40" w:before="40"/>
              <w:jc w:val="center"/>
            </w:pPr>
            <w:r>
              <w:rPr>
                <w:b/>
                <w:sz w:val="19"/>
              </w:rPr>
              <w:t>Average precision</w:t>
            </w:r>
          </w:p>
        </w:tc>
        <w:tc>
          <w:tcPr>
            <w:tcW w:type="dxa" w:w="1295"/>
            <w:vAlign w:val="center"/>
            <w:tcMar>
              <w:top w:w="65" w:type="dxa"/>
              <w:bottom w:w="65" w:type="dxa"/>
              <w:left w:w="65" w:type="dxa"/>
              <w:right w:w="65" w:type="dxa"/>
            </w:tcMar>
            <w:shd w:fill="EAEAEA"/>
          </w:tcPr>
          <w:p>
            <w:pPr>
              <w:keepNext/>
              <w:spacing w:line="252" w:lineRule="auto" w:after="40" w:before="40"/>
              <w:jc w:val="center"/>
            </w:pPr>
            <w:r>
              <w:rPr>
                <w:b/>
                <w:sz w:val="19"/>
              </w:rPr>
              <w:t>Brier score</w:t>
            </w:r>
          </w:p>
        </w:tc>
        <w:tc>
          <w:tcPr>
            <w:tcW w:type="dxa" w:w="1295"/>
            <w:vAlign w:val="center"/>
            <w:tcMar>
              <w:top w:w="65" w:type="dxa"/>
              <w:bottom w:w="65" w:type="dxa"/>
              <w:left w:w="65" w:type="dxa"/>
              <w:right w:w="65" w:type="dxa"/>
            </w:tcMar>
            <w:shd w:fill="EAEAEA"/>
          </w:tcPr>
          <w:p>
            <w:pPr>
              <w:keepNext/>
              <w:spacing w:line="252" w:lineRule="auto" w:after="40" w:before="40"/>
              <w:jc w:val="center"/>
            </w:pPr>
            <w:r>
              <w:rPr>
                <w:b/>
                <w:sz w:val="19"/>
              </w:rPr>
              <w:t>Log loss</w:t>
            </w:r>
          </w:p>
        </w:tc>
        <w:tc>
          <w:tcPr>
            <w:tcW w:type="dxa" w:w="1937"/>
            <w:vAlign w:val="center"/>
            <w:tcMar>
              <w:top w:w="65" w:type="dxa"/>
              <w:bottom w:w="65" w:type="dxa"/>
              <w:left w:w="65" w:type="dxa"/>
              <w:right w:w="65" w:type="dxa"/>
            </w:tcMar>
            <w:shd w:fill="EAEAEA"/>
          </w:tcPr>
          <w:p>
            <w:pPr>
              <w:keepNext/>
              <w:spacing w:line="252" w:lineRule="auto" w:after="40" w:before="40"/>
              <w:jc w:val="center"/>
            </w:pPr>
            <w:r>
              <w:rPr>
                <w:b/>
                <w:sz w:val="19"/>
              </w:rPr>
              <w:t>Mean predicted / observed pCR</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 xml:space="preserve">25055 → 32646 / Prevalence only</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0.500</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0.235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0.182</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0.552</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0.186 / 0.235</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25055 → 32646 / Age + ER</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0.677</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0.385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0.165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0.509</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0.166 / 0.235</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25055 → 32646 / Score</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0.761</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0.493</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0.425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1.311</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0.752 / 0.235</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25055 → 32646 / Age + ER + score</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0.787</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0.505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0.261</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0.798</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0.558 / 0.235</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 xml:space="preserve">32646 → 25055 / Prevalence only</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0.500</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0.186</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0.154</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0.487</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0.235 / 0.186</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32646 → 25055 / Age + ER</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0.705</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0.304</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0.139</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0.436</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0.239 / 0.186</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32646 → 25055 / Score</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0.757</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0.478</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0.166</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0.582</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0.039 / 0.186</w:t>
            </w:r>
          </w:p>
        </w:tc>
      </w:tr>
      <w:tr>
        <w:trPr>
          <w:cantSplit/>
        </w:trPr>
        <w:tc>
          <w:tcPr>
            <w:tcW w:type="dxa" w:w="2963"/>
            <w:vAlign w:val="center"/>
            <w:tcMar>
              <w:top w:w="65" w:type="dxa"/>
              <w:bottom w:w="65" w:type="dxa"/>
              <w:left w:w="65" w:type="dxa"/>
              <w:right w:w="65" w:type="dxa"/>
            </w:tcMar>
          </w:tcPr>
          <w:p>
            <w:pPr>
              <w:keepNext w:val="0"/>
              <w:spacing w:line="252" w:lineRule="auto" w:after="40" w:before="40"/>
              <w:jc w:val="left"/>
            </w:pPr>
            <w:r>
              <w:rPr>
                <w:sz w:val="19"/>
              </w:rPr>
              <w:t>32646 → 25055 / Age + ER + score</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0.769</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0.414</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0.154</w:t>
            </w:r>
          </w:p>
        </w:tc>
        <w:tc>
          <w:tcPr>
            <w:tcW w:type="dxa" w:w="1295"/>
            <w:vAlign w:val="center"/>
            <w:tcMar>
              <w:top w:w="65" w:type="dxa"/>
              <w:bottom w:w="65" w:type="dxa"/>
              <w:left w:w="65" w:type="dxa"/>
              <w:right w:w="65" w:type="dxa"/>
            </w:tcMar>
          </w:tcPr>
          <w:p>
            <w:pPr>
              <w:keepNext w:val="0"/>
              <w:spacing w:line="252" w:lineRule="auto" w:after="40" w:before="40"/>
              <w:jc w:val="center"/>
            </w:pPr>
            <w:r>
              <w:rPr>
                <w:sz w:val="19"/>
              </w:rPr>
              <w:t>0.503</w:t>
            </w:r>
          </w:p>
        </w:tc>
        <w:tc>
          <w:tcPr>
            <w:tcW w:type="dxa" w:w="1937"/>
            <w:vAlign w:val="center"/>
            <w:tcMar>
              <w:top w:w="65" w:type="dxa"/>
              <w:bottom w:w="65" w:type="dxa"/>
              <w:left w:w="65" w:type="dxa"/>
              <w:right w:w="65" w:type="dxa"/>
            </w:tcMar>
          </w:tcPr>
          <w:p>
            <w:pPr>
              <w:keepNext w:val="0"/>
              <w:spacing w:line="252" w:lineRule="auto" w:after="40" w:before="40"/>
              <w:jc w:val="center"/>
            </w:pPr>
            <w:r>
              <w:rPr>
                <w:sz w:val="19"/>
              </w:rPr>
              <w:t>0.065 / 0.186</w:t>
            </w:r>
          </w:p>
        </w:tc>
      </w:tr>
    </w:tbl>
    <w:p>
      <w:pPr>
        <w:spacing w:after="60" w:line="240" w:lineRule="auto"/>
      </w:pPr>
      <w:r>
        <w:rPr>
          <w:sz w:val="6"/>
        </w:rPr>
      </w:r>
    </w:p>
    <w:p>
      <w:r>
        <w:t xml:space="preserve">25055 and 32646 abbreviate GSE25055 and GSE32646. Models were fitted to all eligible source-cohort patients. The processed analysis outputs contain coefficients, source standardization, target predictions and paired intervals for all four metrics; Table S8 gives the intervals with and without source refitting.</w:t>
      </w:r>
    </w:p>
    <w:p>
      <w:pPr>
        <w:pStyle w:val="Heading1"/>
      </w:pPr>
      <w:r>
        <w:t xml:space="preserve">Repeated arrays and interval width in GSE20194</w:t>
      </w:r>
    </w:p>
    <w:p>
      <w:r>
        <w:t xml:space="preserve">In GSE20194, 95% AUC intervals were 0.665–0.802 under naive array resampling, 0.664–0.807 under patient-cluster resampling and 0.681–0.828 for patient means; the patient-mean interval in main Table 2 (0.684–0.827) comes from a separate 2,000-draw patient bootstrap. The cluster interval was about 4.3% wider than the naive one; this describes these draws, not a general effect of repeated arrays.</w:t>
      </w:r>
    </w:p>
    <w:p>
      <w:pPr>
        <w:keepNext/>
        <w:spacing w:after="100" w:line="3600" w:lineRule="atLeast"/>
        <w:jc w:val="center"/>
        <w:suppressLineNumbers/>
      </w:pPr>
      <w:r>
        <w:drawing>
          <wp:inline xmlns:a="http://schemas.openxmlformats.org/drawingml/2006/main" xmlns:pic="http://schemas.openxmlformats.org/drawingml/2006/picture">
            <wp:extent cx="6400800" cy="2247856"/>
            <wp:docPr id="2" name="Picture 2" descr="Supplementary Figure S2. Sampling uncertainty and patient aggregation. A, observed AUC with percentile intervals from 2,000 resamples under each scheme. B, corresponding bootstrap distributions. Array and patient-cluster resampling use the same array-weighted point estimate; patient-mean analysis changes the prediction unit. Correctly grouping patients made only a modest difference to interval width here."/>
            <wp:cNvGraphicFramePr>
              <a:graphicFrameLocks noChangeAspect="1"/>
            </wp:cNvGraphicFramePr>
            <a:graphic>
              <a:graphicData uri="http://schemas.openxmlformats.org/drawingml/2006/picture">
                <pic:pic>
                  <pic:nvPicPr>
                    <pic:cNvPr id="0" name="DIPK_unit_uncertainty.png"/>
                    <pic:cNvPicPr/>
                  </pic:nvPicPr>
                  <pic:blipFill>
                    <a:blip r:embed="rId11"/>
                    <a:stretch>
                      <a:fillRect/>
                    </a:stretch>
                  </pic:blipFill>
                  <pic:spPr>
                    <a:xfrm>
                      <a:off x="0" y="0"/>
                      <a:ext cx="6400800" cy="2247856"/>
                    </a:xfrm>
                    <a:prstGeom prst="rect"/>
                  </pic:spPr>
                </pic:pic>
              </a:graphicData>
            </a:graphic>
          </wp:inline>
        </w:drawing>
      </w:r>
    </w:p>
    <w:p>
      <w:pPr>
        <w:keepNext w:val="0"/>
        <w:keepLines/>
        <w:spacing w:line="252" w:lineRule="auto" w:after="200"/>
        <w:suppressLineNumbers/>
      </w:pPr>
      <w:r>
        <w:rPr>
          <w:color w:val="000000"/>
          <w:sz w:val="19"/>
        </w:rPr>
      </w:r>
      <w:r>
        <w:rPr>
          <w:b/>
          <w:color w:val="000000"/>
          <w:sz w:val="19"/>
        </w:rPr>
        <w:t xml:space="preserve">Supplementary Figure S1. Sampling uncertainty and patient aggregation. </w:t>
      </w:r>
      <w:r>
        <w:rPr>
          <w:color w:val="000000"/>
          <w:sz w:val="19"/>
        </w:rPr>
        <w:t xml:space="preserve">A, GSE20194 AUCs with percentile 95% intervals from 2,000 resamples per scheme. B, bootstrap distributions. Array and patient-cluster resampling share one array-weighted point estimate; the patient-mean analysis scores one mean per patient. Grouping arrays by patient widened the interval only slightly.</w:t>
      </w:r>
    </w:p>
    <w:p>
      <w:pPr>
        <w:pStyle w:val="Heading1"/>
      </w:pPr>
      <w:r>
        <w:t>Prediction beyond age, ER and PAM50</w:t>
      </w:r>
    </w:p>
    <w:p>
      <w:r>
        <w:t xml:space="preserve">This sensitivity analysis was specified after the initial prediction results were inspected and before its own effects were calculated. It used the same 301 GSE25055 patients and ten partitions; every patient had a PAM50 subtype, and every training set contained all five source categories (Basal, Her2, LumA, LumB and Normal). PAM50 entered as unstandardized OneHotEncoder indicators (first category dropped, unknown categories rejected); age, ER and score were standardized within each training set, and the L2 logistic settings were unchanged, without tuning.</w:t>
      </w:r>
    </w:p>
    <w:p>
      <w:pPr>
        <w:pStyle w:val="Heading1"/>
      </w:pPr>
      <w:r>
        <w:t>Table S7. Prediction beyond an age, ER and PAM50 baseline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0"/>
        <w:gridCol w:w="1765"/>
        <w:gridCol w:w="1765"/>
        <w:gridCol w:w="1765"/>
        <w:gridCol w:w="1765"/>
      </w:tblGrid>
      <w:tr>
        <w:trPr>
          <w:cantSplit/>
          <w:tblHeader/>
        </w:trPr>
        <w:tc>
          <w:tcPr>
            <w:tcW w:type="dxa" w:w="3020"/>
            <w:vAlign w:val="center"/>
            <w:tcMar>
              <w:top w:w="65" w:type="dxa"/>
              <w:bottom w:w="65" w:type="dxa"/>
              <w:left w:w="65" w:type="dxa"/>
              <w:right w:w="65" w:type="dxa"/>
            </w:tcMar>
            <w:shd w:fill="EAEAEA"/>
          </w:tcPr>
          <w:p>
            <w:pPr>
              <w:keepNext/>
              <w:spacing w:line="252" w:lineRule="auto" w:after="40" w:before="40"/>
              <w:jc w:val="left"/>
            </w:pPr>
            <w:r>
              <w:rPr>
                <w:b/>
                <w:sz w:val="19"/>
              </w:rPr>
              <w:t>Model</w:t>
            </w:r>
          </w:p>
        </w:tc>
        <w:tc>
          <w:tcPr>
            <w:tcW w:type="dxa" w:w="1765"/>
            <w:vAlign w:val="center"/>
            <w:tcMar>
              <w:top w:w="65" w:type="dxa"/>
              <w:bottom w:w="65" w:type="dxa"/>
              <w:left w:w="65" w:type="dxa"/>
              <w:right w:w="65" w:type="dxa"/>
            </w:tcMar>
            <w:shd w:fill="EAEAEA"/>
          </w:tcPr>
          <w:p>
            <w:pPr>
              <w:keepNext/>
              <w:spacing w:line="252" w:lineRule="auto" w:after="40" w:before="40"/>
              <w:jc w:val="center"/>
            </w:pPr>
            <w:r>
              <w:rPr>
                <w:b/>
                <w:sz w:val="19"/>
              </w:rPr>
              <w:t>AUC</w:t>
            </w:r>
          </w:p>
        </w:tc>
        <w:tc>
          <w:tcPr>
            <w:tcW w:type="dxa" w:w="1765"/>
            <w:vAlign w:val="center"/>
            <w:tcMar>
              <w:top w:w="65" w:type="dxa"/>
              <w:bottom w:w="65" w:type="dxa"/>
              <w:left w:w="65" w:type="dxa"/>
              <w:right w:w="65" w:type="dxa"/>
            </w:tcMar>
            <w:shd w:fill="EAEAEA"/>
          </w:tcPr>
          <w:p>
            <w:pPr>
              <w:keepNext/>
              <w:spacing w:line="252" w:lineRule="auto" w:after="40" w:before="40"/>
              <w:jc w:val="center"/>
            </w:pPr>
            <w:r>
              <w:rPr>
                <w:b/>
                <w:sz w:val="19"/>
              </w:rPr>
              <w:t>Average precision</w:t>
            </w:r>
          </w:p>
        </w:tc>
        <w:tc>
          <w:tcPr>
            <w:tcW w:type="dxa" w:w="1765"/>
            <w:vAlign w:val="center"/>
            <w:tcMar>
              <w:top w:w="65" w:type="dxa"/>
              <w:bottom w:w="65" w:type="dxa"/>
              <w:left w:w="65" w:type="dxa"/>
              <w:right w:w="65" w:type="dxa"/>
            </w:tcMar>
            <w:shd w:fill="EAEAEA"/>
          </w:tcPr>
          <w:p>
            <w:pPr>
              <w:keepNext/>
              <w:spacing w:line="252" w:lineRule="auto" w:after="40" w:before="40"/>
              <w:jc w:val="center"/>
            </w:pPr>
            <w:r>
              <w:rPr>
                <w:b/>
                <w:sz w:val="19"/>
              </w:rPr>
              <w:t>Brier score</w:t>
            </w:r>
          </w:p>
        </w:tc>
        <w:tc>
          <w:tcPr>
            <w:tcW w:type="dxa" w:w="1765"/>
            <w:vAlign w:val="center"/>
            <w:tcMar>
              <w:top w:w="65" w:type="dxa"/>
              <w:bottom w:w="65" w:type="dxa"/>
              <w:left w:w="65" w:type="dxa"/>
              <w:right w:w="65" w:type="dxa"/>
            </w:tcMar>
            <w:shd w:fill="EAEAEA"/>
          </w:tcPr>
          <w:p>
            <w:pPr>
              <w:keepNext/>
              <w:spacing w:line="252" w:lineRule="auto" w:after="40" w:before="40"/>
              <w:jc w:val="center"/>
            </w:pPr>
            <w:r>
              <w:rPr>
                <w:b/>
                <w:sz w:val="19"/>
              </w:rPr>
              <w:t>Log loss</w:t>
            </w:r>
          </w:p>
        </w:tc>
      </w:tr>
      <w:tr>
        <w:trPr>
          <w:cantSplit/>
        </w:trPr>
        <w:tc>
          <w:tcPr>
            <w:tcW w:type="dxa" w:w="3020"/>
            <w:vAlign w:val="center"/>
            <w:tcMar>
              <w:top w:w="65" w:type="dxa"/>
              <w:bottom w:w="65" w:type="dxa"/>
              <w:left w:w="65" w:type="dxa"/>
              <w:right w:w="65" w:type="dxa"/>
            </w:tcMar>
          </w:tcPr>
          <w:p>
            <w:pPr>
              <w:keepNext w:val="0"/>
              <w:spacing w:line="252" w:lineRule="auto" w:after="40" w:before="40"/>
              <w:jc w:val="left"/>
            </w:pPr>
            <w:r>
              <w:rPr>
                <w:sz w:val="19"/>
              </w:rPr>
              <w:t>Age + ER + PAM50</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0.748</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0.339</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0.133</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0.415</w:t>
            </w:r>
          </w:p>
        </w:tc>
      </w:tr>
      <w:tr>
        <w:trPr>
          <w:cantSplit/>
        </w:trPr>
        <w:tc>
          <w:tcPr>
            <w:tcW w:type="dxa" w:w="3020"/>
            <w:vAlign w:val="center"/>
            <w:tcMar>
              <w:top w:w="65" w:type="dxa"/>
              <w:bottom w:w="65" w:type="dxa"/>
              <w:left w:w="65" w:type="dxa"/>
              <w:right w:w="65" w:type="dxa"/>
            </w:tcMar>
          </w:tcPr>
          <w:p>
            <w:pPr>
              <w:keepNext w:val="0"/>
              <w:spacing w:line="252" w:lineRule="auto" w:after="40" w:before="40"/>
              <w:jc w:val="left"/>
            </w:pPr>
            <w:r>
              <w:rPr>
                <w:sz w:val="19"/>
              </w:rPr>
              <w:t>Age + ER + PAM50 + score</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0.783</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0.456</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0.126</w:t>
            </w:r>
          </w:p>
        </w:tc>
        <w:tc>
          <w:tcPr>
            <w:tcW w:type="dxa" w:w="1765"/>
            <w:vAlign w:val="center"/>
            <w:tcMar>
              <w:top w:w="65" w:type="dxa"/>
              <w:bottom w:w="65" w:type="dxa"/>
              <w:left w:w="65" w:type="dxa"/>
              <w:right w:w="65" w:type="dxa"/>
            </w:tcMar>
          </w:tcPr>
          <w:p>
            <w:pPr>
              <w:keepNext w:val="0"/>
              <w:spacing w:line="252" w:lineRule="auto" w:after="40" w:before="40"/>
              <w:jc w:val="center"/>
            </w:pPr>
            <w:r>
              <w:rPr>
                <w:sz w:val="19"/>
              </w:rPr>
              <w:t>0.400</w:t>
            </w:r>
          </w:p>
        </w:tc>
      </w:tr>
    </w:tbl>
    <w:p>
      <w:pPr>
        <w:spacing w:after="60" w:line="240" w:lineRule="auto"/>
      </w:pPr>
      <w:r>
        <w:rPr>
          <w:sz w:val="6"/>
        </w:rPr>
      </w:r>
    </w:p>
    <w:p>
      <w:r>
        <w:t xml:space="preserve">Entries are means across ten repeats. Adding the score changed mean AUC by 0.0346 (partition range, 0.0282–0.0429), average precision by 0.1173 (0.1028–0.1329), Brier score by −0.0065 (−0.0077 to −0.0053) and log loss by −0.0159 (−0.0197 to −0.0123); ranges are not confidence intervals. The processed analysis outputs contain the 6,020 additional held-out predictions with patient, fold and repeat identifiers. Main Figure 5C shows the AUC comparison.</w:t>
      </w:r>
    </w:p>
    <w:p>
      <w:pPr>
        <w:pStyle w:val="Heading1"/>
      </w:pPr>
      <w:r>
        <w:t xml:space="preserve">Transfer intervals with secondary-model refitting</w:t>
      </w:r>
    </w:p>
    <w:p>
      <w:r>
        <w:t xml:space="preserve">After inspecting the transfer results with fixed source fits, we specified this exploratory analysis before calculating its effects. In each direction, 2,000 ordinary bootstrap draws resampled source-cohort and target-cohort patients independently, with replacement. In each draw, the clinical (age/ER) and combined (age/ER/score) models were refitted, including standardization, to the same source sample with the original penalty and convergence settings and evaluated on the same target sample, which did not update the fit. The intervals thus include source-model fitting and target sampling, with saved DIPK scores fixed.</w:t>
      </w:r>
    </w:p>
    <w:p>
      <w:r>
        <w:t xml:space="preserve">All 4,000 draws contained both outcome classes, and all fits converged without warnings. Fits to the original, unresampled cohorts reproduced the Table S6 metrics within </w:t>
      </w:r>
      <w:r>
        <w:t>10</w:t>
      </w:r>
      <w:r>
        <w:rPr>
          <w:vertAlign w:val="superscript"/>
        </w:rPr>
        <w:t>−12</w:t>
      </w:r>
      <w:r>
        <w:t xml:space="preserve">. Original and selected resampled coefficients agreed with separate SciPy fits within 1.95 × </w:t>
      </w:r>
      <w:r>
        <w:t>10</w:t>
      </w:r>
      <w:r>
        <w:rPr>
          <w:vertAlign w:val="superscript"/>
        </w:rPr>
        <w:t>−8</w:t>
      </w:r>
      <w:r>
        <w:t xml:space="preserve">. We also confirmed that scaling used training data only, all predictions were finite and input hashes were unchanged.</w:t>
      </w:r>
    </w:p>
    <w:p>
      <w:pPr>
        <w:pStyle w:val="Heading1"/>
      </w:pPr>
      <w:r>
        <w:t>Table S8. Transfer uncertainty with and without refitting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25"/>
        <w:gridCol w:w="1507"/>
        <w:gridCol w:w="2474"/>
        <w:gridCol w:w="2474"/>
      </w:tblGrid>
      <w:tr>
        <w:trPr>
          <w:cantSplit/>
          <w:tblHeader/>
        </w:trPr>
        <w:tc>
          <w:tcPr>
            <w:tcW w:type="dxa" w:w="3625"/>
            <w:vAlign w:val="center"/>
            <w:tcMar>
              <w:top w:w="65" w:type="dxa"/>
              <w:bottom w:w="65" w:type="dxa"/>
              <w:left w:w="65" w:type="dxa"/>
              <w:right w:w="65" w:type="dxa"/>
            </w:tcMar>
            <w:shd w:fill="EAEAEA"/>
          </w:tcPr>
          <w:p>
            <w:pPr>
              <w:keepNext/>
              <w:spacing w:line="252" w:lineRule="auto" w:after="40" w:before="40"/>
              <w:jc w:val="left"/>
            </w:pPr>
            <w:r>
              <w:rPr>
                <w:b/>
                <w:sz w:val="19"/>
              </w:rPr>
              <w:t>Source → target / metric</w:t>
            </w:r>
          </w:p>
        </w:tc>
        <w:tc>
          <w:tcPr>
            <w:tcW w:type="dxa" w:w="1507"/>
            <w:vAlign w:val="center"/>
            <w:tcMar>
              <w:top w:w="65" w:type="dxa"/>
              <w:bottom w:w="65" w:type="dxa"/>
              <w:left w:w="65" w:type="dxa"/>
              <w:right w:w="65" w:type="dxa"/>
            </w:tcMar>
            <w:shd w:fill="EAEAEA"/>
          </w:tcPr>
          <w:p>
            <w:pPr>
              <w:keepNext/>
              <w:spacing w:line="252" w:lineRule="auto" w:after="40" w:before="40"/>
              <w:jc w:val="center"/>
            </w:pPr>
            <w:r>
              <w:rPr>
                <w:b/>
                <w:sz w:val="19"/>
              </w:rPr>
              <w:t>Combined minus clinical</w:t>
            </w:r>
          </w:p>
        </w:tc>
        <w:tc>
          <w:tcPr>
            <w:tcW w:type="dxa" w:w="2474"/>
            <w:vAlign w:val="center"/>
            <w:tcMar>
              <w:top w:w="65" w:type="dxa"/>
              <w:bottom w:w="65" w:type="dxa"/>
              <w:left w:w="65" w:type="dxa"/>
              <w:right w:w="65" w:type="dxa"/>
            </w:tcMar>
            <w:shd w:fill="EAEAEA"/>
          </w:tcPr>
          <w:p>
            <w:pPr>
              <w:keepNext/>
              <w:spacing w:line="252" w:lineRule="auto" w:after="40" w:before="40"/>
              <w:jc w:val="center"/>
            </w:pPr>
            <w:r>
              <w:rPr>
                <w:b/>
                <w:sz w:val="19"/>
              </w:rPr>
              <w:t>Target-only 95% interval</w:t>
            </w:r>
          </w:p>
        </w:tc>
        <w:tc>
          <w:tcPr>
            <w:tcW w:type="dxa" w:w="2474"/>
            <w:vAlign w:val="center"/>
            <w:tcMar>
              <w:top w:w="65" w:type="dxa"/>
              <w:bottom w:w="65" w:type="dxa"/>
              <w:left w:w="65" w:type="dxa"/>
              <w:right w:w="65" w:type="dxa"/>
            </w:tcMar>
            <w:shd w:fill="EAEAEA"/>
          </w:tcPr>
          <w:p>
            <w:pPr>
              <w:keepNext/>
              <w:spacing w:line="252" w:lineRule="auto" w:after="40" w:before="40"/>
              <w:jc w:val="left"/>
            </w:pPr>
            <w:r>
              <w:rPr>
                <w:b/>
                <w:sz w:val="19"/>
              </w:rPr>
              <w:t>Joint source-and-target 95% interval</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25055 → 32646 / AUC</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0.110</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0.023–0.197</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0.002–0.195</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25055 → 32646 / Average precision</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0.120</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−0.022 to 0.258</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−0.042 to 0.248</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25055 → 32646 / Brier score</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0.096</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0.023–0.170</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−0.016 to 0.259</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25055 → 32646 / Log loss</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0.289</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0.086–0.507</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−0.060 to 0.889</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32646 → 25055 / AUC</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0.064</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0.021–0.108</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−0.036 to 0.113</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32646 → 25055 / Average precision</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0.109</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0.040–0.180</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−0.002 to 0.232</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32646 → 25055 / Brier score</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0.015</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−0.005 to 0.036</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−0.024 to 0.045</w:t>
            </w:r>
          </w:p>
        </w:tc>
      </w:tr>
      <w:tr>
        <w:trPr>
          <w:cantSplit/>
        </w:trPr>
        <w:tc>
          <w:tcPr>
            <w:tcW w:type="dxa" w:w="3625"/>
            <w:vAlign w:val="center"/>
            <w:tcMar>
              <w:top w:w="65" w:type="dxa"/>
              <w:bottom w:w="65" w:type="dxa"/>
              <w:left w:w="65" w:type="dxa"/>
              <w:right w:w="65" w:type="dxa"/>
            </w:tcMar>
          </w:tcPr>
          <w:p>
            <w:pPr>
              <w:keepNext w:val="0"/>
              <w:spacing w:line="252" w:lineRule="auto" w:after="40" w:before="40"/>
              <w:jc w:val="left"/>
            </w:pPr>
            <w:r>
              <w:rPr>
                <w:sz w:val="19"/>
              </w:rPr>
              <w:t>32646 → 25055 / Log loss</w:t>
            </w:r>
          </w:p>
        </w:tc>
        <w:tc>
          <w:tcPr>
            <w:tcW w:type="dxa" w:w="1507"/>
            <w:vAlign w:val="center"/>
            <w:tcMar>
              <w:top w:w="65" w:type="dxa"/>
              <w:bottom w:w="65" w:type="dxa"/>
              <w:left w:w="65" w:type="dxa"/>
              <w:right w:w="65" w:type="dxa"/>
            </w:tcMar>
          </w:tcPr>
          <w:p>
            <w:pPr>
              <w:keepNext w:val="0"/>
              <w:spacing w:line="252" w:lineRule="auto" w:after="40" w:before="40"/>
              <w:jc w:val="center"/>
            </w:pPr>
            <w:r>
              <w:rPr>
                <w:sz w:val="19"/>
              </w:rPr>
              <w:t>0.066</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−0.001 to 0.136</w:t>
            </w:r>
          </w:p>
        </w:tc>
        <w:tc>
          <w:tcPr>
            <w:tcW w:type="dxa" w:w="2474"/>
            <w:vAlign w:val="center"/>
            <w:tcMar>
              <w:top w:w="65" w:type="dxa"/>
              <w:bottom w:w="65" w:type="dxa"/>
              <w:left w:w="65" w:type="dxa"/>
              <w:right w:w="65" w:type="dxa"/>
            </w:tcMar>
          </w:tcPr>
          <w:p>
            <w:pPr>
              <w:keepNext w:val="0"/>
              <w:spacing w:line="252" w:lineRule="auto" w:after="40" w:before="40"/>
              <w:jc w:val="center"/>
            </w:pPr>
            <w:r>
              <w:rPr>
                <w:sz w:val="19"/>
              </w:rPr>
              <w:t>−0.053 to 0.332</w:t>
            </w:r>
          </w:p>
        </w:tc>
      </w:tr>
    </w:tbl>
    <w:p>
      <w:pPr>
        <w:spacing w:after="60" w:line="240" w:lineRule="auto"/>
      </w:pPr>
      <w:r>
        <w:rPr>
          <w:sz w:val="6"/>
        </w:rPr>
      </w:r>
    </w:p>
    <w:p>
      <w:r>
        <w:t xml:space="preserve">Target-only intervals keep the source fits fixed; joint intervals also resample and refit the source cohort, so the two need not be nested. Higher AUC and average precision and lower Brier score and log loss are better; intervals are not adjusted for multiplicity. The combined model's mean-risk error (mean predicted probability minus observed pCR fraction, not a fitted calibration intercept) was +0.323 for 25055 → 32646 and −0.121 for 32646 → 25055 (joint intervals, 0.087–0.505 and −0.185 to −0.016). Bootstrap sign proportions in the complete output are descriptive, not posterior probabilities or P values.</w:t>
      </w:r>
    </w:p>
    <w:p>
      <w:r>
        <w:t xml:space="preserve">Main Figure 6 shows the score distributions, transferred probabilities and paired AUC and Brier differences. With source fits held fixed, both AUC increments and the 25055 → 32646 Brier increase had intervals excluding zero; with joint resampling and refitting, only the 25055 → 32646 AUC interval stayed above zero, with a lower limit close to zero. Mean age was 50.2 years in eligible GSE25055 patients and 51.5 years in GSE32646; ER positivity was 57.1% and 61.7%, respectively.</w:t>
      </w:r>
    </w:p>
    <w:p>
      <w:pPr>
        <w:pStyle w:val="Heading1"/>
      </w:pPr>
      <w:r>
        <w:t xml:space="preserve">Prediction beyond seven clinical variables</w:t>
      </w:r>
    </w:p>
    <w:p>
      <w:r>
        <w:t xml:space="preserve">This comparison was specified after the age/ER, PAM50 and transfer analyses and after inspecting the names and missingness of the added variables, but before its effects were calculated. It used the same 301 GSE25055 patients (56 pCR) and 115 GSE32646 patients (27 pCR), with none excluded for a missing predictor. Every value was matched by GSM accession to the frozen official GEO matrix header [5,6].</w:t>
      </w:r>
    </w:p>
    <w:p>
      <w:r>
        <w:t xml:space="preserve">The seven clinical predictors were age, ER IHC, PR IHC, HER2 status as recorded by each source study, clinical T stage, nodal positivity and histological grade. GSE25055 clinical N1–N3 was coded node-positive and N0 node-negative; GSE32646 recorded positive or negative status directly. T stage was coded 0–4 (including two GSE25055 T0 records) and grade 1–3. The source grade code </w:t>
      </w:r>
      <w:r>
        <w:rPr>
          <w:rFonts w:ascii="Consolas" w:hAnsi="Consolas"/>
          <w:sz w:val="20"/>
        </w:rPr>
        <w:t>4=Indeterminate</w:t>
      </w:r>
      <w:r>
        <w:t xml:space="preserve"> was treated as missing. GSE25055 had one indeterminate PR value, 11 missing or indeterminate HER2 values, and 20 missing or indeterminate grades. None of the selected GSE32646 predictors were missing. Missing binary values took the training mode (ties to the smaller value) and missing grades the training median. All seven predictors, and the score when included, were standardized within each training set. AJCC stage was not added alongside its T and nodal components; expression-revised receptor labels, residual cancer burden and survival fields were excluded.</w:t>
      </w:r>
    </w:p>
    <w:p>
      <w:r>
        <w:t xml:space="preserve">HER2 status was used as recorded: the GSE32646 field specifies FISH, whereas the GSE25055 field is named </w:t>
      </w:r>
      <w:r>
        <w:rPr>
          <w:rFonts w:ascii="Consolas" w:hAnsi="Consolas"/>
          <w:sz w:val="20"/>
        </w:rPr>
        <w:t>her2_status</w:t>
      </w:r>
      <w:r>
        <w:t xml:space="preserve">. The GSE25055 series describes a HER2-negative discovery cohort, yet three eligible patients have positive status records; this unresolved discrepancy was left as recorded, without exclusions. Positive status was recorded for 3/301 GSE25055 and 34/115 GSE32646 patients; testing methods and inclusion rules may differ between cohorts. The seven-variable models were compared only within cohorts.</w:t>
      </w:r>
    </w:p>
    <w:p>
      <w:r>
        <w:t xml:space="preserve">Models kept L2 C=1 and an unpenalized intercept. T stage and grade were ordinal scores, without nonlinear terms or interactions. The additional GSE25055 comparison added four unstandardized PAM50 indicators for the five source categories, with Basal as reference. No predictor set or penalty was chosen by performance. All comparisons used the original ten stratified five-fold partitions, with the same patients, outcomes and fold assignments; each metric was calculated on the full held-out prediction vector of each repeat and then averaged.</w:t>
      </w:r>
    </w:p>
    <w:p>
      <w:pPr>
        <w:pStyle w:val="Heading1"/>
      </w:pPr>
      <w:r>
        <w:t xml:space="preserve">Table S9. Cross-validation results with seven clinical variables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98"/>
        <w:gridCol w:w="1496"/>
        <w:gridCol w:w="1496"/>
        <w:gridCol w:w="1496"/>
        <w:gridCol w:w="1496"/>
      </w:tblGrid>
      <w:tr>
        <w:trPr>
          <w:cantSplit/>
          <w:tblHeader/>
        </w:trPr>
        <w:tc>
          <w:tcPr>
            <w:tcW w:type="dxa" w:w="4098"/>
            <w:vAlign w:val="center"/>
            <w:tcMar>
              <w:top w:w="65" w:type="dxa"/>
              <w:bottom w:w="65" w:type="dxa"/>
              <w:left w:w="65" w:type="dxa"/>
              <w:right w:w="65" w:type="dxa"/>
            </w:tcMar>
            <w:shd w:fill="EAEAEA"/>
          </w:tcPr>
          <w:p>
            <w:pPr>
              <w:keepNext/>
              <w:spacing w:line="252" w:lineRule="auto" w:after="40" w:before="40"/>
              <w:jc w:val="left"/>
            </w:pPr>
            <w:r>
              <w:rPr>
                <w:b/>
                <w:sz w:val="19"/>
              </w:rPr>
              <w:t>Cohort / model</w:t>
            </w:r>
          </w:p>
        </w:tc>
        <w:tc>
          <w:tcPr>
            <w:tcW w:type="dxa" w:w="1496"/>
            <w:vAlign w:val="center"/>
            <w:tcMar>
              <w:top w:w="65" w:type="dxa"/>
              <w:bottom w:w="65" w:type="dxa"/>
              <w:left w:w="65" w:type="dxa"/>
              <w:right w:w="65" w:type="dxa"/>
            </w:tcMar>
            <w:shd w:fill="EAEAEA"/>
          </w:tcPr>
          <w:p>
            <w:pPr>
              <w:keepNext/>
              <w:spacing w:line="252" w:lineRule="auto" w:after="40" w:before="40"/>
              <w:jc w:val="center"/>
            </w:pPr>
            <w:r>
              <w:rPr>
                <w:b/>
                <w:sz w:val="19"/>
              </w:rPr>
              <w:t>AUC</w:t>
            </w:r>
          </w:p>
        </w:tc>
        <w:tc>
          <w:tcPr>
            <w:tcW w:type="dxa" w:w="1496"/>
            <w:vAlign w:val="center"/>
            <w:tcMar>
              <w:top w:w="65" w:type="dxa"/>
              <w:bottom w:w="65" w:type="dxa"/>
              <w:left w:w="65" w:type="dxa"/>
              <w:right w:w="65" w:type="dxa"/>
            </w:tcMar>
            <w:shd w:fill="EAEAEA"/>
          </w:tcPr>
          <w:p>
            <w:pPr>
              <w:keepNext/>
              <w:spacing w:line="252" w:lineRule="auto" w:after="40" w:before="40"/>
              <w:jc w:val="center"/>
            </w:pPr>
            <w:r>
              <w:rPr>
                <w:b/>
                <w:sz w:val="19"/>
              </w:rPr>
              <w:t>Average precision</w:t>
            </w:r>
          </w:p>
        </w:tc>
        <w:tc>
          <w:tcPr>
            <w:tcW w:type="dxa" w:w="1496"/>
            <w:vAlign w:val="center"/>
            <w:tcMar>
              <w:top w:w="65" w:type="dxa"/>
              <w:bottom w:w="65" w:type="dxa"/>
              <w:left w:w="65" w:type="dxa"/>
              <w:right w:w="65" w:type="dxa"/>
            </w:tcMar>
            <w:shd w:fill="EAEAEA"/>
          </w:tcPr>
          <w:p>
            <w:pPr>
              <w:keepNext/>
              <w:spacing w:line="252" w:lineRule="auto" w:after="40" w:before="40"/>
              <w:jc w:val="center"/>
            </w:pPr>
            <w:r>
              <w:rPr>
                <w:b/>
                <w:sz w:val="19"/>
              </w:rPr>
              <w:t>Brier score</w:t>
            </w:r>
          </w:p>
        </w:tc>
        <w:tc>
          <w:tcPr>
            <w:tcW w:type="dxa" w:w="1496"/>
            <w:vAlign w:val="center"/>
            <w:tcMar>
              <w:top w:w="65" w:type="dxa"/>
              <w:bottom w:w="65" w:type="dxa"/>
              <w:left w:w="65" w:type="dxa"/>
              <w:right w:w="65" w:type="dxa"/>
            </w:tcMar>
            <w:shd w:fill="EAEAEA"/>
          </w:tcPr>
          <w:p>
            <w:pPr>
              <w:keepNext/>
              <w:spacing w:line="252" w:lineRule="auto" w:after="40" w:before="40"/>
              <w:jc w:val="center"/>
            </w:pPr>
            <w:r>
              <w:rPr>
                <w:b/>
                <w:sz w:val="19"/>
              </w:rPr>
              <w:t>Log loss</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GSE25055 / Clinical (7 variables)</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0.746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0.346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0.136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0.429</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GSE25055 / Clinical + score</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0.772</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0.431</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0.130</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0.411</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GSE25055 / Clinical + PAM50</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0.744</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0.344</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0.136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0.431</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GSE25055 / Clinical + PAM50 + score</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0.765</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0.422</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0.131</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0.418</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GSE32646 / Clinical (7 variables)</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0.703</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0.413</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0.166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0.515</w:t>
            </w:r>
          </w:p>
        </w:tc>
      </w:tr>
      <w:tr>
        <w:trPr>
          <w:cantSplit/>
        </w:trPr>
        <w:tc>
          <w:tcPr>
            <w:tcW w:type="dxa" w:w="4098"/>
            <w:vAlign w:val="center"/>
            <w:tcMar>
              <w:top w:w="65" w:type="dxa"/>
              <w:bottom w:w="65" w:type="dxa"/>
              <w:left w:w="65" w:type="dxa"/>
              <w:right w:w="65" w:type="dxa"/>
            </w:tcMar>
          </w:tcPr>
          <w:p>
            <w:pPr>
              <w:keepNext w:val="0"/>
              <w:spacing w:line="252" w:lineRule="auto" w:after="40" w:before="40"/>
              <w:jc w:val="left"/>
            </w:pPr>
            <w:r>
              <w:rPr>
                <w:sz w:val="19"/>
              </w:rPr>
              <w:t>GSE32646 / Clinical + score</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0.756</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0.477</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0.159</w:t>
            </w:r>
          </w:p>
        </w:tc>
        <w:tc>
          <w:tcPr>
            <w:tcW w:type="dxa" w:w="1496"/>
            <w:vAlign w:val="center"/>
            <w:tcMar>
              <w:top w:w="65" w:type="dxa"/>
              <w:bottom w:w="65" w:type="dxa"/>
              <w:left w:w="65" w:type="dxa"/>
              <w:right w:w="65" w:type="dxa"/>
            </w:tcMar>
          </w:tcPr>
          <w:p>
            <w:pPr>
              <w:keepNext w:val="0"/>
              <w:spacing w:line="252" w:lineRule="auto" w:after="40" w:before="40"/>
              <w:jc w:val="center"/>
            </w:pPr>
            <w:r>
              <w:rPr>
                <w:sz w:val="19"/>
              </w:rPr>
              <w:t>0.488</w:t>
            </w:r>
          </w:p>
        </w:tc>
      </w:tr>
    </w:tbl>
    <w:p>
      <w:pPr>
        <w:spacing w:after="60" w:line="240" w:lineRule="auto"/>
      </w:pPr>
      <w:r>
        <w:rPr>
          <w:sz w:val="6"/>
        </w:rPr>
      </w:r>
    </w:p>
    <w:p>
      <w:r>
        <w:t xml:space="preserve">Entries are means across ten repeats, with the same patients and partitions as Tables S4 and S7. Clinical denotes the seven clinical predictors. The additional 14,340 held-out predictions in the processed analysis outputs are repeated evaluations of the same patients, not additional observations.</w:t>
      </w:r>
    </w:p>
    <w:p>
      <w:pPr>
        <w:pStyle w:val="Heading1"/>
      </w:pPr>
      <w:r>
        <w:t>Patient resampling with secondary-model refitting</w:t>
      </w:r>
    </w:p>
    <w:p>
      <w:r>
        <w:t xml:space="preserve">For each cohort, we drew 1,000 ordinary bootstrap samples of the original size (seed 202609295); each draw's patient copy numbers were shared by all ten repeats and all compared models. Every copy of a patient stayed in that patient's original fold, so no patient was in both training and validation within a fit. Imputation, standardization and ridge logistic coefficients were recomputed from training data in every draw and fold. Each repeat's pooled held-out metrics were weighted by copy number, and paired model differences were averaged across repeats; undrawn patients did not affect preprocessing, coefficients or metrics. All draws were valid; none was redrawn.</w:t>
      </w:r>
    </w:p>
    <w:p>
      <w:r>
        <w:t xml:space="preserve">Table S10 reports the 2.5th and 97.5th percentiles of these paired differences as intervals; the point estimate is the mean over the original repeats, not the bootstrap mean. The intervals are exploratory and conditional on the ten original partitions and saved DIPK scores; they exclude uncertainty from developing the scores, and their coverage is unverified. Because repeated cross-validation errors are dependent, folds and repeats were not treated as independent [7]; we did not implement the nested cross-validation variance estimator described in that reference. No multiplicity adjustment was applied.</w:t>
      </w:r>
    </w:p>
    <w:p>
      <w:pPr>
        <w:pStyle w:val="Heading1"/>
      </w:pPr>
      <w:r>
        <w:t xml:space="preserve">Table S10. Score increments over seven clinical variables, with patient-resampling intervals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71"/>
        <w:gridCol w:w="1553"/>
        <w:gridCol w:w="1157"/>
        <w:gridCol w:w="2138"/>
        <w:gridCol w:w="2060"/>
      </w:tblGrid>
      <w:tr>
        <w:trPr>
          <w:cantSplit/>
          <w:tblHeader/>
        </w:trPr>
        <w:tc>
          <w:tcPr>
            <w:tcW w:type="dxa" w:w="3171"/>
            <w:vAlign w:val="center"/>
            <w:tcMar>
              <w:top w:w="65" w:type="dxa"/>
              <w:bottom w:w="65" w:type="dxa"/>
              <w:left w:w="65" w:type="dxa"/>
              <w:right w:w="65" w:type="dxa"/>
            </w:tcMar>
            <w:shd w:fill="EAEAEA"/>
          </w:tcPr>
          <w:p>
            <w:pPr>
              <w:keepNext/>
              <w:spacing w:line="252" w:lineRule="auto" w:after="40" w:before="40"/>
              <w:jc w:val="left"/>
            </w:pPr>
            <w:r>
              <w:rPr>
                <w:b/>
                <w:sz w:val="19"/>
              </w:rPr>
              <w:t>Cohort / comparator</w:t>
            </w:r>
          </w:p>
        </w:tc>
        <w:tc>
          <w:tcPr>
            <w:tcW w:type="dxa" w:w="1553"/>
            <w:vAlign w:val="center"/>
            <w:tcMar>
              <w:top w:w="65" w:type="dxa"/>
              <w:bottom w:w="65" w:type="dxa"/>
              <w:left w:w="65" w:type="dxa"/>
              <w:right w:w="65" w:type="dxa"/>
            </w:tcMar>
            <w:shd w:fill="EAEAEA"/>
          </w:tcPr>
          <w:p>
            <w:pPr>
              <w:keepNext/>
              <w:spacing w:line="252" w:lineRule="auto" w:after="40" w:before="40"/>
              <w:jc w:val="center"/>
            </w:pPr>
            <w:r>
              <w:rPr>
                <w:b/>
                <w:sz w:val="19"/>
              </w:rPr>
              <w:t>Metric</w:t>
            </w:r>
          </w:p>
        </w:tc>
        <w:tc>
          <w:tcPr>
            <w:tcW w:type="dxa" w:w="1157"/>
            <w:vAlign w:val="center"/>
            <w:tcMar>
              <w:top w:w="65" w:type="dxa"/>
              <w:bottom w:w="65" w:type="dxa"/>
              <w:left w:w="65" w:type="dxa"/>
              <w:right w:w="65" w:type="dxa"/>
            </w:tcMar>
            <w:shd w:fill="EAEAEA"/>
          </w:tcPr>
          <w:p>
            <w:pPr>
              <w:keepNext/>
              <w:spacing w:line="252" w:lineRule="auto" w:after="40" w:before="40"/>
              <w:jc w:val="center"/>
            </w:pPr>
            <w:r>
              <w:rPr>
                <w:b/>
                <w:sz w:val="19"/>
              </w:rPr>
              <w:t>Mean increment</w:t>
            </w:r>
          </w:p>
        </w:tc>
        <w:tc>
          <w:tcPr>
            <w:tcW w:type="dxa" w:w="2138"/>
            <w:vAlign w:val="center"/>
            <w:tcMar>
              <w:top w:w="65" w:type="dxa"/>
              <w:bottom w:w="65" w:type="dxa"/>
              <w:left w:w="65" w:type="dxa"/>
              <w:right w:w="65" w:type="dxa"/>
            </w:tcMar>
            <w:shd w:fill="EAEAEA"/>
          </w:tcPr>
          <w:p>
            <w:pPr>
              <w:keepNext/>
              <w:spacing w:line="252" w:lineRule="auto" w:after="40" w:before="40"/>
              <w:jc w:val="center"/>
            </w:pPr>
            <w:r>
              <w:rPr>
                <w:b/>
                <w:sz w:val="19"/>
              </w:rPr>
              <w:t>Original repeat range</w:t>
            </w:r>
          </w:p>
        </w:tc>
        <w:tc>
          <w:tcPr>
            <w:tcW w:type="dxa" w:w="2060"/>
            <w:vAlign w:val="center"/>
            <w:tcMar>
              <w:top w:w="65" w:type="dxa"/>
              <w:bottom w:w="65" w:type="dxa"/>
              <w:left w:w="65" w:type="dxa"/>
              <w:right w:w="65" w:type="dxa"/>
            </w:tcMar>
            <w:shd w:fill="EAEAEA"/>
          </w:tcPr>
          <w:p>
            <w:pPr>
              <w:keepNext/>
              <w:spacing w:line="252" w:lineRule="auto" w:after="40" w:before="40"/>
              <w:jc w:val="center"/>
            </w:pPr>
            <w:r>
              <w:rPr>
                <w:b/>
                <w:sz w:val="19"/>
              </w:rPr>
              <w:t>Patient-resampling interval</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AUC</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0.0252</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0.0214 to 0.0289</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-0.0057 to 0.0751</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Average precision</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0.0852</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0.0744 to 0.1025</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-0.0034 to 0.1579</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Brier score</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-0.0065</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-0.0077 to -0.0047</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-0.0167 to 0.0023</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Log loss</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-0.0172</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-0.0218 to -0.0127</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-0.0433 to 0.0065</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 PAM50</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AUC</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0.0209</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0.0164 to 0.0242</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-0.0086 to 0.0688</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 PAM50</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Average precision</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0.0783</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0.0603 to 0.0979</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-0.0050 to 0.1494</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 PAM50</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Brier score</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-0.0052</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-0.0064 to -0.0040</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-0.0165 to 0.0030</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GSE25055 / Clinical + PAM50</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Log loss</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-0.0131</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-0.0173 to -0.0098</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-0.0397 to 0.0087</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GSE32646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AUC</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0.0527</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0.0356 to 0.0722</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-0.0194 to 0.1516</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GSE32646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Average precision</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0.0636</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0.0462 to 0.1057</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-0.0373 to 0.1687</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GSE32646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Brier score</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-0.0065</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-0.0124 to -0.0015</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-0.0361 to 0.0147</w:t>
            </w:r>
          </w:p>
        </w:tc>
      </w:tr>
      <w:tr>
        <w:trPr>
          <w:cantSplit/>
        </w:trPr>
        <w:tc>
          <w:tcPr>
            <w:tcW w:type="dxa" w:w="3171"/>
            <w:vAlign w:val="center"/>
            <w:tcMar>
              <w:top w:w="65" w:type="dxa"/>
              <w:bottom w:w="65" w:type="dxa"/>
              <w:left w:w="65" w:type="dxa"/>
              <w:right w:w="65" w:type="dxa"/>
            </w:tcMar>
          </w:tcPr>
          <w:p>
            <w:pPr>
              <w:keepNext w:val="0"/>
              <w:spacing w:line="252" w:lineRule="auto" w:after="40" w:before="40"/>
              <w:jc w:val="left"/>
            </w:pPr>
            <w:r>
              <w:rPr>
                <w:sz w:val="19"/>
              </w:rPr>
              <w:t>GSE32646 / Clinical (7 variables)</w:t>
            </w:r>
          </w:p>
        </w:tc>
        <w:tc>
          <w:tcPr>
            <w:tcW w:type="dxa" w:w="1553"/>
            <w:vAlign w:val="center"/>
            <w:tcMar>
              <w:top w:w="65" w:type="dxa"/>
              <w:bottom w:w="65" w:type="dxa"/>
              <w:left w:w="65" w:type="dxa"/>
              <w:right w:w="65" w:type="dxa"/>
            </w:tcMar>
          </w:tcPr>
          <w:p>
            <w:pPr>
              <w:keepNext w:val="0"/>
              <w:spacing w:line="252" w:lineRule="auto" w:after="40" w:before="40"/>
              <w:jc w:val="center"/>
            </w:pPr>
            <w:r>
              <w:rPr>
                <w:sz w:val="19"/>
              </w:rPr>
              <w:t>Log loss</w:t>
            </w:r>
          </w:p>
        </w:tc>
        <w:tc>
          <w:tcPr>
            <w:tcW w:type="dxa" w:w="1157"/>
            <w:vAlign w:val="center"/>
            <w:tcMar>
              <w:top w:w="65" w:type="dxa"/>
              <w:bottom w:w="65" w:type="dxa"/>
              <w:left w:w="65" w:type="dxa"/>
              <w:right w:w="65" w:type="dxa"/>
            </w:tcMar>
          </w:tcPr>
          <w:p>
            <w:pPr>
              <w:keepNext w:val="0"/>
              <w:spacing w:line="252" w:lineRule="auto" w:after="40" w:before="40"/>
              <w:jc w:val="center"/>
            </w:pPr>
            <w:r>
              <w:rPr>
                <w:sz w:val="19"/>
              </w:rPr>
              <w:t>-0.0265</w:t>
            </w:r>
          </w:p>
        </w:tc>
        <w:tc>
          <w:tcPr>
            <w:tcW w:type="dxa" w:w="2138"/>
            <w:vAlign w:val="center"/>
            <w:tcMar>
              <w:top w:w="65" w:type="dxa"/>
              <w:bottom w:w="65" w:type="dxa"/>
              <w:left w:w="65" w:type="dxa"/>
              <w:right w:w="65" w:type="dxa"/>
            </w:tcMar>
          </w:tcPr>
          <w:p>
            <w:pPr>
              <w:keepNext w:val="0"/>
              <w:spacing w:line="252" w:lineRule="auto" w:after="40" w:before="40"/>
              <w:jc w:val="center"/>
            </w:pPr>
            <w:r>
              <w:rPr>
                <w:sz w:val="19"/>
              </w:rPr>
              <w:t>-0.0456 to -0.0114</w:t>
            </w:r>
          </w:p>
        </w:tc>
        <w:tc>
          <w:tcPr>
            <w:tcW w:type="dxa" w:w="2060"/>
            <w:vAlign w:val="center"/>
            <w:tcMar>
              <w:top w:w="65" w:type="dxa"/>
              <w:bottom w:w="65" w:type="dxa"/>
              <w:left w:w="65" w:type="dxa"/>
              <w:right w:w="65" w:type="dxa"/>
            </w:tcMar>
          </w:tcPr>
          <w:p>
            <w:pPr>
              <w:keepNext w:val="0"/>
              <w:spacing w:line="252" w:lineRule="auto" w:after="40" w:before="40"/>
              <w:jc w:val="center"/>
            </w:pPr>
            <w:r>
              <w:rPr>
                <w:sz w:val="19"/>
              </w:rPr>
              <w:t>-0.1140 to 0.0455</w:t>
            </w:r>
          </w:p>
        </w:tc>
      </w:tr>
    </w:tbl>
    <w:p>
      <w:pPr>
        <w:spacing w:after="60" w:line="240" w:lineRule="auto"/>
      </w:pPr>
      <w:r>
        <w:rPr>
          <w:sz w:val="6"/>
        </w:rPr>
      </w:r>
    </w:p>
    <w:p>
      <w:r>
        <w:t xml:space="preserve">Differences are with the score minus without it; positive AUC and average-precision and negative Brier and log-loss differences favor the score. All three AUC increments were positive and all three Brier increments negative in every original partition, but all 12 patient-resampling intervals included zero. The seven-variable models did not uniformly outperform the age/ER models (Tables S4 and S9), so their smaller increments do not simply reflect a stronger baseline.</w:t>
      </w:r>
    </w:p>
    <w:p>
      <w:r>
        <w:t xml:space="preserve">We checked the 300 original fold fits and 30 selected bootstrap fits against scikit-learn fits with physically duplicated training rows. The maximum absolute differences were 3.38 × </w:t>
      </w:r>
      <w:r>
        <w:t>10</w:t>
      </w:r>
      <w:r>
        <w:rPr>
          <w:vertAlign w:val="superscript"/>
        </w:rPr>
        <w:t>−14</w:t>
      </w:r>
      <w:r>
        <w:t xml:space="preserve"> for transformed predictors, 2.48 × </w:t>
      </w:r>
      <w:r>
        <w:t>10</w:t>
      </w:r>
      <w:r>
        <w:rPr>
          <w:vertAlign w:val="superscript"/>
        </w:rPr>
        <w:t>−6</w:t>
      </w:r>
      <w:r>
        <w:t xml:space="preserve"> for coefficients and 5.78 × </w:t>
      </w:r>
      <w:r>
        <w:t>10</w:t>
      </w:r>
      <w:r>
        <w:rPr>
          <w:vertAlign w:val="superscript"/>
        </w:rPr>
        <w:t>−7</w:t>
      </w:r>
      <w:r>
        <w:t xml:space="preserve"> for predicted probabilities. Across 300,300 Newton fits, the largest final penalized-objective gradient was below </w:t>
      </w:r>
      <w:r>
        <w:t>10</w:t>
      </w:r>
      <w:r>
        <w:rPr>
          <w:vertAlign w:val="superscript"/>
        </w:rPr>
        <w:t>−8</w:t>
      </w:r>
      <w:r>
        <w:t xml:space="preserve">. Weighted AUC, average precision, Brier score and log loss agreed with calculations on explicitly duplicated rows, and direct pair enumeration confirmed selected AUCs. Fold assignments and input hashes were unchanged.</w:t>
      </w:r>
    </w:p>
    <w:p>
      <w:pPr>
        <w:pStyle w:val="Heading1"/>
      </w:pPr>
      <w:r>
        <w:t>Recruitment source and the primary label correction</w:t>
      </w:r>
    </w:p>
    <w:p>
      <w:r>
        <w:t xml:space="preserve">This sensitivity analysis was specified after the expanded clinical comparison and inspection of eligibility and missing values in each recruitment source, but before discrimination within either source was calculated. Exact GSM matching to the frozen source field identified 227 MDACC and 83 I-SPY records [5,8]. All four missing observed outcomes were in I-SPY, leaving 227 MDACC and 79 I-SPY patients for the label comparison and, after requiring positive or negative ER IHC status, 227 and 74 (43 and 13 pCR) for the clinical comparison. I-SPY held all missing PR, HER2 and grade values (1, 11 and 20) and all three HER2-positive source records; all MDACC source HER2 records were negative.</w:t>
      </w:r>
    </w:p>
    <w:p>
      <w:r>
        <w:t xml:space="preserve">The sources also differ in specimen collection: fine-needle aspiration for the 227 MDACC and core biopsy for the 83 I-SPY discovery samples [8]. The parent I-SPY trial defined pCR in breast and nodes [9], but this selected subset does not represent its full population or regimens. We did not train expanded models in one source and test them in the other: an I-SPY training set would have only 13 pCR events, all HER2-positive records and missing values are in I-SPY, and the saved scores share GSE25055 preprocessing, so such a test would mix several changes without isolating cross-validation optimism or adding independent patients.</w:t>
      </w:r>
    </w:p>
    <w:p>
      <w:r>
        <w:t xml:space="preserve">Instead, the label comparison was repeated within each recruitment source in all 306 patients, using the same saved scores. A summary without cross-source pairs averaged the two within-source AUCs with fixed weights of 227/306 and 79/306 under both targets; unlike the pooled AUC and the pair-weighted within-stratum AUC, these weights do not change when the labels change.</w:t>
      </w:r>
    </w:p>
    <w:p>
      <w:pPr>
        <w:pStyle w:val="Heading1"/>
      </w:pPr>
      <w:r>
        <w:t>Table S11. Label correction within recruitment source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68"/>
        <w:gridCol w:w="1008"/>
        <w:gridCol w:w="1080"/>
        <w:gridCol w:w="1512"/>
        <w:gridCol w:w="1296"/>
        <w:gridCol w:w="1296"/>
        <w:gridCol w:w="2520"/>
      </w:tblGrid>
      <w:tr>
        <w:trPr>
          <w:cantSplit/>
          <w:tblHeader/>
        </w:trPr>
        <w:tc>
          <w:tcPr>
            <w:tcW w:type="dxa" w:w="1368"/>
            <w:vAlign w:val="center"/>
            <w:tcMar>
              <w:top w:w="65" w:type="dxa"/>
              <w:bottom w:w="65" w:type="dxa"/>
              <w:left w:w="65" w:type="dxa"/>
              <w:right w:w="65" w:type="dxa"/>
            </w:tcMar>
            <w:shd w:fill="EAEAEA"/>
          </w:tcPr>
          <w:p>
            <w:pPr>
              <w:keepNext/>
              <w:spacing w:line="252" w:lineRule="auto" w:after="40" w:before="40"/>
              <w:jc w:val="left"/>
            </w:pPr>
            <w:r>
              <w:rPr>
                <w:b/>
                <w:sz w:val="19"/>
              </w:rPr>
              <w:t>Source</w:t>
            </w:r>
          </w:p>
        </w:tc>
        <w:tc>
          <w:tcPr>
            <w:tcW w:type="dxa" w:w="1008"/>
            <w:vAlign w:val="center"/>
            <w:tcMar>
              <w:top w:w="65" w:type="dxa"/>
              <w:bottom w:w="65" w:type="dxa"/>
              <w:left w:w="65" w:type="dxa"/>
              <w:right w:w="65" w:type="dxa"/>
            </w:tcMar>
            <w:shd w:fill="EAEAEA"/>
          </w:tcPr>
          <w:p>
            <w:pPr>
              <w:keepNext/>
              <w:spacing w:line="252" w:lineRule="auto" w:after="40" w:before="40"/>
              <w:jc w:val="center"/>
            </w:pPr>
            <w:r>
              <w:rPr>
                <w:b/>
                <w:sz w:val="19"/>
              </w:rPr>
              <w:t>Patients</w:t>
            </w:r>
          </w:p>
        </w:tc>
        <w:tc>
          <w:tcPr>
            <w:tcW w:type="dxa" w:w="1080"/>
            <w:vAlign w:val="center"/>
            <w:tcMar>
              <w:top w:w="65" w:type="dxa"/>
              <w:bottom w:w="65" w:type="dxa"/>
              <w:left w:w="65" w:type="dxa"/>
              <w:right w:w="65" w:type="dxa"/>
            </w:tcMar>
            <w:shd w:fill="EAEAEA"/>
          </w:tcPr>
          <w:p>
            <w:pPr>
              <w:keepNext/>
              <w:spacing w:line="252" w:lineRule="auto" w:after="40" w:before="40"/>
              <w:jc w:val="center"/>
            </w:pPr>
            <w:r>
              <w:rPr>
                <w:b/>
                <w:sz w:val="19"/>
              </w:rPr>
              <w:t xml:space="preserve">Observed / DLDA30 pCR</w:t>
            </w:r>
          </w:p>
        </w:tc>
        <w:tc>
          <w:tcPr>
            <w:tcW w:type="dxa" w:w="1512"/>
            <w:vAlign w:val="center"/>
            <w:tcMar>
              <w:top w:w="65" w:type="dxa"/>
              <w:bottom w:w="65" w:type="dxa"/>
              <w:left w:w="65" w:type="dxa"/>
              <w:right w:w="65" w:type="dxa"/>
            </w:tcMar>
            <w:shd w:fill="EAEAEA"/>
          </w:tcPr>
          <w:p>
            <w:pPr>
              <w:keepNext/>
              <w:spacing w:line="252" w:lineRule="auto" w:after="40" w:before="40"/>
              <w:jc w:val="center"/>
            </w:pPr>
            <w:r>
              <w:rPr>
                <w:b/>
                <w:sz w:val="19"/>
              </w:rPr>
              <w:t>Disagreements</w:t>
            </w:r>
          </w:p>
        </w:tc>
        <w:tc>
          <w:tcPr>
            <w:tcW w:type="dxa" w:w="1296"/>
            <w:vAlign w:val="center"/>
            <w:tcMar>
              <w:top w:w="65" w:type="dxa"/>
              <w:bottom w:w="65" w:type="dxa"/>
              <w:left w:w="65" w:type="dxa"/>
              <w:right w:w="65" w:type="dxa"/>
            </w:tcMar>
            <w:shd w:fill="EAEAEA"/>
          </w:tcPr>
          <w:p>
            <w:pPr>
              <w:keepNext/>
              <w:spacing w:line="252" w:lineRule="auto" w:after="40" w:before="40"/>
              <w:jc w:val="center"/>
            </w:pPr>
            <w:r>
              <w:rPr>
                <w:b/>
                <w:sz w:val="19"/>
              </w:rPr>
              <w:t xml:space="preserve">AUC, DLDA30 labels</w:t>
            </w:r>
          </w:p>
        </w:tc>
        <w:tc>
          <w:tcPr>
            <w:tcW w:type="dxa" w:w="1296"/>
            <w:vAlign w:val="center"/>
            <w:tcMar>
              <w:top w:w="65" w:type="dxa"/>
              <w:bottom w:w="65" w:type="dxa"/>
              <w:left w:w="65" w:type="dxa"/>
              <w:right w:w="65" w:type="dxa"/>
            </w:tcMar>
            <w:shd w:fill="EAEAEA"/>
          </w:tcPr>
          <w:p>
            <w:pPr>
              <w:keepNext/>
              <w:spacing w:line="252" w:lineRule="auto" w:after="40" w:before="40"/>
              <w:jc w:val="center"/>
            </w:pPr>
            <w:r>
              <w:rPr>
                <w:b/>
                <w:sz w:val="19"/>
              </w:rPr>
              <w:t xml:space="preserve">AUC, observed pathology</w:t>
            </w:r>
          </w:p>
        </w:tc>
        <w:tc>
          <w:tcPr>
            <w:tcW w:type="dxa" w:w="2520"/>
            <w:vAlign w:val="center"/>
            <w:tcMar>
              <w:top w:w="65" w:type="dxa"/>
              <w:bottom w:w="65" w:type="dxa"/>
              <w:left w:w="65" w:type="dxa"/>
              <w:right w:w="65" w:type="dxa"/>
            </w:tcMar>
            <w:shd w:fill="EAEAEA"/>
          </w:tcPr>
          <w:p>
            <w:pPr>
              <w:keepNext/>
              <w:spacing w:line="252" w:lineRule="auto" w:after="40" w:before="40"/>
              <w:jc w:val="center"/>
            </w:pPr>
            <w:r>
              <w:rPr>
                <w:b/>
                <w:sz w:val="19"/>
              </w:rPr>
              <w:t>Paired AUC change (95% interval)</w:t>
            </w:r>
          </w:p>
        </w:tc>
      </w:tr>
      <w:tr>
        <w:trPr>
          <w:cantSplit/>
        </w:trPr>
        <w:tc>
          <w:tcPr>
            <w:tcW w:type="dxa" w:w="1368"/>
            <w:vAlign w:val="center"/>
            <w:tcMar>
              <w:top w:w="65" w:type="dxa"/>
              <w:bottom w:w="65" w:type="dxa"/>
              <w:left w:w="65" w:type="dxa"/>
              <w:right w:w="65" w:type="dxa"/>
            </w:tcMar>
          </w:tcPr>
          <w:p>
            <w:pPr>
              <w:keepNext w:val="0"/>
              <w:spacing w:line="252" w:lineRule="auto" w:after="40" w:before="40"/>
              <w:jc w:val="left"/>
            </w:pPr>
            <w:r>
              <w:rPr>
                <w:sz w:val="19"/>
              </w:rPr>
              <w:t>MDACC</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227</w:t>
            </w:r>
          </w:p>
        </w:tc>
        <w:tc>
          <w:tcPr>
            <w:tcW w:type="dxa" w:w="1080"/>
            <w:vAlign w:val="center"/>
            <w:tcMar>
              <w:top w:w="65" w:type="dxa"/>
              <w:bottom w:w="65" w:type="dxa"/>
              <w:left w:w="65" w:type="dxa"/>
              <w:right w:w="65" w:type="dxa"/>
            </w:tcMar>
          </w:tcPr>
          <w:p>
            <w:pPr>
              <w:keepNext w:val="0"/>
              <w:spacing w:line="252" w:lineRule="auto" w:after="40" w:before="40"/>
              <w:jc w:val="center"/>
            </w:pPr>
            <w:r>
              <w:rPr>
                <w:sz w:val="19"/>
              </w:rPr>
              <w:t>43 / 87</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62</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0.847</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0.771</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-0.076 (-0.153 to 0.006)</w:t>
            </w:r>
          </w:p>
        </w:tc>
      </w:tr>
      <w:tr>
        <w:trPr>
          <w:cantSplit/>
        </w:trPr>
        <w:tc>
          <w:tcPr>
            <w:tcW w:type="dxa" w:w="1368"/>
            <w:vAlign w:val="center"/>
            <w:tcMar>
              <w:top w:w="65" w:type="dxa"/>
              <w:bottom w:w="65" w:type="dxa"/>
              <w:left w:w="65" w:type="dxa"/>
              <w:right w:w="65" w:type="dxa"/>
            </w:tcMar>
          </w:tcPr>
          <w:p>
            <w:pPr>
              <w:keepNext w:val="0"/>
              <w:spacing w:line="252" w:lineRule="auto" w:after="40" w:before="40"/>
              <w:jc w:val="left"/>
            </w:pPr>
            <w:r>
              <w:rPr>
                <w:sz w:val="19"/>
              </w:rPr>
              <w:t>I-SPY</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79</w:t>
            </w:r>
          </w:p>
        </w:tc>
        <w:tc>
          <w:tcPr>
            <w:tcW w:type="dxa" w:w="1080"/>
            <w:vAlign w:val="center"/>
            <w:tcMar>
              <w:top w:w="65" w:type="dxa"/>
              <w:bottom w:w="65" w:type="dxa"/>
              <w:left w:w="65" w:type="dxa"/>
              <w:right w:w="65" w:type="dxa"/>
            </w:tcMar>
          </w:tcPr>
          <w:p>
            <w:pPr>
              <w:keepNext w:val="0"/>
              <w:spacing w:line="252" w:lineRule="auto" w:after="40" w:before="40"/>
              <w:jc w:val="center"/>
            </w:pPr>
            <w:r>
              <w:rPr>
                <w:sz w:val="19"/>
              </w:rPr>
              <w:t>14 / 34</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28</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0.873</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0.668</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-0.204 (-0.394 to -0.032)</w:t>
            </w:r>
          </w:p>
        </w:tc>
      </w:tr>
      <w:tr>
        <w:trPr>
          <w:cantSplit/>
        </w:trPr>
        <w:tc>
          <w:tcPr>
            <w:tcW w:type="dxa" w:w="1368"/>
            <w:vAlign w:val="center"/>
            <w:tcMar>
              <w:top w:w="65" w:type="dxa"/>
              <w:bottom w:w="65" w:type="dxa"/>
              <w:left w:w="65" w:type="dxa"/>
              <w:right w:w="65" w:type="dxa"/>
            </w:tcMar>
          </w:tcPr>
          <w:p>
            <w:pPr>
              <w:keepNext w:val="0"/>
              <w:spacing w:line="252" w:lineRule="auto" w:after="40" w:before="40"/>
              <w:jc w:val="left"/>
            </w:pPr>
            <w:r>
              <w:rPr>
                <w:sz w:val="19"/>
              </w:rPr>
              <w:t xml:space="preserve">Fixed-weight average</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1080"/>
            <w:vAlign w:val="center"/>
            <w:tcMar>
              <w:top w:w="65" w:type="dxa"/>
              <w:bottom w:w="65" w:type="dxa"/>
              <w:left w:w="65" w:type="dxa"/>
              <w:right w:w="65" w:type="dxa"/>
            </w:tcMar>
          </w:tcPr>
          <w:p>
            <w:pPr>
              <w:keepNext w:val="0"/>
              <w:spacing w:line="252" w:lineRule="auto" w:after="40" w:before="40"/>
              <w:jc w:val="center"/>
            </w:pPr>
            <w:r>
              <w:rPr>
                <w:sz w:val="19"/>
              </w:rPr>
              <w:t>57 / 121</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90</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0.854</w:t>
            </w:r>
          </w:p>
        </w:tc>
        <w:tc>
          <w:tcPr>
            <w:tcW w:type="dxa" w:w="1296"/>
            <w:vAlign w:val="center"/>
            <w:tcMar>
              <w:top w:w="65" w:type="dxa"/>
              <w:bottom w:w="65" w:type="dxa"/>
              <w:left w:w="65" w:type="dxa"/>
              <w:right w:w="65" w:type="dxa"/>
            </w:tcMar>
          </w:tcPr>
          <w:p>
            <w:pPr>
              <w:keepNext w:val="0"/>
              <w:spacing w:line="252" w:lineRule="auto" w:after="40" w:before="40"/>
              <w:jc w:val="center"/>
            </w:pPr>
            <w:r>
              <w:rPr>
                <w:sz w:val="19"/>
              </w:rPr>
              <w:t>0.745</w:t>
            </w:r>
          </w:p>
        </w:tc>
        <w:tc>
          <w:tcPr>
            <w:tcW w:type="dxa" w:w="2520"/>
            <w:vAlign w:val="center"/>
            <w:tcMar>
              <w:top w:w="65" w:type="dxa"/>
              <w:bottom w:w="65" w:type="dxa"/>
              <w:left w:w="65" w:type="dxa"/>
              <w:right w:w="65" w:type="dxa"/>
            </w:tcMar>
          </w:tcPr>
          <w:p>
            <w:pPr>
              <w:keepNext w:val="0"/>
              <w:spacing w:line="252" w:lineRule="auto" w:after="40" w:before="40"/>
              <w:jc w:val="center"/>
            </w:pPr>
            <w:r>
              <w:rPr>
                <w:sz w:val="19"/>
              </w:rPr>
              <w:t>-0.109 (-0.186 to -0.035)</w:t>
            </w:r>
          </w:p>
        </w:tc>
      </w:tr>
    </w:tbl>
    <w:p>
      <w:pPr>
        <w:spacing w:after="60" w:line="240" w:lineRule="auto"/>
      </w:pPr>
      <w:r>
        <w:rPr>
          <w:sz w:val="6"/>
        </w:rPr>
      </w:r>
    </w:p>
    <w:p>
      <w:r>
        <w:t xml:space="preserve">Changes are AUC against observed pathology minus AUC against DLDA30 labels. The final row averages the two within-source AUCs with fixed patient-count weights; it is not the pooled AUC, and its counts describe the same 306 patients. Intervals use 2,000 draws resampling patients within each recruitment source (seed 202609296), shared by both label definitions; every draw contained both classes. The fixed-weight interval lies below zero, whereas the MDACC interval includes zero; no between-source difference was tested. Rank AUCs agreed with direct pair enumeration and scikit-learn; recalculated pooled values and input hashes were unchanged.</w:t>
      </w:r>
    </w:p>
    <w:p>
      <w:pPr>
        <w:pStyle w:val="Heading1"/>
      </w:pPr>
      <w:r>
        <w:t>Table S12. Clinical interpretation of the recorded outcomes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4320"/>
        <w:gridCol w:w="4320"/>
      </w:tblGrid>
      <w:tr>
        <w:trPr>
          <w:cantSplit/>
          <w:tblHeader/>
        </w:trPr>
        <w:tc>
          <w:tcPr>
            <w:tcW w:type="dxa" w:w="1440"/>
            <w:vAlign w:val="center"/>
            <w:tcMar>
              <w:top w:w="65" w:type="dxa"/>
              <w:bottom w:w="65" w:type="dxa"/>
              <w:left w:w="65" w:type="dxa"/>
              <w:right w:w="65" w:type="dxa"/>
            </w:tcMar>
            <w:shd w:fill="EAEAEA"/>
          </w:tcPr>
          <w:p>
            <w:pPr>
              <w:keepNext/>
              <w:spacing w:line="252" w:lineRule="auto" w:after="40" w:before="40"/>
              <w:jc w:val="left"/>
            </w:pPr>
            <w:r>
              <w:rPr>
                <w:b/>
                <w:sz w:val="19"/>
              </w:rPr>
              <w:t>Dataset</w:t>
            </w:r>
          </w:p>
        </w:tc>
        <w:tc>
          <w:tcPr>
            <w:tcW w:type="dxa" w:w="4320"/>
            <w:vAlign w:val="center"/>
            <w:tcMar>
              <w:top w:w="65" w:type="dxa"/>
              <w:bottom w:w="65" w:type="dxa"/>
              <w:left w:w="65" w:type="dxa"/>
              <w:right w:w="65" w:type="dxa"/>
            </w:tcMar>
            <w:shd w:fill="EAEAEA"/>
          </w:tcPr>
          <w:p>
            <w:pPr>
              <w:keepNext/>
              <w:spacing w:line="252" w:lineRule="auto" w:after="40" w:before="40"/>
              <w:jc w:val="center"/>
            </w:pPr>
            <w:r>
              <w:rPr>
                <w:b/>
                <w:sz w:val="19"/>
              </w:rPr>
              <w:t>Outcome used here</w:t>
            </w:r>
          </w:p>
        </w:tc>
        <w:tc>
          <w:tcPr>
            <w:tcW w:type="dxa" w:w="4320"/>
            <w:vAlign w:val="center"/>
            <w:tcMar>
              <w:top w:w="65" w:type="dxa"/>
              <w:bottom w:w="65" w:type="dxa"/>
              <w:left w:w="65" w:type="dxa"/>
              <w:right w:w="65" w:type="dxa"/>
            </w:tcMar>
            <w:shd w:fill="EAEAEA"/>
          </w:tcPr>
          <w:p>
            <w:pPr>
              <w:keepNext/>
              <w:spacing w:line="252" w:lineRule="auto" w:after="40" w:before="40"/>
              <w:jc w:val="left"/>
            </w:pPr>
            <w:r>
              <w:rPr>
                <w:b/>
                <w:sz w:val="19"/>
              </w:rPr>
              <w:t xml:space="preserve">Treatment and interpretation</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GSE25055</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Source </w:t>
            </w:r>
            <w:r>
              <w:rPr>
                <w:rFonts w:ascii="Consolas" w:hAnsi="Consolas"/>
                <w:sz w:val="19"/>
              </w:rPr>
              <w:t>pathologic_response_pcr_rd</w:t>
            </w:r>
            <w:r>
              <w:rPr>
                <w:sz w:val="19"/>
              </w:rPr>
              <w:t xml:space="preserve">; 57 pCR and 249 RD among 306 known outcomes. Neither the DLDA30 prediction nor the separate pCR/RCB-I composite is used as observed pCR.</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Discovery data for taxane–anthracycline treatment [5,8]. The parent I-SPY report defines pCR by absence of invasive disease in breast and axillary nodes [9].</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GSE32646</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Source </w:t>
            </w:r>
            <w:r>
              <w:rPr>
                <w:rFonts w:ascii="Consolas" w:hAnsi="Consolas"/>
                <w:sz w:val="19"/>
              </w:rPr>
              <w:t>pathologic response pcr ncr</w:t>
            </w:r>
            <w:r>
              <w:rPr>
                <w:sz w:val="19"/>
              </w:rPr>
              <w:t>; 27 pCR and 88 non-pCR.</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The source study examines paclitaxel followed by fluorouracil/epirubicin/cyclophosphamide and defines pCR by absence of residual invasive disease in breast and axilla [6,10]. The outcome is surgical pathology after the full regimen, not the intermediate MRI assessment after paclitaxel.</w:t>
            </w:r>
          </w:p>
        </w:tc>
      </w:tr>
      <w:tr>
        <w:trPr>
          <w:cantSplit/>
        </w:trPr>
        <w:tc>
          <w:tcPr>
            <w:tcW w:type="dxa" w:w="1440"/>
            <w:vAlign w:val="center"/>
            <w:tcMar>
              <w:top w:w="65" w:type="dxa"/>
              <w:bottom w:w="65" w:type="dxa"/>
              <w:left w:w="65" w:type="dxa"/>
              <w:right w:w="65" w:type="dxa"/>
            </w:tcMar>
          </w:tcPr>
          <w:p>
            <w:pPr>
              <w:keepNext w:val="0"/>
              <w:spacing w:line="252" w:lineRule="auto" w:after="40" w:before="40"/>
              <w:jc w:val="left"/>
            </w:pPr>
            <w:r>
              <w:rPr>
                <w:sz w:val="19"/>
              </w:rPr>
              <w:t>GSE20194</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Source </w:t>
            </w:r>
            <w:r>
              <w:rPr>
                <w:rFonts w:ascii="Consolas" w:hAnsi="Consolas"/>
                <w:sz w:val="19"/>
              </w:rPr>
              <w:t>pcr_vs_rd</w:t>
            </w:r>
            <w:r>
              <w:rPr>
                <w:sz w:val="19"/>
              </w:rPr>
              <w:t xml:space="preserve">; 56 pCR arrays from 50 patients.</w:t>
            </w:r>
          </w:p>
        </w:tc>
        <w:tc>
          <w:tcPr>
            <w:tcW w:type="dxa" w:w="4320"/>
            <w:vAlign w:val="center"/>
            <w:tcMar>
              <w:top w:w="65" w:type="dxa"/>
              <w:bottom w:w="65" w:type="dxa"/>
              <w:left w:w="65" w:type="dxa"/>
              <w:right w:w="65" w:type="dxa"/>
            </w:tcMar>
          </w:tcPr>
          <w:p>
            <w:pPr>
              <w:keepNext w:val="0"/>
              <w:spacing w:line="252" w:lineRule="auto" w:after="40" w:before="40"/>
              <w:jc w:val="left"/>
            </w:pPr>
            <w:r>
              <w:rPr>
                <w:sz w:val="19"/>
              </w:rPr>
              <w:t xml:space="preserve">The official workbook defines pCR in breast and nodes and records varied treatment annotations [11]. Repeated arrays and links to GSE25055 are handled in the patient-identity analysis.</w:t>
            </w:r>
          </w:p>
        </w:tc>
      </w:tr>
    </w:tbl>
    <w:p>
      <w:pPr>
        <w:spacing w:after="60" w:line="240" w:lineRule="auto"/>
      </w:pPr>
      <w:r>
        <w:rPr>
          <w:sz w:val="6"/>
        </w:rPr>
      </w:r>
    </w:p>
    <w:p>
      <w:r>
        <w:t xml:space="preserve">The saved-score analyses therefore measure association with recorded response in treated cohorts. Because patients received combination regimens, these analyses cannot isolate a paclitaxel effect, and regimens, receptor assessment and eligibility are not assumed to be equivalent across datasets.</w:t>
      </w:r>
    </w:p>
    <w:p>
      <w:pPr>
        <w:pStyle w:val="Heading1"/>
      </w:pPr>
      <w:r>
        <w:t>Comparison with previously published identity curation</w:t>
      </w:r>
    </w:p>
    <w:p>
      <w:r>
        <w:t xml:space="preserve">During the literature review, after the within-source label analysis, we compared our identity map with Supplementary Table S3 of the RPS study by Pitroda et al. [4], which identified redundant samples across five datasets from matching raw signals and scan dates. Its exclusion list has 308 unique GSM accessions, 188 from GSE25055, consistent with its Table S1. We compared every listed accession with all 310 GSE25055 records and the 188 linked here to GSE20194, without using outcomes or predictions to select records.</w:t>
      </w:r>
    </w:p>
    <w:p>
      <w:r>
        <w:t xml:space="preserve">The two 188-accession sets share 186 accessions. The published list includes two GSE25055 accessions that we did not link to GSE20194, and two of our linked accessions are absent from it; Table S13 lists all four. Because the list covers five datasets and does not name the partner of each excluded sample, it cannot confirm or refute every individual GSE20194–GSE25055 link. The agreement corroborates most of our links with independent, published curation.</w:t>
      </w:r>
    </w:p>
    <w:p>
      <w:pPr>
        <w:pStyle w:val="Heading1"/>
      </w:pPr>
      <w:r>
        <w:t>Table S13. Differences from the published duplicate-exclusion list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41"/>
        <w:gridCol w:w="1139"/>
        <w:gridCol w:w="1139"/>
        <w:gridCol w:w="1139"/>
        <w:gridCol w:w="5322"/>
      </w:tblGrid>
      <w:tr>
        <w:trPr>
          <w:cantSplit/>
          <w:tblHeader/>
        </w:trPr>
        <w:tc>
          <w:tcPr>
            <w:tcW w:type="dxa" w:w="1341"/>
            <w:vAlign w:val="center"/>
            <w:tcMar>
              <w:top w:w="65" w:type="dxa"/>
              <w:bottom w:w="65" w:type="dxa"/>
              <w:left w:w="65" w:type="dxa"/>
              <w:right w:w="65" w:type="dxa"/>
            </w:tcMar>
            <w:shd w:fill="EAEAEA"/>
          </w:tcPr>
          <w:p>
            <w:pPr>
              <w:keepNext/>
              <w:spacing w:line="252" w:lineRule="auto" w:after="40" w:before="40"/>
              <w:jc w:val="left"/>
            </w:pPr>
            <w:r>
              <w:rPr>
                <w:b/>
                <w:sz w:val="19"/>
              </w:rPr>
              <w:t>GSE25055 accession</w:t>
            </w:r>
          </w:p>
        </w:tc>
        <w:tc>
          <w:tcPr>
            <w:tcW w:type="dxa" w:w="1139"/>
            <w:vAlign w:val="center"/>
            <w:tcMar>
              <w:top w:w="65" w:type="dxa"/>
              <w:bottom w:w="65" w:type="dxa"/>
              <w:left w:w="65" w:type="dxa"/>
              <w:right w:w="65" w:type="dxa"/>
            </w:tcMar>
            <w:shd w:fill="EAEAEA"/>
          </w:tcPr>
          <w:p>
            <w:pPr>
              <w:keepNext/>
              <w:spacing w:line="252" w:lineRule="auto" w:after="40" w:before="40"/>
              <w:jc w:val="center"/>
            </w:pPr>
            <w:r>
              <w:rPr>
                <w:b/>
                <w:sz w:val="19"/>
              </w:rPr>
              <w:t>Source title</w:t>
            </w:r>
          </w:p>
        </w:tc>
        <w:tc>
          <w:tcPr>
            <w:tcW w:type="dxa" w:w="1139"/>
            <w:vAlign w:val="center"/>
            <w:tcMar>
              <w:top w:w="65" w:type="dxa"/>
              <w:bottom w:w="65" w:type="dxa"/>
              <w:left w:w="65" w:type="dxa"/>
              <w:right w:w="65" w:type="dxa"/>
            </w:tcMar>
            <w:shd w:fill="EAEAEA"/>
          </w:tcPr>
          <w:p>
            <w:pPr>
              <w:keepNext/>
              <w:spacing w:line="252" w:lineRule="auto" w:after="40" w:before="40"/>
              <w:jc w:val="center"/>
            </w:pPr>
            <w:r>
              <w:rPr>
                <w:b/>
                <w:sz w:val="19"/>
              </w:rPr>
              <w:t>Linked to GSE20194 here</w:t>
            </w:r>
          </w:p>
        </w:tc>
        <w:tc>
          <w:tcPr>
            <w:tcW w:type="dxa" w:w="1139"/>
            <w:vAlign w:val="center"/>
            <w:tcMar>
              <w:top w:w="65" w:type="dxa"/>
              <w:bottom w:w="65" w:type="dxa"/>
              <w:left w:w="65" w:type="dxa"/>
              <w:right w:w="65" w:type="dxa"/>
            </w:tcMar>
            <w:shd w:fill="EAEAEA"/>
          </w:tcPr>
          <w:p>
            <w:pPr>
              <w:keepNext/>
              <w:spacing w:line="252" w:lineRule="auto" w:after="40" w:before="40"/>
              <w:jc w:val="center"/>
            </w:pPr>
            <w:r>
              <w:rPr>
                <w:b/>
                <w:sz w:val="19"/>
              </w:rPr>
              <w:t>Listed in RPS Table S3</w:t>
            </w:r>
          </w:p>
        </w:tc>
        <w:tc>
          <w:tcPr>
            <w:tcW w:type="dxa" w:w="5322"/>
            <w:vAlign w:val="center"/>
            <w:tcMar>
              <w:top w:w="65" w:type="dxa"/>
              <w:bottom w:w="65" w:type="dxa"/>
              <w:left w:w="65" w:type="dxa"/>
              <w:right w:w="65" w:type="dxa"/>
            </w:tcMar>
            <w:shd w:fill="EAEAEA"/>
          </w:tcPr>
          <w:p>
            <w:pPr>
              <w:keepNext/>
              <w:spacing w:line="252" w:lineRule="auto" w:after="40" w:before="40"/>
              <w:jc w:val="center"/>
            </w:pPr>
            <w:r>
              <w:rPr>
                <w:b/>
                <w:sz w:val="19"/>
              </w:rPr>
              <w:t>Interpretation</w:t>
            </w:r>
          </w:p>
        </w:tc>
      </w:tr>
      <w:tr>
        <w:trPr>
          <w:cantSplit/>
        </w:trPr>
        <w:tc>
          <w:tcPr>
            <w:tcW w:type="dxa" w:w="1341"/>
            <w:vAlign w:val="center"/>
            <w:tcMar>
              <w:top w:w="65" w:type="dxa"/>
              <w:bottom w:w="65" w:type="dxa"/>
              <w:left w:w="65" w:type="dxa"/>
              <w:right w:w="65" w:type="dxa"/>
            </w:tcMar>
          </w:tcPr>
          <w:p>
            <w:pPr>
              <w:keepNext w:val="0"/>
              <w:spacing w:line="252" w:lineRule="auto" w:after="40" w:before="40"/>
              <w:jc w:val="left"/>
            </w:pPr>
            <w:r>
              <w:rPr>
                <w:sz w:val="19"/>
              </w:rPr>
              <w:t>GSM615195</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M154</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Yes</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No</w:t>
            </w:r>
          </w:p>
        </w:tc>
        <w:tc>
          <w:tcPr>
            <w:tcW w:type="dxa" w:w="5322"/>
            <w:vAlign w:val="center"/>
            <w:tcMar>
              <w:top w:w="65" w:type="dxa"/>
              <w:bottom w:w="65" w:type="dxa"/>
              <w:left w:w="65" w:type="dxa"/>
              <w:right w:w="65" w:type="dxa"/>
            </w:tcMar>
          </w:tcPr>
          <w:p>
            <w:pPr>
              <w:keepNext w:val="0"/>
              <w:spacing w:line="252" w:lineRule="auto" w:after="40" w:before="40"/>
              <w:jc w:val="left"/>
            </w:pPr>
            <w:r>
              <w:rPr>
                <w:sz w:val="19"/>
              </w:rPr>
              <w:t xml:space="preserve">Linked by source patient identifier and raw filename; kept although absent from the RPS list.</w:t>
            </w:r>
          </w:p>
        </w:tc>
      </w:tr>
      <w:tr>
        <w:trPr>
          <w:cantSplit/>
        </w:trPr>
        <w:tc>
          <w:tcPr>
            <w:tcW w:type="dxa" w:w="1341"/>
            <w:vAlign w:val="center"/>
            <w:tcMar>
              <w:top w:w="65" w:type="dxa"/>
              <w:bottom w:w="65" w:type="dxa"/>
              <w:left w:w="65" w:type="dxa"/>
              <w:right w:w="65" w:type="dxa"/>
            </w:tcMar>
          </w:tcPr>
          <w:p>
            <w:pPr>
              <w:keepNext w:val="0"/>
              <w:spacing w:line="252" w:lineRule="auto" w:after="40" w:before="40"/>
              <w:jc w:val="left"/>
            </w:pPr>
            <w:r>
              <w:rPr>
                <w:sz w:val="19"/>
              </w:rPr>
              <w:t>GSM615263</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M367</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Yes</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No</w:t>
            </w:r>
          </w:p>
        </w:tc>
        <w:tc>
          <w:tcPr>
            <w:tcW w:type="dxa" w:w="5322"/>
            <w:vAlign w:val="center"/>
            <w:tcMar>
              <w:top w:w="65" w:type="dxa"/>
              <w:bottom w:w="65" w:type="dxa"/>
              <w:left w:w="65" w:type="dxa"/>
              <w:right w:w="65" w:type="dxa"/>
            </w:tcMar>
          </w:tcPr>
          <w:p>
            <w:pPr>
              <w:keepNext w:val="0"/>
              <w:spacing w:line="252" w:lineRule="auto" w:after="40" w:before="40"/>
              <w:jc w:val="left"/>
            </w:pPr>
            <w:r>
              <w:rPr>
                <w:sz w:val="19"/>
              </w:rPr>
              <w:t xml:space="preserve">Linked by source patient identifier only; raw filenames and values differ.</w:t>
            </w:r>
          </w:p>
        </w:tc>
      </w:tr>
      <w:tr>
        <w:trPr>
          <w:cantSplit/>
        </w:trPr>
        <w:tc>
          <w:tcPr>
            <w:tcW w:type="dxa" w:w="1341"/>
            <w:vAlign w:val="center"/>
            <w:tcMar>
              <w:top w:w="65" w:type="dxa"/>
              <w:bottom w:w="65" w:type="dxa"/>
              <w:left w:w="65" w:type="dxa"/>
              <w:right w:w="65" w:type="dxa"/>
            </w:tcMar>
          </w:tcPr>
          <w:p>
            <w:pPr>
              <w:keepNext w:val="0"/>
              <w:spacing w:line="252" w:lineRule="auto" w:after="40" w:before="40"/>
              <w:jc w:val="left"/>
            </w:pPr>
            <w:r>
              <w:rPr>
                <w:sz w:val="19"/>
              </w:rPr>
              <w:t>GSM615304</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M565</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No</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Yes</w:t>
            </w:r>
          </w:p>
        </w:tc>
        <w:tc>
          <w:tcPr>
            <w:tcW w:type="dxa" w:w="5322"/>
            <w:vAlign w:val="center"/>
            <w:tcMar>
              <w:top w:w="65" w:type="dxa"/>
              <w:bottom w:w="65" w:type="dxa"/>
              <w:left w:w="65" w:type="dxa"/>
              <w:right w:w="65" w:type="dxa"/>
            </w:tcMar>
          </w:tcPr>
          <w:p>
            <w:pPr>
              <w:keepNext w:val="0"/>
              <w:spacing w:line="252" w:lineRule="auto" w:after="40" w:before="40"/>
              <w:jc w:val="left"/>
            </w:pPr>
            <w:r>
              <w:rPr>
                <w:sz w:val="19"/>
              </w:rPr>
              <w:t xml:space="preserve">The RPS flag names no partner sample; no GSE20194 link was added.</w:t>
            </w:r>
          </w:p>
        </w:tc>
      </w:tr>
      <w:tr>
        <w:trPr>
          <w:cantSplit/>
        </w:trPr>
        <w:tc>
          <w:tcPr>
            <w:tcW w:type="dxa" w:w="1341"/>
            <w:vAlign w:val="center"/>
            <w:tcMar>
              <w:top w:w="65" w:type="dxa"/>
              <w:bottom w:w="65" w:type="dxa"/>
              <w:left w:w="65" w:type="dxa"/>
              <w:right w:w="65" w:type="dxa"/>
            </w:tcMar>
          </w:tcPr>
          <w:p>
            <w:pPr>
              <w:keepNext w:val="0"/>
              <w:spacing w:line="252" w:lineRule="auto" w:after="40" w:before="40"/>
              <w:jc w:val="left"/>
            </w:pPr>
            <w:r>
              <w:rPr>
                <w:sz w:val="19"/>
              </w:rPr>
              <w:t>GSM615324</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M625</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No</w:t>
            </w:r>
          </w:p>
        </w:tc>
        <w:tc>
          <w:tcPr>
            <w:tcW w:type="dxa" w:w="1139"/>
            <w:vAlign w:val="center"/>
            <w:tcMar>
              <w:top w:w="65" w:type="dxa"/>
              <w:bottom w:w="65" w:type="dxa"/>
              <w:left w:w="65" w:type="dxa"/>
              <w:right w:w="65" w:type="dxa"/>
            </w:tcMar>
          </w:tcPr>
          <w:p>
            <w:pPr>
              <w:keepNext w:val="0"/>
              <w:spacing w:line="252" w:lineRule="auto" w:after="40" w:before="40"/>
              <w:jc w:val="center"/>
            </w:pPr>
            <w:r>
              <w:rPr>
                <w:sz w:val="19"/>
              </w:rPr>
              <w:t>Yes</w:t>
            </w:r>
          </w:p>
        </w:tc>
        <w:tc>
          <w:tcPr>
            <w:tcW w:type="dxa" w:w="5322"/>
            <w:vAlign w:val="center"/>
            <w:tcMar>
              <w:top w:w="65" w:type="dxa"/>
              <w:bottom w:w="65" w:type="dxa"/>
              <w:left w:w="65" w:type="dxa"/>
              <w:right w:w="65" w:type="dxa"/>
            </w:tcMar>
          </w:tcPr>
          <w:p>
            <w:pPr>
              <w:keepNext w:val="0"/>
              <w:spacing w:line="252" w:lineRule="auto" w:after="40" w:before="40"/>
              <w:jc w:val="left"/>
            </w:pPr>
            <w:r>
              <w:rPr>
                <w:sz w:val="19"/>
              </w:rPr>
              <w:t xml:space="preserve">The RPS flag names no partner sample; no GSE20194 link was added.</w:t>
            </w:r>
          </w:p>
        </w:tc>
      </w:tr>
    </w:tbl>
    <w:p>
      <w:pPr>
        <w:spacing w:after="60" w:line="240" w:lineRule="auto"/>
      </w:pPr>
      <w:r>
        <w:rPr>
          <w:sz w:val="6"/>
        </w:rPr>
      </w:r>
    </w:p>
    <w:p>
      <w:r>
        <w:t xml:space="preserve">The full comparison covers all 310 GSE25055 accessions: 186 in both sets, 120 in neither and the four above. Direct extraction from the workbook XML agreed exactly with a separate read-only openpyxl extraction of Table S3; the publisher-supplied MD5 and a locally recorded SHA256 identify the workbook. This comparison was made after the identity mapping and patient-level analyses and did not change their analysis sets.</w:t>
      </w:r>
    </w:p>
    <w:p>
      <w:pPr>
        <w:pStyle w:val="Heading1"/>
      </w:pPr>
      <w:r>
        <w:t xml:space="preserve">Agreement with DLDA30 labels and subtype conditioning</w:t>
      </w:r>
    </w:p>
    <w:p>
      <w:r>
        <w:t xml:space="preserve">This exploratory diagnostic was specified in two steps, both after the label comparisons, clinical analyses and score-distribution plots had been inspected. The first preceded the first two permutation schemes, the four conditional AUCs and the pair decomposition; the second, written after those results but before new effects were calculated, added the three schemes that also hold ER IHC, PAM50 or both fixed, and the patient-bootstrap intervals. No scheme, subtype, sparse group or unfavorable estimate was removed after its effect was seen.</w:t>
      </w:r>
    </w:p>
    <w:p>
      <w:r>
        <w:t xml:space="preserve">Let Y denote observed pathology, Z the DLDA30 label and S the unchanged saved score, with pCR coded 1 for either target. All schemes keep the same 306 patients, 57 observed pCR, 121 DLDA30-positive labels and 90 disagreements (Y=0/Z=0, 172; Y=0/Z=1, 77; Y=1/Z=0, 13; Y=1/Z=1, 44), because labels are permuted within Y or within finer strata nested in Y. Each reference is the AUC expected if, within the chosen categories, DLDA30 labels were unrelated to the scores.</w:t>
      </w:r>
    </w:p>
    <w:p>
      <w:r>
        <w:t xml:space="preserve">For permutation within Y only, the exact expected AUC is</w:t>
      </w:r>
    </w:p>
    <w:p>
      <w:pPr>
        <w:spacing w:before="160" w:after="200"/>
      </w:pPr>
      <m:oMathPara>
        <m:oMath>
          <m:r>
            <m:t>E[AUC(S, </m:t>
          </m:r>
          <m:sSup>
            <m:e>
              <m:r>
                <m:t>Z</m:t>
              </m:r>
            </m:e>
            <m:sup>
              <m:r>
                <m:t>*</m:t>
              </m:r>
            </m:sup>
          </m:sSup>
          <m:r>
            <m:t>)] = 0.5 + (</m:t>
          </m:r>
          <m:f>
            <m:num>
              <m:r>
                <m:t>44</m:t>
              </m:r>
            </m:num>
            <m:den>
              <m:r>
                <m:t>121</m:t>
              </m:r>
            </m:den>
          </m:f>
          <m:r>
            <m:t> − </m:t>
          </m:r>
          <m:f>
            <m:num>
              <m:r>
                <m:t>13</m:t>
              </m:r>
            </m:num>
            <m:den>
              <m:r>
                <m:t>185</m:t>
              </m:r>
            </m:den>
          </m:f>
          <m:r>
            <m:t>) × (AUC(S, Y) − 0.5) = 0.572892.</m:t>
          </m:r>
        </m:oMath>
      </m:oMathPara>
    </w:p>
    <w:p>
      <w:r>
        <w:t xml:space="preserve">The two fractions are the observed-pCR proportions among DLDA30-positive and DLDA30-negative patients. This is the class-conditional mixture relationship described by Menon et al. [12], applied to the fixed sample; it does not assume that the actual DLDA30 labels arose by random corruption. For any set of strata, let q_i be the DLDA30-positive fraction of patient i's stratum and R_i the ascending midrank of patient i's score. With m=121 and n=306, the exact expectation is</w:t>
      </w:r>
    </w:p>
    <w:p>
      <w:pPr>
        <w:spacing w:before="160" w:after="200"/>
      </w:pPr>
      <m:oMathPara>
        <m:oMath>
          <m:r>
            <m:t>E[AUC] = </m:t>
          </m:r>
          <m:f>
            <m:num>
              <m:nary>
                <m:naryPr>
                  <m:chr m:val="∑"/>
                  <m:limLoc m:val="subSup"/>
                  <m:supHide m:val="1"/>
                </m:naryPr>
                <m:sub>
                  <m:r>
                    <m:t>i</m:t>
                  </m:r>
                </m:sub>
                <m:sup/>
                <m:e>
                  <m:sSub>
                    <m:e>
                      <m:r>
                        <m:t>q</m:t>
                      </m:r>
                    </m:e>
                    <m:sub>
                      <m:r>
                        <m:t>i</m:t>
                      </m:r>
                    </m:sub>
                  </m:sSub>
                  <m:r>
                    <m:t> × </m:t>
                  </m:r>
                  <m:sSub>
                    <m:e>
                      <m:r>
                        <m:t>R</m:t>
                      </m:r>
                    </m:e>
                    <m:sub>
                      <m:r>
                        <m:t>i</m:t>
                      </m:r>
                    </m:sub>
                  </m:sSub>
                </m:e>
              </m:nary>
              <m:r>
                <m:t> − </m:t>
              </m:r>
              <m:f>
                <m:num>
                  <m:r>
                    <m:t>m(m + 1)</m:t>
                  </m:r>
                </m:num>
                <m:den>
                  <m:r>
                    <m:t>2</m:t>
                  </m:r>
                </m:den>
              </m:f>
            </m:num>
            <m:den>
              <m:r>
                <m:t>m(n − m)</m:t>
              </m:r>
            </m:den>
          </m:f>
          <m:r>
            <m:t>.</m:t>
          </m:r>
        </m:oMath>
      </m:oMathPara>
    </w:p>
    <w:p>
      <w:r>
        <w:t xml:space="preserve">Each permutation keeps the number of DLDA30-positive labels in every stratum. A second calculation uses, for each ordered patient pair, the probability that the first is positive and the second negative: q_i(1−q_j) in different strata and m_g(n_g−m_g)/[n_g(n_g−1)] for two distinct patients in stratum g (m_g positives among n_g patients). Concordant pairs score 1, ties 0.5 and self-pairs 0. Enumerating all nine label assignments of a six-patient example with tied scores gave the same mean, 0.537037.</w:t>
      </w:r>
    </w:p>
    <w:p>
      <w:r>
        <w:t xml:space="preserve">The first two schemes (within Y; within Y and source) used 10,000 draws each from seed 202609300, and the three later schemes (Y/source/ER, Y/source/PAM50 and Y/source/ER/PAM50, in that order) used 10,000 each from seed 202609301. PAM50 was the principal molecular-background comparison. ER came from the frozen source </w:t>
      </w:r>
      <w:r>
        <w:rPr>
          <w:rFonts w:ascii="Consolas" w:hAnsi="Consolas"/>
          <w:sz w:val="20"/>
        </w:rPr>
        <w:t>er_status_ihc</w:t>
      </w:r>
      <w:r>
        <w:t xml:space="preserve">, with 172 positive, 129 negative, four indeterminate and one missing records, the last two kept as separate categories from the source because the earlier processed table had merged them as unknown. PAM50 counts were 120 Basal, 98 LumA, 43 LumB, 25 Normal and 20 Her2. Labels, scores, source, all PAM50 values and positive or negative ER values were checked against the existing analysis inputs by exact accession. The expression-revised ER field was not used.</w:t>
      </w:r>
    </w:p>
    <w:p>
      <w:r>
        <w:t xml:space="preserve">Table S14 reports all schemes. Labels cannot move in strata whose patients share one DLDA30 label; these hold 118 patients in the PAM50 scheme and 140 in the joint scheme. The actual AUC lies just above the principal PAM50 scheme's central 95% range and within the joint scheme's range. Upper-tail counts condition on the observed scores and stratum totals, whereas bootstrap intervals resample patients and recalculate stratum totals and expectations; these borderline results should not be reduced to a single significant or nonsignificant verdict.</w:t>
      </w:r>
    </w:p>
    <w:p>
      <w:pPr>
        <w:pStyle w:val="Heading1"/>
      </w:pPr>
      <w:r>
        <w:t xml:space="preserve">Table S14. Complete permutation references for the AUC against DLDA30 labels and sampling uncertainty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1008"/>
        <w:gridCol w:w="1008"/>
        <w:gridCol w:w="1728"/>
        <w:gridCol w:w="1512"/>
        <w:gridCol w:w="2160"/>
        <w:gridCol w:w="1152"/>
      </w:tblGrid>
      <w:tr>
        <w:trPr>
          <w:cantSplit/>
          <w:tblHeader/>
        </w:trPr>
        <w:tc>
          <w:tcPr>
            <w:tcW w:type="dxa" w:w="1512"/>
            <w:vAlign w:val="center"/>
            <w:tcMar>
              <w:top w:w="65" w:type="dxa"/>
              <w:bottom w:w="65" w:type="dxa"/>
              <w:left w:w="65" w:type="dxa"/>
              <w:right w:w="65" w:type="dxa"/>
            </w:tcMar>
            <w:shd w:fill="EAEAEA"/>
          </w:tcPr>
          <w:p>
            <w:pPr>
              <w:keepNext/>
              <w:spacing w:line="252" w:lineRule="auto" w:after="40" w:before="40"/>
              <w:jc w:val="left"/>
            </w:pPr>
            <w:r>
              <w:rPr>
                <w:b/>
                <w:sz w:val="19"/>
              </w:rPr>
              <w:t>Preserved categories</w:t>
            </w:r>
          </w:p>
        </w:tc>
        <w:tc>
          <w:tcPr>
            <w:tcW w:type="dxa" w:w="1008"/>
            <w:vAlign w:val="center"/>
            <w:tcMar>
              <w:top w:w="65" w:type="dxa"/>
              <w:bottom w:w="65" w:type="dxa"/>
              <w:left w:w="65" w:type="dxa"/>
              <w:right w:w="65" w:type="dxa"/>
            </w:tcMar>
            <w:shd w:fill="EAEAEA"/>
          </w:tcPr>
          <w:p>
            <w:pPr>
              <w:keepNext/>
              <w:spacing w:line="252" w:lineRule="auto" w:after="40" w:before="40"/>
              <w:jc w:val="center"/>
            </w:pPr>
            <w:r>
              <w:rPr>
                <w:b/>
                <w:sz w:val="19"/>
              </w:rPr>
              <w:t>Mixed / all strata</w:t>
            </w:r>
          </w:p>
        </w:tc>
        <w:tc>
          <w:tcPr>
            <w:tcW w:type="dxa" w:w="1008"/>
            <w:vAlign w:val="center"/>
            <w:tcMar>
              <w:top w:w="65" w:type="dxa"/>
              <w:bottom w:w="65" w:type="dxa"/>
              <w:left w:w="65" w:type="dxa"/>
              <w:right w:w="65" w:type="dxa"/>
            </w:tcMar>
            <w:shd w:fill="EAEAEA"/>
          </w:tcPr>
          <w:p>
            <w:pPr>
              <w:keepNext/>
              <w:spacing w:line="252" w:lineRule="auto" w:after="40" w:before="40"/>
              <w:jc w:val="center"/>
            </w:pPr>
            <w:r>
              <w:rPr>
                <w:b/>
                <w:sz w:val="19"/>
              </w:rPr>
              <w:t>Patients in mixed strata</w:t>
            </w:r>
          </w:p>
        </w:tc>
        <w:tc>
          <w:tcPr>
            <w:tcW w:type="dxa" w:w="1728"/>
            <w:vAlign w:val="center"/>
            <w:tcMar>
              <w:top w:w="65" w:type="dxa"/>
              <w:bottom w:w="65" w:type="dxa"/>
              <w:left w:w="65" w:type="dxa"/>
              <w:right w:w="65" w:type="dxa"/>
            </w:tcMar>
            <w:shd w:fill="EAEAEA"/>
          </w:tcPr>
          <w:p>
            <w:pPr>
              <w:keepNext/>
              <w:spacing w:line="252" w:lineRule="auto" w:after="40" w:before="40"/>
              <w:jc w:val="left"/>
            </w:pPr>
            <w:r>
              <w:rPr>
                <w:b/>
                <w:sz w:val="19"/>
              </w:rPr>
              <w:t>Exact mean AUC (bootstrap 95% interval)</w:t>
            </w:r>
          </w:p>
        </w:tc>
        <w:tc>
          <w:tcPr>
            <w:tcW w:type="dxa" w:w="1512"/>
            <w:vAlign w:val="center"/>
            <w:tcMar>
              <w:top w:w="65" w:type="dxa"/>
              <w:bottom w:w="65" w:type="dxa"/>
              <w:left w:w="65" w:type="dxa"/>
              <w:right w:w="65" w:type="dxa"/>
            </w:tcMar>
            <w:shd w:fill="EAEAEA"/>
          </w:tcPr>
          <w:p>
            <w:pPr>
              <w:keepNext/>
              <w:spacing w:line="252" w:lineRule="auto" w:after="40" w:before="40"/>
              <w:jc w:val="center"/>
            </w:pPr>
            <w:r>
              <w:rPr>
                <w:b/>
                <w:sz w:val="19"/>
              </w:rPr>
              <w:t xml:space="preserve">Central 95% permutation range</w:t>
            </w:r>
          </w:p>
        </w:tc>
        <w:tc>
          <w:tcPr>
            <w:tcW w:type="dxa" w:w="2160"/>
            <w:vAlign w:val="center"/>
            <w:tcMar>
              <w:top w:w="65" w:type="dxa"/>
              <w:bottom w:w="65" w:type="dxa"/>
              <w:left w:w="65" w:type="dxa"/>
              <w:right w:w="65" w:type="dxa"/>
            </w:tcMar>
            <w:shd w:fill="EAEAEA"/>
          </w:tcPr>
          <w:p>
            <w:pPr>
              <w:keepNext/>
              <w:spacing w:line="252" w:lineRule="auto" w:after="40" w:before="40"/>
              <w:jc w:val="left"/>
            </w:pPr>
            <w:r>
              <w:rPr>
                <w:b/>
                <w:sz w:val="19"/>
              </w:rPr>
              <w:t>Actual minus mean (bootstrap 95% interval)</w:t>
            </w:r>
          </w:p>
        </w:tc>
        <w:tc>
          <w:tcPr>
            <w:tcW w:type="dxa" w:w="1152"/>
            <w:vAlign w:val="center"/>
            <w:tcMar>
              <w:top w:w="65" w:type="dxa"/>
              <w:bottom w:w="65" w:type="dxa"/>
              <w:left w:w="65" w:type="dxa"/>
              <w:right w:w="65" w:type="dxa"/>
            </w:tcMar>
            <w:shd w:fill="EAEAEA"/>
          </w:tcPr>
          <w:p>
            <w:pPr>
              <w:keepNext/>
              <w:spacing w:line="252" w:lineRule="auto" w:after="40" w:before="40"/>
              <w:jc w:val="center"/>
            </w:pPr>
            <w:r>
              <w:rPr>
                <w:b/>
                <w:sz w:val="19"/>
              </w:rPr>
              <w:t>Draws ≥ actual / 10,000</w:t>
            </w:r>
          </w:p>
        </w:tc>
      </w:tr>
      <w:tr>
        <w:trPr>
          <w:cantSplit/>
        </w:trPr>
        <w:tc>
          <w:tcPr>
            <w:tcW w:type="dxa" w:w="1512"/>
            <w:vAlign w:val="center"/>
            <w:tcMar>
              <w:top w:w="65" w:type="dxa"/>
              <w:bottom w:w="65" w:type="dxa"/>
              <w:left w:w="65" w:type="dxa"/>
              <w:right w:w="65" w:type="dxa"/>
            </w:tcMar>
          </w:tcPr>
          <w:p>
            <w:pPr>
              <w:keepNext w:val="0"/>
              <w:spacing w:line="252" w:lineRule="auto" w:after="40" w:before="40"/>
              <w:jc w:val="left"/>
            </w:pPr>
            <w:r>
              <w:rPr>
                <w:sz w:val="19"/>
              </w:rPr>
              <w:t>Outcome</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2 / 2</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0.5729 (0.5405 to 0.6137)</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0.5152–0.6317</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0.2788 (0.2271 to 0.3271)</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0</w:t>
            </w:r>
          </w:p>
        </w:tc>
      </w:tr>
      <w:tr>
        <w:trPr>
          <w:cantSplit/>
        </w:trPr>
        <w:tc>
          <w:tcPr>
            <w:tcW w:type="dxa" w:w="1512"/>
            <w:vAlign w:val="center"/>
            <w:tcMar>
              <w:top w:w="65" w:type="dxa"/>
              <w:bottom w:w="65" w:type="dxa"/>
              <w:left w:w="65" w:type="dxa"/>
              <w:right w:w="65" w:type="dxa"/>
            </w:tcMar>
          </w:tcPr>
          <w:p>
            <w:pPr>
              <w:keepNext w:val="0"/>
              <w:spacing w:line="252" w:lineRule="auto" w:after="40" w:before="40"/>
              <w:jc w:val="left"/>
            </w:pPr>
            <w:r>
              <w:rPr>
                <w:sz w:val="19"/>
              </w:rPr>
              <w:t>Outcome + source</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4 / 4</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0.5753 (0.5430 to 0.6183)</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0.5165–0.6330</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0.2765 (0.2238 to 0.3239)</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0</w:t>
            </w:r>
          </w:p>
        </w:tc>
      </w:tr>
      <w:tr>
        <w:trPr>
          <w:cantSplit/>
        </w:trPr>
        <w:tc>
          <w:tcPr>
            <w:tcW w:type="dxa" w:w="1512"/>
            <w:vAlign w:val="center"/>
            <w:tcMar>
              <w:top w:w="65" w:type="dxa"/>
              <w:bottom w:w="65" w:type="dxa"/>
              <w:left w:w="65" w:type="dxa"/>
              <w:right w:w="65" w:type="dxa"/>
            </w:tcMar>
          </w:tcPr>
          <w:p>
            <w:pPr>
              <w:keepNext w:val="0"/>
              <w:spacing w:line="252" w:lineRule="auto" w:after="40" w:before="40"/>
              <w:jc w:val="left"/>
            </w:pPr>
            <w:r>
              <w:rPr>
                <w:sz w:val="19"/>
              </w:rPr>
              <w:t>Outcome + source + ER</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9 / 11</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304</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0.7485 (0.7043 to 0.8016)</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0.7138–0.7841</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0.1033 (0.0558 to 0.1453)</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0</w:t>
            </w:r>
          </w:p>
        </w:tc>
      </w:tr>
      <w:tr>
        <w:trPr>
          <w:cantSplit/>
        </w:trPr>
        <w:tc>
          <w:tcPr>
            <w:tcW w:type="dxa" w:w="1512"/>
            <w:vAlign w:val="center"/>
            <w:tcMar>
              <w:top w:w="65" w:type="dxa"/>
              <w:bottom w:w="65" w:type="dxa"/>
              <w:left w:w="65" w:type="dxa"/>
              <w:right w:w="65" w:type="dxa"/>
            </w:tcMar>
          </w:tcPr>
          <w:p>
            <w:pPr>
              <w:keepNext w:val="0"/>
              <w:spacing w:line="252" w:lineRule="auto" w:after="40" w:before="40"/>
              <w:jc w:val="left"/>
            </w:pPr>
            <w:r>
              <w:rPr>
                <w:sz w:val="19"/>
              </w:rPr>
              <w:t>Outcome + source + PAM50</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10 / 20</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188</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0.8263 (0.7847 to 0.8655)</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0.8019–0.8514</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0.0254 (-0.0001 to 0.0525)</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240</w:t>
            </w:r>
          </w:p>
        </w:tc>
      </w:tr>
      <w:tr>
        <w:trPr>
          <w:cantSplit/>
        </w:trPr>
        <w:tc>
          <w:tcPr>
            <w:tcW w:type="dxa" w:w="1512"/>
            <w:vAlign w:val="center"/>
            <w:tcMar>
              <w:top w:w="65" w:type="dxa"/>
              <w:bottom w:w="65" w:type="dxa"/>
              <w:left w:w="65" w:type="dxa"/>
              <w:right w:w="65" w:type="dxa"/>
            </w:tcMar>
          </w:tcPr>
          <w:p>
            <w:pPr>
              <w:keepNext w:val="0"/>
              <w:spacing w:line="252" w:lineRule="auto" w:after="40" w:before="40"/>
              <w:jc w:val="left"/>
            </w:pPr>
            <w:r>
              <w:rPr>
                <w:sz w:val="19"/>
              </w:rPr>
              <w:t>Outcome + source + ER + PAM50</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12 / 34</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166</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0.8292 (0.7911 to 0.8723)</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0.8059–0.8525</w:t>
            </w:r>
          </w:p>
        </w:tc>
        <w:tc>
          <w:tcPr>
            <w:tcW w:type="dxa" w:w="2160"/>
            <w:vAlign w:val="center"/>
            <w:tcMar>
              <w:top w:w="65" w:type="dxa"/>
              <w:bottom w:w="65" w:type="dxa"/>
              <w:left w:w="65" w:type="dxa"/>
              <w:right w:w="65" w:type="dxa"/>
            </w:tcMar>
          </w:tcPr>
          <w:p>
            <w:pPr>
              <w:keepNext w:val="0"/>
              <w:spacing w:line="252" w:lineRule="auto" w:after="40" w:before="40"/>
              <w:jc w:val="center"/>
            </w:pPr>
            <w:r>
              <w:rPr>
                <w:sz w:val="19"/>
              </w:rPr>
              <w:t>0.0226 (-0.0036 to 0.0421)</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297</w:t>
            </w:r>
          </w:p>
        </w:tc>
      </w:tr>
    </w:tbl>
    <w:p>
      <w:pPr>
        <w:spacing w:after="60" w:line="240" w:lineRule="auto"/>
      </w:pPr>
      <w:r>
        <w:rPr>
          <w:sz w:val="6"/>
        </w:rPr>
      </w:r>
    </w:p>
    <w:p>
      <w:r>
        <w:t xml:space="preserve">The actual AUC against DLDA30 labels is 0.851731 in every row. Plus-one upper-tail fractions, (1 + exceedances)/(1 + draws), are 0.000100, 0.000100, 0.000100, 0.024098 and 0.029797, respectively; they are exploratory and not adjusted for multiple comparisons. Finer grouping can raise the reference both through shared information and because fewer labels can move, so differences between rows do not give the percentage of agreement explained by subtype. A reference expectation is not a corrected AUC; the AUC against observed pathology is 0.748468.</w:t>
      </w:r>
    </w:p>
    <w:p>
      <w:r>
        <w:t xml:space="preserve">Sampling intervals used 2,000 ordinary patient bootstrap draws of size 306 (seed 202609302). Each draw used the same resampled patients for every conditional AUC, all five reference expectations and all five actual-minus-expected differences; labels were not re-permuted within draws. A conditional AUC was undefined if its resampled subgroup lacked either target class; undefined draws were not replaced. Within-source pooled AUCs used only pairs within the same fixed group and source, weighting each stratum by its positive–negative pairs in that draw, and were defined if any stratum supplied such pairs. All reference, difference and pooled draws were defined; two sparse I-SPY conditional AUCs each had 31 undefined draws (Table S15).</w:t>
      </w:r>
    </w:p>
    <w:p>
      <w:pPr>
        <w:pStyle w:val="Heading1"/>
      </w:pPr>
      <w:r>
        <w:t>Table S15. All conditional AUCs with patient-sampling intervals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1152"/>
        <w:gridCol w:w="576"/>
        <w:gridCol w:w="1440"/>
        <w:gridCol w:w="1008"/>
        <w:gridCol w:w="2592"/>
        <w:gridCol w:w="1368"/>
      </w:tblGrid>
      <w:tr>
        <w:trPr>
          <w:cantSplit/>
          <w:tblHeader/>
        </w:trPr>
        <w:tc>
          <w:tcPr>
            <w:tcW w:type="dxa" w:w="1944"/>
            <w:vAlign w:val="center"/>
            <w:tcMar>
              <w:top w:w="65" w:type="dxa"/>
              <w:bottom w:w="65" w:type="dxa"/>
              <w:left w:w="65" w:type="dxa"/>
              <w:right w:w="65" w:type="dxa"/>
            </w:tcMar>
            <w:shd w:fill="EAEAEA"/>
          </w:tcPr>
          <w:p>
            <w:pPr>
              <w:keepNext/>
              <w:spacing w:line="252" w:lineRule="auto" w:after="40" w:before="40"/>
              <w:jc w:val="left"/>
            </w:pPr>
            <w:r>
              <w:rPr>
                <w:b/>
                <w:sz w:val="19"/>
              </w:rPr>
              <w:t>Target / fixed group</w:t>
            </w:r>
          </w:p>
        </w:tc>
        <w:tc>
          <w:tcPr>
            <w:tcW w:type="dxa" w:w="1152"/>
            <w:vAlign w:val="center"/>
            <w:tcMar>
              <w:top w:w="65" w:type="dxa"/>
              <w:bottom w:w="65" w:type="dxa"/>
              <w:left w:w="65" w:type="dxa"/>
              <w:right w:w="65" w:type="dxa"/>
            </w:tcMar>
            <w:shd w:fill="EAEAEA"/>
          </w:tcPr>
          <w:p>
            <w:pPr>
              <w:keepNext/>
              <w:spacing w:line="252" w:lineRule="auto" w:after="40" w:before="40"/>
              <w:jc w:val="center"/>
            </w:pPr>
            <w:r>
              <w:rPr>
                <w:b/>
                <w:sz w:val="19"/>
              </w:rPr>
              <w:t>Source</w:t>
            </w:r>
          </w:p>
        </w:tc>
        <w:tc>
          <w:tcPr>
            <w:tcW w:type="dxa" w:w="576"/>
            <w:vAlign w:val="center"/>
            <w:tcMar>
              <w:top w:w="65" w:type="dxa"/>
              <w:bottom w:w="65" w:type="dxa"/>
              <w:left w:w="65" w:type="dxa"/>
              <w:right w:w="65" w:type="dxa"/>
            </w:tcMar>
            <w:shd w:fill="EAEAEA"/>
          </w:tcPr>
          <w:p>
            <w:pPr>
              <w:keepNext/>
              <w:spacing w:line="252" w:lineRule="auto" w:after="40" w:before="40"/>
              <w:jc w:val="center"/>
            </w:pPr>
            <w:r>
              <w:rPr>
                <w:b/>
                <w:sz w:val="19"/>
              </w:rPr>
              <w:t>n</w:t>
            </w:r>
          </w:p>
        </w:tc>
        <w:tc>
          <w:tcPr>
            <w:tcW w:type="dxa" w:w="1440"/>
            <w:vAlign w:val="center"/>
            <w:tcMar>
              <w:top w:w="65" w:type="dxa"/>
              <w:bottom w:w="65" w:type="dxa"/>
              <w:left w:w="65" w:type="dxa"/>
              <w:right w:w="65" w:type="dxa"/>
            </w:tcMar>
            <w:shd w:fill="EAEAEA"/>
          </w:tcPr>
          <w:p>
            <w:pPr>
              <w:keepNext/>
              <w:spacing w:line="252" w:lineRule="auto" w:after="40" w:before="40"/>
              <w:jc w:val="center"/>
            </w:pPr>
            <w:r>
              <w:rPr>
                <w:b/>
                <w:sz w:val="19"/>
              </w:rPr>
              <w:t>Target positive / negative</w:t>
            </w:r>
          </w:p>
        </w:tc>
        <w:tc>
          <w:tcPr>
            <w:tcW w:type="dxa" w:w="1008"/>
            <w:vAlign w:val="center"/>
            <w:tcMar>
              <w:top w:w="65" w:type="dxa"/>
              <w:bottom w:w="65" w:type="dxa"/>
              <w:left w:w="65" w:type="dxa"/>
              <w:right w:w="65" w:type="dxa"/>
            </w:tcMar>
            <w:shd w:fill="EAEAEA"/>
          </w:tcPr>
          <w:p>
            <w:pPr>
              <w:keepNext/>
              <w:spacing w:line="252" w:lineRule="auto" w:after="40" w:before="40"/>
              <w:jc w:val="center"/>
            </w:pPr>
            <w:r>
              <w:rPr>
                <w:b/>
                <w:sz w:val="19"/>
              </w:rPr>
              <w:t>Eligible pairs</w:t>
            </w:r>
          </w:p>
        </w:tc>
        <w:tc>
          <w:tcPr>
            <w:tcW w:type="dxa" w:w="2592"/>
            <w:vAlign w:val="center"/>
            <w:tcMar>
              <w:top w:w="65" w:type="dxa"/>
              <w:bottom w:w="65" w:type="dxa"/>
              <w:left w:w="65" w:type="dxa"/>
              <w:right w:w="65" w:type="dxa"/>
            </w:tcMar>
            <w:shd w:fill="EAEAEA"/>
          </w:tcPr>
          <w:p>
            <w:pPr>
              <w:keepNext/>
              <w:spacing w:line="252" w:lineRule="auto" w:after="40" w:before="40"/>
              <w:jc w:val="center"/>
            </w:pPr>
            <w:r>
              <w:rPr>
                <w:b/>
                <w:sz w:val="19"/>
              </w:rPr>
              <w:t>AUC (bootstrap 95% interval)</w:t>
            </w:r>
          </w:p>
        </w:tc>
        <w:tc>
          <w:tcPr>
            <w:tcW w:type="dxa" w:w="1368"/>
            <w:vAlign w:val="center"/>
            <w:tcMar>
              <w:top w:w="65" w:type="dxa"/>
              <w:bottom w:w="65" w:type="dxa"/>
              <w:left w:w="65" w:type="dxa"/>
              <w:right w:w="65" w:type="dxa"/>
            </w:tcMar>
            <w:shd w:fill="EAEAEA"/>
          </w:tcPr>
          <w:p>
            <w:pPr>
              <w:keepNext/>
              <w:spacing w:line="252" w:lineRule="auto" w:after="40" w:before="40"/>
              <w:jc w:val="center"/>
            </w:pPr>
            <w:r>
              <w:rPr>
                <w:b/>
                <w:sz w:val="19"/>
              </w:rPr>
              <w:t>Defined / 2,000 draws</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All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249</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77 / 172</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13,244</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0.856 (0.804–0.904)</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All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57</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44 / 13</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572</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0.678 (0.494–0.846)</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I-SPY</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65</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24 / 41</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984</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0.901 (0.814–0.969)</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MDACC</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184</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53 / 131</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6,943</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0.843 (0.775–0.903)</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I-SPY</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14</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10 / 4</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40</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0.650 (0.182–1.000)</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1,969</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observed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MDACC</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43</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34 / 9</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0.683 (0.465–0.869)</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DLDA30 / within each observed group</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Within-source pooled</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See constituents</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8,273</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0.843 (0.785–0.894)</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All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185</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13 / 172</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2,236</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0.703 (0.518–0.881)</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All</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121</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44 / 77</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3,388</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0.581 (0.466–0.694)</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I-SPY</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45</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4 / 41</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164</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0.598 (0.136–1.000)</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1,969</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RD</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MDACC</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140</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9 / 131</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1,179</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0.736 (0.529–0.930)</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I-SPY</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34</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10 / 24</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240</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0.500 (0.262–0.758)</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DLDA30 pCR</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MDACC</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87</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34 / 53</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1,802</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0.601 (0.466–0.726)</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r>
        <w:trPr>
          <w:cantSplit/>
        </w:trPr>
        <w:tc>
          <w:tcPr>
            <w:tcW w:type="dxa" w:w="1944"/>
            <w:vAlign w:val="center"/>
            <w:tcMar>
              <w:top w:w="65" w:type="dxa"/>
              <w:bottom w:w="65" w:type="dxa"/>
              <w:left w:w="65" w:type="dxa"/>
              <w:right w:w="65" w:type="dxa"/>
            </w:tcMar>
          </w:tcPr>
          <w:p>
            <w:pPr>
              <w:keepNext w:val="0"/>
              <w:spacing w:line="252" w:lineRule="auto" w:after="40" w:before="40"/>
              <w:jc w:val="left"/>
            </w:pPr>
            <w:r>
              <w:rPr>
                <w:sz w:val="19"/>
              </w:rPr>
              <w:t>Pathology / within each DLDA30 group</w:t>
            </w:r>
          </w:p>
        </w:tc>
        <w:tc>
          <w:tcPr>
            <w:tcW w:type="dxa" w:w="1152"/>
            <w:vAlign w:val="center"/>
            <w:tcMar>
              <w:top w:w="65" w:type="dxa"/>
              <w:bottom w:w="65" w:type="dxa"/>
              <w:left w:w="65" w:type="dxa"/>
              <w:right w:w="65" w:type="dxa"/>
            </w:tcMar>
          </w:tcPr>
          <w:p>
            <w:pPr>
              <w:keepNext w:val="0"/>
              <w:spacing w:line="252" w:lineRule="auto" w:after="40" w:before="40"/>
              <w:jc w:val="center"/>
            </w:pPr>
            <w:r>
              <w:rPr>
                <w:sz w:val="19"/>
              </w:rPr>
              <w:t>Within-source pooled</w:t>
            </w:r>
          </w:p>
        </w:tc>
        <w:tc>
          <w:tcPr>
            <w:tcW w:type="dxa" w:w="576"/>
            <w:vAlign w:val="center"/>
            <w:tcMar>
              <w:top w:w="65" w:type="dxa"/>
              <w:bottom w:w="65" w:type="dxa"/>
              <w:left w:w="65" w:type="dxa"/>
              <w:right w:w="65" w:type="dxa"/>
            </w:tcMar>
          </w:tcPr>
          <w:p>
            <w:pPr>
              <w:keepNext w:val="0"/>
              <w:spacing w:line="252" w:lineRule="auto" w:after="40" w:before="40"/>
              <w:jc w:val="center"/>
            </w:pPr>
            <w:r>
              <w:rPr>
                <w:sz w:val="19"/>
              </w:rPr>
              <w:t>306</w:t>
            </w:r>
          </w:p>
        </w:tc>
        <w:tc>
          <w:tcPr>
            <w:tcW w:type="dxa" w:w="1440"/>
            <w:vAlign w:val="center"/>
            <w:tcMar>
              <w:top w:w="65" w:type="dxa"/>
              <w:bottom w:w="65" w:type="dxa"/>
              <w:left w:w="65" w:type="dxa"/>
              <w:right w:w="65" w:type="dxa"/>
            </w:tcMar>
          </w:tcPr>
          <w:p>
            <w:pPr>
              <w:keepNext w:val="0"/>
              <w:spacing w:line="252" w:lineRule="auto" w:after="40" w:before="40"/>
              <w:jc w:val="center"/>
            </w:pPr>
            <w:r>
              <w:rPr>
                <w:sz w:val="19"/>
              </w:rPr>
              <w:t>See constituents</w:t>
            </w:r>
          </w:p>
        </w:tc>
        <w:tc>
          <w:tcPr>
            <w:tcW w:type="dxa" w:w="1008"/>
            <w:vAlign w:val="center"/>
            <w:tcMar>
              <w:top w:w="65" w:type="dxa"/>
              <w:bottom w:w="65" w:type="dxa"/>
              <w:left w:w="65" w:type="dxa"/>
              <w:right w:w="65" w:type="dxa"/>
            </w:tcMar>
          </w:tcPr>
          <w:p>
            <w:pPr>
              <w:keepNext w:val="0"/>
              <w:spacing w:line="252" w:lineRule="auto" w:after="40" w:before="40"/>
              <w:jc w:val="center"/>
            </w:pPr>
            <w:r>
              <w:rPr>
                <w:sz w:val="19"/>
              </w:rPr>
              <w:t>3,385</w:t>
            </w:r>
          </w:p>
        </w:tc>
        <w:tc>
          <w:tcPr>
            <w:tcW w:type="dxa" w:w="2592"/>
            <w:vAlign w:val="center"/>
            <w:tcMar>
              <w:top w:w="65" w:type="dxa"/>
              <w:bottom w:w="65" w:type="dxa"/>
              <w:left w:w="65" w:type="dxa"/>
              <w:right w:w="65" w:type="dxa"/>
            </w:tcMar>
          </w:tcPr>
          <w:p>
            <w:pPr>
              <w:keepNext w:val="0"/>
              <w:spacing w:line="252" w:lineRule="auto" w:after="40" w:before="40"/>
              <w:jc w:val="center"/>
            </w:pPr>
            <w:r>
              <w:rPr>
                <w:sz w:val="19"/>
              </w:rPr>
              <w:t>0.641 (0.534–0.739)</w:t>
            </w:r>
          </w:p>
        </w:tc>
        <w:tc>
          <w:tcPr>
            <w:tcW w:type="dxa" w:w="1368"/>
            <w:vAlign w:val="center"/>
            <w:tcMar>
              <w:top w:w="65" w:type="dxa"/>
              <w:bottom w:w="65" w:type="dxa"/>
              <w:left w:w="65" w:type="dxa"/>
              <w:right w:w="65" w:type="dxa"/>
            </w:tcMar>
          </w:tcPr>
          <w:p>
            <w:pPr>
              <w:keepNext w:val="0"/>
              <w:spacing w:line="252" w:lineRule="auto" w:after="40" w:before="40"/>
              <w:jc w:val="center"/>
            </w:pPr>
            <w:r>
              <w:rPr>
                <w:sz w:val="19"/>
              </w:rPr>
              <w:t>2,000</w:t>
            </w:r>
          </w:p>
        </w:tc>
      </w:tr>
    </w:tbl>
    <w:p>
      <w:pPr>
        <w:spacing w:after="60" w:line="240" w:lineRule="auto"/>
      </w:pPr>
      <w:r>
        <w:rPr>
          <w:sz w:val="6"/>
        </w:rPr>
      </w:r>
    </w:p>
    <w:p>
      <w:r>
        <w:t xml:space="preserve">Positive denotes pCR for the named target. Pooled rows combine four outcome-by-source or DLDA30-label-by-source strata, with no cross-stratum pairs. Both undefined-draw counts arise from the same small Y=1/Z=0/I-SPY cell; intervals use defined draws only. Because targets and patient subsets differ between rows, comparing these AUCs does not estimate a causal contribution of the DLDA30 label.</w:t>
      </w:r>
    </w:p>
    <w:p>
      <w:pPr>
        <w:pStyle w:val="Heading1"/>
      </w:pPr>
      <w:r>
        <w:t>Table S16. Exact patient-pair decomposition of both target AUCs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1512"/>
        <w:gridCol w:w="1512"/>
        <w:gridCol w:w="936"/>
        <w:gridCol w:w="1728"/>
        <w:gridCol w:w="1224"/>
        <w:gridCol w:w="2016"/>
      </w:tblGrid>
      <w:tr>
        <w:trPr>
          <w:cantSplit/>
          <w:tblHeader/>
        </w:trPr>
        <w:tc>
          <w:tcPr>
            <w:tcW w:type="dxa" w:w="1152"/>
            <w:vAlign w:val="center"/>
            <w:tcMar>
              <w:top w:w="65" w:type="dxa"/>
              <w:bottom w:w="65" w:type="dxa"/>
              <w:left w:w="65" w:type="dxa"/>
              <w:right w:w="65" w:type="dxa"/>
            </w:tcMar>
            <w:shd w:fill="EAEAEA"/>
          </w:tcPr>
          <w:p>
            <w:pPr>
              <w:keepNext/>
              <w:spacing w:line="252" w:lineRule="auto" w:after="40" w:before="40"/>
              <w:jc w:val="left"/>
            </w:pPr>
            <w:r>
              <w:rPr>
                <w:b/>
                <w:sz w:val="19"/>
              </w:rPr>
              <w:t>Target</w:t>
            </w:r>
          </w:p>
        </w:tc>
        <w:tc>
          <w:tcPr>
            <w:tcW w:type="dxa" w:w="1512"/>
            <w:vAlign w:val="center"/>
            <w:tcMar>
              <w:top w:w="65" w:type="dxa"/>
              <w:bottom w:w="65" w:type="dxa"/>
              <w:left w:w="65" w:type="dxa"/>
              <w:right w:w="65" w:type="dxa"/>
            </w:tcMar>
            <w:shd w:fill="EAEAEA"/>
          </w:tcPr>
          <w:p>
            <w:pPr>
              <w:keepNext/>
              <w:spacing w:line="252" w:lineRule="auto" w:after="40" w:before="40"/>
              <w:jc w:val="center"/>
            </w:pPr>
            <w:r>
              <w:rPr>
                <w:b/>
                <w:sz w:val="19"/>
              </w:rPr>
              <w:t>Positive patient's Y / Z</w:t>
            </w:r>
          </w:p>
        </w:tc>
        <w:tc>
          <w:tcPr>
            <w:tcW w:type="dxa" w:w="1512"/>
            <w:vAlign w:val="center"/>
            <w:tcMar>
              <w:top w:w="65" w:type="dxa"/>
              <w:bottom w:w="65" w:type="dxa"/>
              <w:left w:w="65" w:type="dxa"/>
              <w:right w:w="65" w:type="dxa"/>
            </w:tcMar>
            <w:shd w:fill="EAEAEA"/>
          </w:tcPr>
          <w:p>
            <w:pPr>
              <w:keepNext/>
              <w:spacing w:line="252" w:lineRule="auto" w:after="40" w:before="40"/>
              <w:jc w:val="center"/>
            </w:pPr>
            <w:r>
              <w:rPr>
                <w:b/>
                <w:sz w:val="19"/>
              </w:rPr>
              <w:t>Negative patient's Y / Z</w:t>
            </w:r>
          </w:p>
        </w:tc>
        <w:tc>
          <w:tcPr>
            <w:tcW w:type="dxa" w:w="936"/>
            <w:vAlign w:val="center"/>
            <w:tcMar>
              <w:top w:w="65" w:type="dxa"/>
              <w:bottom w:w="65" w:type="dxa"/>
              <w:left w:w="65" w:type="dxa"/>
              <w:right w:w="65" w:type="dxa"/>
            </w:tcMar>
            <w:shd w:fill="EAEAEA"/>
          </w:tcPr>
          <w:p>
            <w:pPr>
              <w:keepNext/>
              <w:spacing w:line="252" w:lineRule="auto" w:after="40" w:before="40"/>
              <w:jc w:val="center"/>
            </w:pPr>
            <w:r>
              <w:rPr>
                <w:b/>
                <w:sz w:val="19"/>
              </w:rPr>
              <w:t>Pairs</w:t>
            </w:r>
          </w:p>
        </w:tc>
        <w:tc>
          <w:tcPr>
            <w:tcW w:type="dxa" w:w="1728"/>
            <w:vAlign w:val="center"/>
            <w:tcMar>
              <w:top w:w="65" w:type="dxa"/>
              <w:bottom w:w="65" w:type="dxa"/>
              <w:left w:w="65" w:type="dxa"/>
              <w:right w:w="65" w:type="dxa"/>
            </w:tcMar>
            <w:shd w:fill="EAEAEA"/>
          </w:tcPr>
          <w:p>
            <w:pPr>
              <w:keepNext/>
              <w:spacing w:line="252" w:lineRule="auto" w:after="40" w:before="40"/>
              <w:jc w:val="center"/>
            </w:pPr>
            <w:r>
              <w:rPr>
                <w:b/>
                <w:sz w:val="19"/>
              </w:rPr>
              <w:t>Share of target pairs (%)</w:t>
            </w:r>
          </w:p>
        </w:tc>
        <w:tc>
          <w:tcPr>
            <w:tcW w:type="dxa" w:w="1224"/>
            <w:vAlign w:val="center"/>
            <w:tcMar>
              <w:top w:w="65" w:type="dxa"/>
              <w:bottom w:w="65" w:type="dxa"/>
              <w:left w:w="65" w:type="dxa"/>
              <w:right w:w="65" w:type="dxa"/>
            </w:tcMar>
            <w:shd w:fill="EAEAEA"/>
          </w:tcPr>
          <w:p>
            <w:pPr>
              <w:keepNext/>
              <w:spacing w:line="252" w:lineRule="auto" w:after="40" w:before="40"/>
              <w:jc w:val="center"/>
            </w:pPr>
            <w:r>
              <w:rPr>
                <w:b/>
                <w:sz w:val="19"/>
              </w:rPr>
              <w:t>Block AUC</w:t>
            </w:r>
          </w:p>
        </w:tc>
        <w:tc>
          <w:tcPr>
            <w:tcW w:type="dxa" w:w="2016"/>
            <w:vAlign w:val="center"/>
            <w:tcMar>
              <w:top w:w="65" w:type="dxa"/>
              <w:bottom w:w="65" w:type="dxa"/>
              <w:left w:w="65" w:type="dxa"/>
              <w:right w:w="65" w:type="dxa"/>
            </w:tcMar>
            <w:shd w:fill="EAEAEA"/>
          </w:tcPr>
          <w:p>
            <w:pPr>
              <w:keepNext/>
              <w:spacing w:line="252" w:lineRule="auto" w:after="40" w:before="40"/>
              <w:jc w:val="center"/>
            </w:pPr>
            <w:r>
              <w:rPr>
                <w:b/>
                <w:sz w:val="19"/>
              </w:rPr>
              <w:t>Contribution to total AUC</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Pathology</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RD</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2,236</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15.75</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0.7030</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0.1108</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Pathology</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RD</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pCR</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1,001</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7.05</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0.3726</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0.0263</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Pathology</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7,568</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53.32</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0.8864</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0.4726</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Pathology</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pCR</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3,388</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23.87</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0.5815</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0.1388</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DLDA30</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13,244</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59.16</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0.8564</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0.5067</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DLDA30</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1,001</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4.47</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0.6274</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0.0281</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DLDA30</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RD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7,568</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33.81</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0.8864</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0.2997</w:t>
            </w:r>
          </w:p>
        </w:tc>
      </w:tr>
      <w:tr>
        <w:trPr>
          <w:cantSplit/>
        </w:trPr>
        <w:tc>
          <w:tcPr>
            <w:tcW w:type="dxa" w:w="1152"/>
            <w:vAlign w:val="center"/>
            <w:tcMar>
              <w:top w:w="65" w:type="dxa"/>
              <w:bottom w:w="65" w:type="dxa"/>
              <w:left w:w="65" w:type="dxa"/>
              <w:right w:w="65" w:type="dxa"/>
            </w:tcMar>
          </w:tcPr>
          <w:p>
            <w:pPr>
              <w:keepNext w:val="0"/>
              <w:spacing w:line="252" w:lineRule="auto" w:after="40" w:before="40"/>
              <w:jc w:val="left"/>
            </w:pPr>
            <w:r>
              <w:rPr>
                <w:sz w:val="19"/>
              </w:rPr>
              <w:t>DLDA30</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pCR</w:t>
            </w:r>
          </w:p>
        </w:tc>
        <w:tc>
          <w:tcPr>
            <w:tcW w:type="dxa" w:w="1512"/>
            <w:vAlign w:val="center"/>
            <w:tcMar>
              <w:top w:w="65" w:type="dxa"/>
              <w:bottom w:w="65" w:type="dxa"/>
              <w:left w:w="65" w:type="dxa"/>
              <w:right w:w="65" w:type="dxa"/>
            </w:tcMar>
          </w:tcPr>
          <w:p>
            <w:pPr>
              <w:keepNext w:val="0"/>
              <w:spacing w:line="252" w:lineRule="auto" w:after="40" w:before="40"/>
              <w:jc w:val="center"/>
            </w:pPr>
            <w:r>
              <w:rPr>
                <w:sz w:val="19"/>
              </w:rPr>
              <w:t>pCR / RD</w:t>
            </w:r>
          </w:p>
        </w:tc>
        <w:tc>
          <w:tcPr>
            <w:tcW w:type="dxa" w:w="936"/>
            <w:vAlign w:val="center"/>
            <w:tcMar>
              <w:top w:w="65" w:type="dxa"/>
              <w:bottom w:w="65" w:type="dxa"/>
              <w:left w:w="65" w:type="dxa"/>
              <w:right w:w="65" w:type="dxa"/>
            </w:tcMar>
          </w:tcPr>
          <w:p>
            <w:pPr>
              <w:keepNext w:val="0"/>
              <w:spacing w:line="252" w:lineRule="auto" w:after="40" w:before="40"/>
              <w:jc w:val="center"/>
            </w:pPr>
            <w:r>
              <w:rPr>
                <w:sz w:val="19"/>
              </w:rPr>
              <w:t>572</w:t>
            </w:r>
          </w:p>
        </w:tc>
        <w:tc>
          <w:tcPr>
            <w:tcW w:type="dxa" w:w="1728"/>
            <w:vAlign w:val="center"/>
            <w:tcMar>
              <w:top w:w="65" w:type="dxa"/>
              <w:bottom w:w="65" w:type="dxa"/>
              <w:left w:w="65" w:type="dxa"/>
              <w:right w:w="65" w:type="dxa"/>
            </w:tcMar>
          </w:tcPr>
          <w:p>
            <w:pPr>
              <w:keepNext w:val="0"/>
              <w:spacing w:line="252" w:lineRule="auto" w:after="40" w:before="40"/>
              <w:jc w:val="center"/>
            </w:pPr>
            <w:r>
              <w:rPr>
                <w:sz w:val="19"/>
              </w:rPr>
              <w:t>2.56</w:t>
            </w:r>
          </w:p>
        </w:tc>
        <w:tc>
          <w:tcPr>
            <w:tcW w:type="dxa" w:w="1224"/>
            <w:vAlign w:val="center"/>
            <w:tcMar>
              <w:top w:w="65" w:type="dxa"/>
              <w:bottom w:w="65" w:type="dxa"/>
              <w:left w:w="65" w:type="dxa"/>
              <w:right w:w="65" w:type="dxa"/>
            </w:tcMar>
          </w:tcPr>
          <w:p>
            <w:pPr>
              <w:keepNext w:val="0"/>
              <w:spacing w:line="252" w:lineRule="auto" w:after="40" w:before="40"/>
              <w:jc w:val="center"/>
            </w:pPr>
            <w:r>
              <w:rPr>
                <w:sz w:val="19"/>
              </w:rPr>
              <w:t>0.6783</w:t>
            </w:r>
          </w:p>
        </w:tc>
        <w:tc>
          <w:tcPr>
            <w:tcW w:type="dxa" w:w="2016"/>
            <w:vAlign w:val="center"/>
            <w:tcMar>
              <w:top w:w="65" w:type="dxa"/>
              <w:bottom w:w="65" w:type="dxa"/>
              <w:left w:w="65" w:type="dxa"/>
              <w:right w:w="65" w:type="dxa"/>
            </w:tcMar>
          </w:tcPr>
          <w:p>
            <w:pPr>
              <w:keepNext w:val="0"/>
              <w:spacing w:line="252" w:lineRule="auto" w:after="40" w:before="40"/>
              <w:jc w:val="center"/>
            </w:pPr>
            <w:r>
              <w:rPr>
                <w:sz w:val="19"/>
              </w:rPr>
              <w:t>0.0173</w:t>
            </w:r>
          </w:p>
        </w:tc>
      </w:tr>
    </w:tbl>
    <w:p>
      <w:pPr>
        <w:spacing w:after="60" w:line="240" w:lineRule="auto"/>
      </w:pPr>
      <w:r>
        <w:rPr>
          <w:sz w:val="6"/>
        </w:rPr>
      </w:r>
    </w:p>
    <w:p>
      <w:r>
        <w:t xml:space="preserve">Y denotes observed pathology and Z the DLDA30 label; each pair contains two distinct patients. A contribution is the block AUC times the block's share of the target's positive–negative pairs; unrounded contributions sum to the full AUCs (0.748468 for pathology, 0.851731 for DLDA30 labels). The 13,816 same-pathology pairs are 61.72% of the 22,385 pairs formed by DLDA30 labels, a share of pairs, not of a causal effect.</w:t>
      </w:r>
    </w:p>
    <w:p>
      <w:r>
        <w:t xml:space="preserve">Exact expectations agreed between the rank-sum and pair-membership calculations, and all 50,000 permutations kept their stratum counts, total DLDA30-positive labels and 90 disagreements. Original conditional AUCs agreed with the later weighted implementation. Fourteen conditional AUCs on the original data and 70 from selected bootstrap draws (using physically duplicated rows) were checked with scikit-learn or direct pair enumeration, and 25 resampled reference expectations with pair-membership probabilities; the largest discrepancy was 3.33 × 10⁻¹⁶. Percentiles were recalculated separately from saved draws; frozen input hashes and both original result files were unchanged.</w:t>
      </w:r>
    </w:p>
    <w:p>
      <w:r>
        <w:t xml:space="preserve">Per-stratum counts, permutation draws, patient bootstrap draws and conditional estimates are archived in the </w:t>
      </w:r>
      <w:r>
        <w:rPr>
          <w:rFonts w:ascii="Consolas" w:hAnsi="Consolas"/>
          <w:sz w:val="20"/>
        </w:rPr>
        <w:t>results/extension/proxy_alignment_*</w:t>
      </w:r>
      <w:r>
        <w:t xml:space="preserve"> and </w:t>
      </w:r>
      <w:r>
        <w:rPr>
          <w:rFonts w:ascii="Consolas" w:hAnsi="Consolas"/>
          <w:sz w:val="20"/>
        </w:rPr>
        <w:t>results/extension/proxy_background_*</w:t>
      </w:r>
      <w:r>
        <w:t xml:space="preserve"> files. These analyses show where the agreement lies within recorded label and subtype groups; they do not identify its cause.</w:t>
      </w:r>
    </w:p>
    <w:p>
      <w:pPr>
        <w:pStyle w:val="Heading1"/>
      </w:pPr>
      <w:r>
        <w:t>Paired comparison with a released biological signature</w:t>
      </w:r>
    </w:p>
    <w:p>
      <w:r>
        <w:t xml:space="preserve">After the DIPK results and published SYLVER findings were known, we found patient-level SLM-HRD scores in Source Data Figure 4, sheet g, Hatzis 1 [13]. The plan, recorded before any new AUC, average precision or score contrast was calculated, covered every identifiable eligible patient, both targets and both recruitment-source sensitivity analyses. The comparison is exploratory: no SYLVER method was run, and no signature was selected or fitted using these outcomes.</w:t>
      </w:r>
    </w:p>
    <w:p>
      <w:r>
        <w:t xml:space="preserve">The source workbook lists 306 Hatzis 1 records in cells A3:D308, each with a sample identifier, unchanged SLM-HRD score, published pCR/RD group and hormone-receptor status. Removing only the initial </w:t>
      </w:r>
      <w:r>
        <w:rPr>
          <w:rFonts w:ascii="Consolas" w:hAnsi="Consolas"/>
          <w:sz w:val="20"/>
        </w:rPr>
        <w:t>H.</w:t>
      </w:r>
      <w:r>
        <w:t xml:space="preserve"> yields exact matches to GEO's unique </w:t>
      </w:r>
      <w:r>
        <w:rPr>
          <w:rFonts w:ascii="Consolas" w:hAnsi="Consolas"/>
          <w:sz w:val="20"/>
        </w:rPr>
        <w:t>sample id</w:t>
      </w:r>
      <w:r>
        <w:t xml:space="preserve"> and </w:t>
      </w:r>
      <w:r>
        <w:rPr>
          <w:rFonts w:ascii="Consolas" w:hAnsi="Consolas"/>
          <w:sz w:val="20"/>
        </w:rPr>
        <w:t>title</w:t>
      </w:r>
      <w:r>
        <w:t xml:space="preserve"> fields, including identifiers with letters or underscores; GSM accessions then link the frozen DIPK predictions. No match used row order, score or outcome. The article identifies Hatzis 1 as GSE25055, but the code archive covers only SYLVER steps 2 and 3 and does not show how the </w:t>
      </w:r>
      <w:r>
        <w:rPr>
          <w:rFonts w:ascii="Consolas" w:hAnsi="Consolas"/>
          <w:sz w:val="20"/>
        </w:rPr>
        <w:t>H.</w:t>
      </w:r>
      <w:r>
        <w:t xml:space="preserve"> prefix was added. The GSM links therefore rest on this identifier rule, not on a crosswalk supplied by the authors.</w:t>
      </w:r>
    </w:p>
    <w:p>
      <w:r>
        <w:t xml:space="preserve">All 306 source identifiers were unique and matched, and all 306 published labels agreed with GEO pathology (57 pCR, 249 RD); 90 differed from DLDA30 labels. The four remaining GEO records, GSM615105 (1035), GSM615118 (1064), GSM615119 (1067) and GSM615163 (1205), have unknown pathology; nothing was imputed for them. Higher SLM-HRD scores indicate response in the source study, as do higher DIPK scores (negative saved log IC50). Scoring SLM-HRD against DLDA30 labels is a counterfactual comparison, not an error in its published evaluation.</w:t>
      </w:r>
    </w:p>
    <w:p>
      <w:r>
        <w:t xml:space="preserve">AUC and average precision use the same 306 patients under both targets. Each of 5,000 draws (NumPy default_rng, seed 202609303) resamples patients once for both scores, both labels and every contrast. The primary contrast is the DIPK-minus-SLM-HRD AUC difference against DLDA30 labels minus that against observed pathology. Percentile 95% intervals treat both released scores as fixed. Within-source AUCs use the MDACC and I-SPY patients in the same draws. None of the 36 reported metric and contrast distributions had an undefined draw.</w:t>
      </w:r>
    </w:p>
    <w:p>
      <w:r>
        <w:t xml:space="preserve">All DIPK-minus-SLM-HRD differences, and the change in that difference between targets, have intervals including zero. AUC point estimates slightly favor SLM-HRD under both targets; average-precision point estimates favor different scores under the two targets, but neither difference is resolved, and both depend on the change from 57 to 121 positive labels. Neither superiority nor equivalence is shown. The primary DIPK analysis keeps its 2,000-draw intervals; this comparison uses its own 5,000 shared draws.</w:t>
      </w:r>
    </w:p>
    <w:p>
      <w:r>
        <w:t xml:space="preserve">Our AUC and average-precision calculations were checked against scikit-learn, direct positive–negative pair enumeration for every point AUC and explicit duplicated-patient calculations for five selected bootstrap draws. All 108 comparisons agreed within 2.3 × </w:t>
      </w:r>
      <w:r>
        <w:t>10</w:t>
      </w:r>
      <w:r>
        <w:rPr>
          <w:vertAlign w:val="superscript"/>
        </w:rPr>
        <w:t>−16</w:t>
      </w:r>
      <w:r>
        <w:t xml:space="preserve">. All input hashes, including the frozen DIPK inputs, were unchanged. The 94,840-byte publisher workbook has SHA256 </w:t>
      </w:r>
      <w:r>
        <w:rPr>
          <w:rFonts w:ascii="Consolas" w:hAnsi="Consolas"/>
          <w:sz w:val="20"/>
        </w:rPr>
        <w:t>63484d3a3e9f0b7f31e9d8183775b4cd7100520804c7711b1228e1b2bc89868f</w:t>
      </w:r>
      <w:r>
        <w:t xml:space="preserve">. Complete mappings, draws and estimates are archived with the plan. The checks verify recalculation from the released scores, not how those scores were generated.</w:t>
      </w:r>
    </w:p>
    <w:p>
      <w:pPr>
        <w:pStyle w:val="Heading1"/>
      </w:pPr>
      <w:r>
        <w:t>Table S17. Paired released-score comparison on all 306 patients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579"/>
        <w:gridCol w:w="3250"/>
        <w:gridCol w:w="3250"/>
      </w:tblGrid>
      <w:tr>
        <w:trPr>
          <w:cantSplit/>
          <w:tblHeader/>
        </w:trPr>
        <w:tc>
          <w:tcPr>
            <w:tcW w:type="dxa" w:w="3579"/>
            <w:vAlign w:val="center"/>
            <w:tcMar>
              <w:top w:w="65" w:type="dxa"/>
              <w:bottom w:w="65" w:type="dxa"/>
              <w:left w:w="65" w:type="dxa"/>
              <w:right w:w="65" w:type="dxa"/>
            </w:tcMar>
            <w:shd w:fill="EAEAEA"/>
          </w:tcPr>
          <w:p>
            <w:pPr>
              <w:keepNext/>
              <w:spacing w:line="252" w:lineRule="auto" w:after="40" w:before="40"/>
              <w:jc w:val="left"/>
            </w:pPr>
            <w:r>
              <w:rPr>
                <w:b/>
                <w:sz w:val="19"/>
              </w:rPr>
              <w:t>Quantity</w:t>
            </w:r>
          </w:p>
        </w:tc>
        <w:tc>
          <w:tcPr>
            <w:tcW w:type="dxa" w:w="3250"/>
            <w:vAlign w:val="center"/>
            <w:tcMar>
              <w:top w:w="65" w:type="dxa"/>
              <w:bottom w:w="65" w:type="dxa"/>
              <w:left w:w="65" w:type="dxa"/>
              <w:right w:w="65" w:type="dxa"/>
            </w:tcMar>
            <w:shd w:fill="EAEAEA"/>
          </w:tcPr>
          <w:p>
            <w:pPr>
              <w:keepNext/>
              <w:spacing w:line="252" w:lineRule="auto" w:after="40" w:before="40"/>
              <w:jc w:val="center"/>
            </w:pPr>
            <w:r>
              <w:rPr>
                <w:b/>
                <w:sz w:val="19"/>
              </w:rPr>
              <w:t>AUC estimate (95% interval)</w:t>
            </w:r>
          </w:p>
        </w:tc>
        <w:tc>
          <w:tcPr>
            <w:tcW w:type="dxa" w:w="3250"/>
            <w:vAlign w:val="center"/>
            <w:tcMar>
              <w:top w:w="65" w:type="dxa"/>
              <w:bottom w:w="65" w:type="dxa"/>
              <w:left w:w="65" w:type="dxa"/>
              <w:right w:w="65" w:type="dxa"/>
            </w:tcMar>
            <w:shd w:fill="EAEAEA"/>
          </w:tcPr>
          <w:p>
            <w:pPr>
              <w:keepNext/>
              <w:spacing w:line="252" w:lineRule="auto" w:after="40" w:before="40"/>
              <w:jc w:val="left"/>
            </w:pPr>
            <w:r>
              <w:rPr>
                <w:b/>
                <w:sz w:val="19"/>
              </w:rPr>
              <w:t>Average precision estimate (95% interval)</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DIPK, observed pathology</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0.748 (0.675 to 0.818)</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0.468 (0.347 to 0.602)</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SLM-HRD, observed pathology</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0.758 (0.683 to 0.826)</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0.430 (0.319 to 0.581)</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DIPK, DLDA30 target</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0.852 (0.807 to 0.892)</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0.798 (0.726 to 0.864)</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SLM-HRD, DLDA30 target</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0.854 (0.811 to 0.894)</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0.800 (0.728 to 0.864)</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DIPK, pathology minus DLDA30</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−0.103 (−0.179 to −0.029)</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−0.330 (−0.464 to −0.188)</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SLM-HRD, pathology minus DLDA30</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−0.097 (−0.177 to −0.021)</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−0.370 (−0.494 to −0.208)</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DIPK minus SLM-HRD, pathology</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−0.009 (−0.071 to 0.055)</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0.038 (−0.083 to 0.145)</w:t>
            </w:r>
          </w:p>
        </w:tc>
      </w:tr>
      <w:tr>
        <w:trPr>
          <w:cantSplit/>
        </w:trPr>
        <w:tc>
          <w:tcPr>
            <w:tcW w:type="dxa" w:w="3579"/>
            <w:vAlign w:val="center"/>
            <w:tcMar>
              <w:top w:w="65" w:type="dxa"/>
              <w:bottom w:w="65" w:type="dxa"/>
              <w:left w:w="65" w:type="dxa"/>
              <w:right w:w="65" w:type="dxa"/>
            </w:tcMar>
          </w:tcPr>
          <w:p>
            <w:pPr>
              <w:keepNext/>
              <w:spacing w:line="252" w:lineRule="auto" w:after="40" w:before="40"/>
              <w:jc w:val="left"/>
            </w:pPr>
            <w:r>
              <w:rPr>
                <w:sz w:val="19"/>
              </w:rPr>
              <w:t>DIPK minus SLM-HRD, DLDA30</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−0.003 (−0.046 to 0.040)</w:t>
            </w:r>
          </w:p>
        </w:tc>
        <w:tc>
          <w:tcPr>
            <w:tcW w:type="dxa" w:w="3250"/>
            <w:vAlign w:val="center"/>
            <w:tcMar>
              <w:top w:w="65" w:type="dxa"/>
              <w:bottom w:w="65" w:type="dxa"/>
              <w:left w:w="65" w:type="dxa"/>
              <w:right w:w="65" w:type="dxa"/>
            </w:tcMar>
          </w:tcPr>
          <w:p>
            <w:pPr>
              <w:keepNext/>
              <w:spacing w:line="252" w:lineRule="auto" w:after="40" w:before="40"/>
              <w:jc w:val="center"/>
            </w:pPr>
            <w:r>
              <w:rPr>
                <w:sz w:val="19"/>
              </w:rPr>
              <w:t>−0.002 (−0.060 to 0.053)</w:t>
            </w:r>
          </w:p>
        </w:tc>
      </w:tr>
      <w:tr>
        <w:trPr>
          <w:cantSplit/>
        </w:trPr>
        <w:tc>
          <w:tcPr>
            <w:tcW w:type="dxa" w:w="3579"/>
            <w:vAlign w:val="center"/>
            <w:tcMar>
              <w:top w:w="65" w:type="dxa"/>
              <w:bottom w:w="65" w:type="dxa"/>
              <w:left w:w="65" w:type="dxa"/>
              <w:right w:w="65" w:type="dxa"/>
            </w:tcMar>
          </w:tcPr>
          <w:p>
            <w:pPr>
              <w:keepNext w:val="0"/>
              <w:spacing w:line="252" w:lineRule="auto" w:after="40" w:before="40"/>
              <w:jc w:val="left"/>
            </w:pPr>
            <w:r>
              <w:rPr>
                <w:sz w:val="19"/>
              </w:rPr>
              <w:t xml:space="preserve">DIPK minus SLM-HRD: DLDA30 minus pathology</w:t>
            </w:r>
          </w:p>
        </w:tc>
        <w:tc>
          <w:tcPr>
            <w:tcW w:type="dxa" w:w="3250"/>
            <w:vAlign w:val="center"/>
            <w:tcMar>
              <w:top w:w="65" w:type="dxa"/>
              <w:bottom w:w="65" w:type="dxa"/>
              <w:left w:w="65" w:type="dxa"/>
              <w:right w:w="65" w:type="dxa"/>
            </w:tcMar>
          </w:tcPr>
          <w:p>
            <w:pPr>
              <w:keepNext w:val="0"/>
              <w:spacing w:line="252" w:lineRule="auto" w:after="40" w:before="40"/>
              <w:jc w:val="center"/>
            </w:pPr>
            <w:r>
              <w:rPr>
                <w:sz w:val="19"/>
              </w:rPr>
              <w:t>0.007 (−0.060 to 0.068)</w:t>
            </w:r>
          </w:p>
        </w:tc>
        <w:tc>
          <w:tcPr>
            <w:tcW w:type="dxa" w:w="3250"/>
            <w:vAlign w:val="center"/>
            <w:tcMar>
              <w:top w:w="65" w:type="dxa"/>
              <w:bottom w:w="65" w:type="dxa"/>
              <w:left w:w="65" w:type="dxa"/>
              <w:right w:w="65" w:type="dxa"/>
            </w:tcMar>
          </w:tcPr>
          <w:p>
            <w:pPr>
              <w:keepNext w:val="0"/>
              <w:spacing w:line="252" w:lineRule="auto" w:after="40" w:before="40"/>
              <w:jc w:val="center"/>
            </w:pPr>
            <w:r>
              <w:rPr>
                <w:sz w:val="19"/>
              </w:rPr>
              <w:t>−0.040 (−0.153 to 0.092)</w:t>
            </w:r>
          </w:p>
        </w:tc>
      </w:tr>
    </w:tbl>
    <w:p>
      <w:pPr>
        <w:spacing w:after="60" w:line="240" w:lineRule="auto"/>
      </w:pPr>
      <w:r>
        <w:rPr>
          <w:sz w:val="6"/>
        </w:rPr>
      </w:r>
    </w:p>
    <w:p>
      <w:r>
        <w:t xml:space="preserve">Observed pCR prevalence is 57/306 (18.6%); DLDA30-positive prevalence is 121/306 (39.5%). SLM-HRD source labels match observed pathology. Intervals use 5,000 shared patient draws with both scores held fixed.</w:t>
      </w:r>
    </w:p>
    <w:p>
      <w:pPr>
        <w:pStyle w:val="Heading1"/>
      </w:pPr>
      <w:r>
        <w:t>Table S18. The same AUC comparison within recruitment sources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10"/>
        <w:gridCol w:w="3192"/>
        <w:gridCol w:w="3278"/>
      </w:tblGrid>
      <w:tr>
        <w:trPr>
          <w:cantSplit/>
          <w:tblHeader/>
        </w:trPr>
        <w:tc>
          <w:tcPr>
            <w:tcW w:type="dxa" w:w="3610"/>
            <w:vAlign w:val="center"/>
            <w:tcMar>
              <w:top w:w="65" w:type="dxa"/>
              <w:bottom w:w="65" w:type="dxa"/>
              <w:left w:w="65" w:type="dxa"/>
              <w:right w:w="65" w:type="dxa"/>
            </w:tcMar>
            <w:shd w:fill="EAEAEA"/>
          </w:tcPr>
          <w:p>
            <w:pPr>
              <w:keepNext/>
              <w:spacing w:line="252" w:lineRule="auto" w:after="40" w:before="40"/>
              <w:jc w:val="left"/>
            </w:pPr>
            <w:r>
              <w:rPr>
                <w:b/>
                <w:sz w:val="19"/>
              </w:rPr>
              <w:t>Quantity</w:t>
            </w:r>
          </w:p>
        </w:tc>
        <w:tc>
          <w:tcPr>
            <w:tcW w:type="dxa" w:w="3192"/>
            <w:vAlign w:val="center"/>
            <w:tcMar>
              <w:top w:w="65" w:type="dxa"/>
              <w:bottom w:w="65" w:type="dxa"/>
              <w:left w:w="65" w:type="dxa"/>
              <w:right w:w="65" w:type="dxa"/>
            </w:tcMar>
            <w:shd w:fill="EAEAEA"/>
          </w:tcPr>
          <w:p>
            <w:pPr>
              <w:keepNext/>
              <w:spacing w:line="252" w:lineRule="auto" w:after="40" w:before="40"/>
              <w:jc w:val="center"/>
            </w:pPr>
            <w:r>
              <w:rPr>
                <w:b/>
                <w:sz w:val="19"/>
              </w:rPr>
              <w:t>MDACC: 227 patients (95% interval)</w:t>
            </w:r>
          </w:p>
        </w:tc>
        <w:tc>
          <w:tcPr>
            <w:tcW w:type="dxa" w:w="3278"/>
            <w:vAlign w:val="center"/>
            <w:tcMar>
              <w:top w:w="65" w:type="dxa"/>
              <w:bottom w:w="65" w:type="dxa"/>
              <w:left w:w="65" w:type="dxa"/>
              <w:right w:w="65" w:type="dxa"/>
            </w:tcMar>
            <w:shd w:fill="EAEAEA"/>
          </w:tcPr>
          <w:p>
            <w:pPr>
              <w:keepNext/>
              <w:spacing w:line="252" w:lineRule="auto" w:after="40" w:before="40"/>
              <w:jc w:val="center"/>
            </w:pPr>
            <w:r>
              <w:rPr>
                <w:b/>
                <w:sz w:val="19"/>
              </w:rPr>
              <w:t>I-SPY: 79 patients (95% interval)</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DIPK, observed pathology</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0.771 (0.691 to 0.848)</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0.668 (0.484 to 0.832)</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SLM-HRD, observed pathology</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0.779 (0.693 to 0.859)</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0.697 (0.532 to 0.840)</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DIPK, DLDA30 target</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0.847 (0.793 to 0.895)</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0.873 (0.785 to 0.943)</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SLM-HRD, DLDA30 target</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0.850 (0.798 to 0.897)</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0.882 (0.797 to 0.954)</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DIPK, pathology minus DLDA30</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−0.076 (−0.159 to 0.004)</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−0.204 (−0.401 to −0.027)</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SLM-HRD, pathology minus DLDA30</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−0.071 (−0.162 to 0.016)</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−0.186 (−0.378 to −0.011)</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DIPK minus SLM-HRD, pathology</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−0.008 (−0.088 to 0.072)</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−0.029 (−0.131 to 0.067)</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DIPK minus SLM-HRD, DLDA30</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−0.003 (−0.057 to 0.050)</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−0.010 (−0.074 to 0.052)</w:t>
            </w:r>
          </w:p>
        </w:tc>
      </w:tr>
      <w:tr>
        <w:trPr>
          <w:cantSplit/>
        </w:trPr>
        <w:tc>
          <w:tcPr>
            <w:tcW w:type="dxa" w:w="3610"/>
            <w:vAlign w:val="center"/>
            <w:tcMar>
              <w:top w:w="65" w:type="dxa"/>
              <w:bottom w:w="65" w:type="dxa"/>
              <w:left w:w="65" w:type="dxa"/>
              <w:right w:w="65" w:type="dxa"/>
            </w:tcMar>
          </w:tcPr>
          <w:p>
            <w:pPr>
              <w:keepNext w:val="0"/>
              <w:spacing w:line="252" w:lineRule="auto" w:after="40" w:before="40"/>
              <w:jc w:val="left"/>
            </w:pPr>
            <w:r>
              <w:rPr>
                <w:sz w:val="19"/>
              </w:rPr>
              <w:t xml:space="preserve">DIPK minus SLM-HRD: DLDA30 minus pathology</w:t>
            </w:r>
          </w:p>
        </w:tc>
        <w:tc>
          <w:tcPr>
            <w:tcW w:type="dxa" w:w="3192"/>
            <w:vAlign w:val="center"/>
            <w:tcMar>
              <w:top w:w="65" w:type="dxa"/>
              <w:bottom w:w="65" w:type="dxa"/>
              <w:left w:w="65" w:type="dxa"/>
              <w:right w:w="65" w:type="dxa"/>
            </w:tcMar>
          </w:tcPr>
          <w:p>
            <w:pPr>
              <w:keepNext w:val="0"/>
              <w:spacing w:line="252" w:lineRule="auto" w:after="40" w:before="40"/>
              <w:jc w:val="center"/>
            </w:pPr>
            <w:r>
              <w:rPr>
                <w:sz w:val="19"/>
              </w:rPr>
              <w:t>0.005 (−0.075 to 0.082)</w:t>
            </w:r>
          </w:p>
        </w:tc>
        <w:tc>
          <w:tcPr>
            <w:tcW w:type="dxa" w:w="3278"/>
            <w:vAlign w:val="center"/>
            <w:tcMar>
              <w:top w:w="65" w:type="dxa"/>
              <w:bottom w:w="65" w:type="dxa"/>
              <w:left w:w="65" w:type="dxa"/>
              <w:right w:w="65" w:type="dxa"/>
            </w:tcMar>
          </w:tcPr>
          <w:p>
            <w:pPr>
              <w:keepNext w:val="0"/>
              <w:spacing w:line="252" w:lineRule="auto" w:after="40" w:before="40"/>
              <w:jc w:val="center"/>
            </w:pPr>
            <w:r>
              <w:rPr>
                <w:sz w:val="19"/>
              </w:rPr>
              <w:t>0.019 (−0.075 to 0.117)</w:t>
            </w:r>
          </w:p>
        </w:tc>
      </w:tr>
    </w:tbl>
    <w:p>
      <w:pPr>
        <w:spacing w:after="60" w:line="240" w:lineRule="auto"/>
      </w:pPr>
      <w:r>
        <w:rPr>
          <w:sz w:val="6"/>
        </w:rPr>
      </w:r>
    </w:p>
    <w:p>
      <w:r>
        <w:t xml:space="preserve">MDACC has 43 observed pCR and 87 DLDA30-positive patients, with 62 label disagreements; I-SPY has 14 observed pCR and 34 DLDA30-positive patients, with 28 disagreements. Intervals come from the full-cohort draws of Table S17, not the within-source draws of Table S11. No DIPK-minus-SLM-HRD difference, or change in that difference between targets, is resolved within either source.</w:t>
      </w:r>
    </w:p>
    <w:p>
      <w:pPr>
        <w:pStyle w:val="Heading1"/>
      </w:pPr>
      <w:r>
        <w:t xml:space="preserve">SLM-HRD under both targets in a separate cohort</w:t>
      </w:r>
    </w:p>
    <w:p>
      <w:r>
        <w:t xml:space="preserve">After the GSE25055 comparison was known, the same workbook supplied 181 Hatzis 2 scores in sheet g, cells F3:I183 [13]; the plan was recorded before GSE25065 score effects were calculated. After removal of H., all source identifiers matched unique GEO sample IDs and titles. Labels, scores and receptor entries were used as published; receptor entries, including a literal missing-value entry, were not used for selection or analysis. Of 198 GEO records, 16 had unknown pathology, and one known-RD patient, GSM615791 (PERU16-18), had no score in the source release, for an unknown reason (not an exclusion made here).</w:t>
      </w:r>
    </w:p>
    <w:p>
      <w:r>
        <w:t xml:space="preserve">The source study describes GSE25065 as its validation cohort [8]. It shares no accession or raw filename with GSE25055. Among MDACC identifiers, removing a leading M followed only by digits found no matching patient identifier in GSE25055 or GSE20194, and no raw filename matched GSE20194. Bare numbers were never matched across recruitment sources. These checks are not exhaustive and do not compare expression profiles. RPS Table S3 [4] flags 28 scored records as redundant across five studies without naming partner samples, so a sensitivity analysis excluding all 28 was specified before score effects were calculated. Treatments and source sites vary; no uniform-regimen subgroup was defined.</w:t>
      </w:r>
    </w:p>
    <w:p>
      <w:r>
        <w:t xml:space="preserve">The primary comparison used all 181 scores unchanged, with the score direction fixed by the source study. Observed pathology had 42 pCR and 139 RD, and DLDA30 labels had 69 pCR and 112 RD (65 disagreements); the reduced set had 153 patients, 36 observed pCR, 59 DLDA30 pCR and 55 disagreements. In each of 5,000 full-cohort patient draws (NumPy default_rng, seed 202609304), the same resampled patients supplied both targets, their differences and the reduced set; all 12 metric distributions had 5,000 defined draws. The full and reduced sets overlap and are not independent replications.</w:t>
      </w:r>
    </w:p>
    <w:p>
      <w:pPr>
        <w:pStyle w:val="Heading1"/>
      </w:pPr>
      <w:r>
        <w:t>Table S19. SLM-HRD target comparison in GSE25065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598"/>
        <w:gridCol w:w="3149"/>
        <w:gridCol w:w="3333"/>
      </w:tblGrid>
      <w:tr>
        <w:trPr>
          <w:cantSplit/>
          <w:tblHeader/>
        </w:trPr>
        <w:tc>
          <w:tcPr>
            <w:tcW w:type="dxa" w:w="3598"/>
            <w:vAlign w:val="center"/>
            <w:tcMar>
              <w:top w:w="65" w:type="dxa"/>
              <w:bottom w:w="65" w:type="dxa"/>
              <w:left w:w="65" w:type="dxa"/>
              <w:right w:w="65" w:type="dxa"/>
            </w:tcMar>
            <w:shd w:fill="EAEAEA"/>
          </w:tcPr>
          <w:p>
            <w:pPr>
              <w:keepNext/>
              <w:spacing w:line="252" w:lineRule="auto" w:after="40" w:before="40"/>
              <w:jc w:val="left"/>
            </w:pPr>
            <w:r>
              <w:rPr>
                <w:b/>
                <w:sz w:val="19"/>
              </w:rPr>
              <w:t>Quantity</w:t>
            </w:r>
          </w:p>
        </w:tc>
        <w:tc>
          <w:tcPr>
            <w:tcW w:type="dxa" w:w="3149"/>
            <w:vAlign w:val="center"/>
            <w:tcMar>
              <w:top w:w="65" w:type="dxa"/>
              <w:bottom w:w="65" w:type="dxa"/>
              <w:left w:w="65" w:type="dxa"/>
              <w:right w:w="65" w:type="dxa"/>
            </w:tcMar>
            <w:shd w:fill="EAEAEA"/>
          </w:tcPr>
          <w:p>
            <w:pPr>
              <w:keepNext/>
              <w:spacing w:line="252" w:lineRule="auto" w:after="40" w:before="40"/>
              <w:jc w:val="center"/>
            </w:pPr>
            <w:r>
              <w:rPr>
                <w:b/>
                <w:sz w:val="19"/>
              </w:rPr>
              <w:t>All 181 patients</w:t>
            </w:r>
          </w:p>
        </w:tc>
        <w:tc>
          <w:tcPr>
            <w:tcW w:type="dxa" w:w="3333"/>
            <w:vAlign w:val="center"/>
            <w:tcMar>
              <w:top w:w="65" w:type="dxa"/>
              <w:bottom w:w="65" w:type="dxa"/>
              <w:left w:w="65" w:type="dxa"/>
              <w:right w:w="65" w:type="dxa"/>
            </w:tcMar>
            <w:shd w:fill="EAEAEA"/>
          </w:tcPr>
          <w:p>
            <w:pPr>
              <w:keepNext/>
              <w:spacing w:line="252" w:lineRule="auto" w:after="40" w:before="40"/>
              <w:jc w:val="left"/>
            </w:pPr>
            <w:r>
              <w:rPr>
                <w:b/>
                <w:sz w:val="19"/>
              </w:rPr>
              <w:t>Excluding 28 RPS-flagged patients (n = 153)</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AUC, observed pathology</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0.748 (0.661 to 0.827)</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0.753 (0.660 to 0.835)</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AUC, DLDA30</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0.786 (0.714 to 0.853)</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0.817 (0.746 to 0.881)</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AUC, pathology minus DLDA30</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−0.039 (−0.145 to 0.067)</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−0.064 (−0.175 to 0.039)</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Average precision, observed pathology</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0.501 (0.360 to 0.644)</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0.508 (0.356 to 0.664)</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Average precision, DLDA30</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0.741 (0.638 to 0.833)</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0.787 (0.693 to 0.866)</w:t>
            </w:r>
          </w:p>
        </w:tc>
      </w:tr>
      <w:tr>
        <w:trPr>
          <w:cantSplit/>
        </w:trPr>
        <w:tc>
          <w:tcPr>
            <w:tcW w:type="dxa" w:w="3598"/>
            <w:vAlign w:val="center"/>
            <w:tcMar>
              <w:top w:w="65" w:type="dxa"/>
              <w:bottom w:w="65" w:type="dxa"/>
              <w:left w:w="65" w:type="dxa"/>
              <w:right w:w="65" w:type="dxa"/>
            </w:tcMar>
          </w:tcPr>
          <w:p>
            <w:pPr>
              <w:keepNext w:val="0"/>
              <w:spacing w:line="252" w:lineRule="auto" w:after="40" w:before="40"/>
              <w:jc w:val="left"/>
            </w:pPr>
            <w:r>
              <w:rPr>
                <w:sz w:val="19"/>
              </w:rPr>
              <w:t>Average precision, pathology minus DLDA30</w:t>
            </w:r>
          </w:p>
        </w:tc>
        <w:tc>
          <w:tcPr>
            <w:tcW w:type="dxa" w:w="3149"/>
            <w:vAlign w:val="center"/>
            <w:tcMar>
              <w:top w:w="65" w:type="dxa"/>
              <w:bottom w:w="65" w:type="dxa"/>
              <w:left w:w="65" w:type="dxa"/>
              <w:right w:w="65" w:type="dxa"/>
            </w:tcMar>
          </w:tcPr>
          <w:p>
            <w:pPr>
              <w:keepNext w:val="0"/>
              <w:spacing w:line="252" w:lineRule="auto" w:after="40" w:before="40"/>
              <w:jc w:val="center"/>
            </w:pPr>
            <w:r>
              <w:rPr>
                <w:sz w:val="19"/>
              </w:rPr>
              <w:t>−0.239 (−0.387 to −0.094)</w:t>
            </w:r>
          </w:p>
        </w:tc>
        <w:tc>
          <w:tcPr>
            <w:tcW w:type="dxa" w:w="3333"/>
            <w:vAlign w:val="center"/>
            <w:tcMar>
              <w:top w:w="65" w:type="dxa"/>
              <w:bottom w:w="65" w:type="dxa"/>
              <w:left w:w="65" w:type="dxa"/>
              <w:right w:w="65" w:type="dxa"/>
            </w:tcMar>
          </w:tcPr>
          <w:p>
            <w:pPr>
              <w:keepNext w:val="0"/>
              <w:spacing w:line="252" w:lineRule="auto" w:after="40" w:before="40"/>
              <w:jc w:val="center"/>
            </w:pPr>
            <w:r>
              <w:rPr>
                <w:sz w:val="19"/>
              </w:rPr>
              <w:t>−0.279 (−0.443 to −0.112)</w:t>
            </w:r>
          </w:p>
        </w:tc>
      </w:tr>
    </w:tbl>
    <w:p>
      <w:pPr>
        <w:spacing w:after="60" w:line="240" w:lineRule="auto"/>
      </w:pPr>
      <w:r>
        <w:rPr>
          <w:sz w:val="6"/>
        </w:rPr>
      </w:r>
    </w:p>
    <w:p>
      <w:r>
        <w:t xml:space="preserve">Values are estimates with percentile 95% patient-bootstrap intervals. Positive fractions under pathology and DLDA30 labels are 23.2% and 38.1% in the full set and 23.5% and 38.6% in the reduced set. Both AUC-difference intervals include zero, so GSE25065 neither confirms nor excludes the GSE25055 decrease. Average-precision differences also reflect the change in positive fraction.</w:t>
      </w:r>
    </w:p>
    <w:p>
      <w:r>
        <w:t xml:space="preserve">The patient without a released score is RD under both targets. Placing the missing score at each of the 363 possible positions among the 181 known scores, including ties, bounded the 182-patient AUC at 0.742177–0.749320 against pathology and 0.779274–0.788124 against DLDA30 labels, and their paired difference at −0.038974 to −0.036888, using the same inserted position for both targets. These are deterministic bounds given the known data, not confidence intervals or imputations; the missing score changes the point difference little and cannot explain its wide interval.</w:t>
      </w:r>
    </w:p>
    <w:p>
      <w:r>
        <w:t xml:space="preserve">Direct extraction from the workbook XML agreed exactly with all 181 score, label, identifier and receptor entries. AUCs from direct pair enumeration and scikit-learn metrics agreed within 3.4 × 10⁻¹⁶ on the original data and five explicitly replicated bootstrap draws.</w:t>
      </w:r>
    </w:p>
    <w:p>
      <w:pPr>
        <w:pStyle w:val="Heading1"/>
      </w:pPr>
      <w:r>
        <w:t>Related source-code and preprocessing checks</w:t>
      </w:r>
    </w:p>
    <w:p>
      <w:r>
        <w:t xml:space="preserve">VAEN's released GSE25055 evaluation script [5,14] selects </w:t>
      </w:r>
      <w:r>
        <w:rPr>
          <w:rFonts w:ascii="Consolas" w:hAnsi="Consolas"/>
          <w:sz w:val="20"/>
        </w:rPr>
        <w:t>characteristics_ch1.21</w:t>
      </w:r>
      <w:r>
        <w:t xml:space="preserve">, which is the DLDA30 field in the frozen GEO metadata. It converts </w:t>
      </w:r>
      <w:r>
        <w:rPr>
          <w:rFonts w:ascii="Consolas" w:hAnsi="Consolas"/>
          <w:sz w:val="20"/>
        </w:rPr>
        <w:t>dlda30_prediction: pCR</w:t>
      </w:r>
      <w:r>
        <w:t xml:space="preserve"> and </w:t>
      </w:r>
      <w:r>
        <w:rPr>
          <w:rFonts w:ascii="Consolas" w:hAnsi="Consolas"/>
          <w:sz w:val="20"/>
        </w:rPr>
        <w:t>dlda30_prediction: RD</w:t>
      </w:r>
      <w:r>
        <w:t xml:space="preserve"> into response-group labels. Running these renaming expressions and the factor conversion in R 4.5.2 gave 310 labels matching the DLDA30 field, 90 of which disagreed with the 306 known observed outcomes. Only labels were checked, with no VAEN prediction model or response test run; the saved labels and the input and source hashes were rechecked. VAEN's patient-level clinical predictions were not recovered, so its performance against observed pathology is unknown. VAEN was selected by a targeted search and shares GSE25055 patients with the DIPK analysis.</w:t>
      </w:r>
    </w:p>
    <w:p>
      <w:r>
        <w:t xml:space="preserve">DIPK's clinical scripts [15] quantile-normalize each cohort's expression matrix, summarize probes by their median for each gene symbol, align the genes to a selected gene list and set absent genes to zero. GSE25055 uses GPL96, whereas GSE32646 uses GPL570; their filtering code also differs. The inference code standardizes each sample's gene-expression vector, averages the BIONIC embeddings of up to 256 highly expressed genes from the selected list, and averages the predictions of five saved model/encoder pairs. Reading the code establishes these steps but not the software environment in which the archived predictions were made; all response analyses use the saved predictions.</w:t>
      </w:r>
    </w:p>
    <w:p>
      <w:pPr>
        <w:pStyle w:val="Heading1"/>
      </w:pPr>
      <w:r>
        <w:t xml:space="preserve">Rerunning DIPK before new-cohort inference</w:t>
      </w:r>
    </w:p>
    <w:p>
      <w:r>
        <w:t xml:space="preserve">We recovered the five Task5 model/encoder objects, BIONIC, molecular-graph and MolGNet features, selected gene list and GSE25055 expression dictionaries from the public author archive, checking each archive member's header, length and CRC and recording SHA256 hashes. The seven inference scripts were byte-identical to the inspected repository versions. We executed the unchanged </w:t>
      </w:r>
      <w:r>
        <w:rPr>
          <w:rFonts w:ascii="Consolas" w:hAnsi="Consolas"/>
          <w:sz w:val="20"/>
        </w:rPr>
        <w:t>test_geo01/Test.py</w:t>
      </w:r>
      <w:r>
        <w:t xml:space="preserve"> with the archived directory layout, mapping stored tensors to the device being tested. Weights, gene selection, batch size and ensemble membership were used as archived, without tuning.</w:t>
      </w:r>
    </w:p>
    <w:p>
      <w:r>
        <w:t xml:space="preserve">The reference check used all 310 GSE25055 records and a maximum absolute error threshold of </w:t>
      </w:r>
      <w:r>
        <w:t>10</w:t>
      </w:r>
      <w:r>
        <w:rPr>
          <w:vertAlign w:val="superscript"/>
        </w:rPr>
        <w:t>−4</w:t>
      </w:r>
      <w:r>
        <w:t xml:space="preserve"> log-IC50 units, recorded before execution. Python 3.12.14, PyTorch 2.8.0, PyTorch Geometric 2.7.0, NumPy 2.2.6 and joblib 1.5.2 were used in isolated environments. On CPU, the maximum error was 0.001263 and the root mean squared error 0.000552. After this discrepancy was observed, two GPU settings were tested on an NVIDIA GeForce RTX 5070 Ti with the same data and model objects: full float32 matrix multiplication gave the same errors as the CPU run (0.001263 and 0.000552), and allowing TensorFloat32 gave 0.000537 and 0.000179. PyTorch's documented precision defaults have changed across versions [16], but these runs neither identify the historical setting nor fully explain the discrepancy. All three runs exceeded the threshold, which was not relaxed; DIPK was therefore not applied to a new cohort, and no saved prediction was replaced in the response analyses.</w:t>
      </w:r>
    </w:p>
    <w:p>
      <w:pPr>
        <w:pStyle w:val="Heading1"/>
      </w:pPr>
      <w:r>
        <w:t xml:space="preserve">Targeted reanalysis of TIL-30 saved outputs and patient identities</w:t>
      </w:r>
    </w:p>
    <w:p>
      <w:r>
        <w:t xml:space="preserve">After the DIPK analyses and a targeted review of released clinical inputs, we examined the TIL-30 evaluation of Banerjee et al. [17]. The official repository was fixed at commit </w:t>
      </w:r>
      <w:r>
        <w:rPr>
          <w:rFonts w:ascii="Consolas" w:hAnsi="Consolas"/>
          <w:sz w:val="20"/>
        </w:rPr>
        <w:t>55cbe09820c7c679995630b65e682b1c98f4b869</w:t>
      </w:r>
      <w:r>
        <w:t xml:space="preserve">. We analyzed its saved classifier outputs for each external cohort. In the archived code, the 30 features and their standardization come from the 170-record training input, whereas the class-imbalance resampling method, classifier and hyperparameters are chosen separately for each external cohort. The article calls the resulting comparison its upper-bound comparison and states that these choices were based on training-set cross-validation. A configuration file records the chosen combination for each cohort, and the validation notebook computes and saves validation-set AUCs for every resampling–classifier combination in each external cohort. The code that made the per-cohort choices is not in the repository, so how they were selected could not be verified; this affects the reported performance level, not the outcome-label and patient-identity analyses below. The article's separate benchmark, which applies one fixed pipeline across signatures, was not recalculated. We specified this sequential exploratory analysis after learning of the input discrepancies and the published summary performance, but before calculating the new target effects.</w:t>
      </w:r>
    </w:p>
    <w:p>
      <w:r>
        <w:t xml:space="preserve">The source reference script loads the paired </w:t>
      </w:r>
      <w:r>
        <w:rPr>
          <w:rFonts w:ascii="Consolas" w:hAnsi="Consolas"/>
          <w:sz w:val="20"/>
        </w:rPr>
        <w:t>y_test</w:t>
      </w:r>
      <w:r>
        <w:t xml:space="preserve"> and </w:t>
      </w:r>
      <w:r>
        <w:rPr>
          <w:rFonts w:ascii="Consolas" w:hAnsi="Consolas"/>
          <w:sz w:val="20"/>
        </w:rPr>
        <w:t>y_probs</w:t>
      </w:r>
      <w:r>
        <w:t xml:space="preserve"> files for each evaluation. For GSE41998, the saved outcome Series is indexed by GSM accessions that exactly match the 122-row released input, and the source notebook keeps this row order through feature selection and standardization. For GSE20194, the saved probabilities carry no GSM identifiers; their integer indices 1–71 follow the unchanged input order, and the original label vector agrees at every index. Records were therefore linked by these indices and the source processing order, not by matching an AUC or sorting by outcome. Higher scores indicate pCR (coded 1; RD, 0) in the source training data. The GSE41998 external-validation code recodes input Labels 0 as 1 and 1 as 0, giving a target that matches AC complete response in all 122 records.</w:t>
      </w:r>
    </w:p>
    <w:p>
      <w:r>
        <w:t xml:space="preserve">The GSE41998 trial gave doxorubicin/cyclophosphamide (AC) before ixabepilone or paclitaxel [18]. Frozen GEO fields separately record </w:t>
      </w:r>
      <w:r>
        <w:rPr>
          <w:rFonts w:ascii="Consolas" w:hAnsi="Consolas"/>
          <w:sz w:val="20"/>
        </w:rPr>
        <w:t>ac response</w:t>
      </w:r>
      <w:r>
        <w:t xml:space="preserve"> and final </w:t>
      </w:r>
      <w:r>
        <w:rPr>
          <w:rFonts w:ascii="Consolas" w:hAnsi="Consolas"/>
          <w:sz w:val="20"/>
        </w:rPr>
        <w:t>pcr</w:t>
      </w:r>
      <w:r>
        <w:t xml:space="preserve">; we checked their values against both the processed metadata and original series-matrix header. Of the 24 records with AC complete response, 15 had final pCR and 9 did not; of the 98 with another AC response, 34 had final pCR and 64 did not. The two fields record response at different treatment stages. The separate </w:t>
      </w:r>
      <w:r>
        <w:rPr>
          <w:rFonts w:ascii="Consolas" w:hAnsi="Consolas"/>
          <w:sz w:val="20"/>
        </w:rPr>
        <w:t>pcrrcb1</w:t>
      </w:r>
      <w:r>
        <w:t xml:space="preserve"> field was not substituted for pCR. The article's Table 1 lists 125 records (51 pCR, 74 non-pCR), whereas its released input and saved vectors contain 122; the three additional records cannot be identified from these outputs, and the reason for the difference is unknown.</w:t>
      </w:r>
    </w:p>
    <w:p>
      <w:r>
        <w:t xml:space="preserve">The primary contrast is the AUC of the 122 unchanged scores against final pathology minus that against AC complete response. Percentile 95% intervals came from 5,000 record bootstrap draws, each using one resampled index vector for both targets, both metrics and their differences (NumPy default_rng, seed 202610011). Every draw contained both classes under both targets, so none was replaced. Average precision is secondary and is reported with both positive fractions. The original plan called these patient draws, but the sampling unit implemented was the record.</w:t>
      </w:r>
    </w:p>
    <w:p>
      <w:r>
        <w:t xml:space="preserve">A later check found that removing the terminal hyphen and integer from the 122 unique specimen names leaves 118 prefixes: A7347583 and A6432766 each occur three times, and the other 116 once. Within each set of three, age, sex, treatment arm, receptor annotations and both outcomes agree; GEO describes all samples as pretreatment. Before calculating its intervals, we specified a sensitivity analysis that resamples the 118 prefix groups with replacement, includes every record of a group as often as the group is drawn, and retains the original record-weighted point estimates (5,000 draws, seed 202610012); replicate scores were neither averaged nor selected. The source annotations support this grouping, but it is not a confirmed patient crosswalk, so the number of distinct patients is not established.</w:t>
      </w:r>
    </w:p>
    <w:p>
      <w:pPr>
        <w:pStyle w:val="Heading1"/>
      </w:pPr>
      <w:r>
        <w:t>Table S20. TIL-30 target comparison in the 122 released GSE41998 records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96"/>
        <w:gridCol w:w="1374"/>
        <w:gridCol w:w="2255"/>
        <w:gridCol w:w="2255"/>
      </w:tblGrid>
      <w:tr>
        <w:trPr>
          <w:cantSplit/>
          <w:tblHeader/>
        </w:trPr>
        <w:tc>
          <w:tcPr>
            <w:tcW w:type="dxa" w:w="4196"/>
            <w:vAlign w:val="center"/>
            <w:tcMar>
              <w:top w:w="65" w:type="dxa"/>
              <w:bottom w:w="65" w:type="dxa"/>
              <w:left w:w="65" w:type="dxa"/>
              <w:right w:w="65" w:type="dxa"/>
            </w:tcMar>
            <w:shd w:fill="EAEAEA"/>
          </w:tcPr>
          <w:p>
            <w:pPr>
              <w:keepNext/>
              <w:spacing w:line="252" w:lineRule="auto" w:after="40" w:before="40"/>
              <w:jc w:val="left"/>
            </w:pPr>
            <w:r>
              <w:rPr>
                <w:b/>
                <w:sz w:val="19"/>
              </w:rPr>
              <w:t>Quantity</w:t>
            </w:r>
          </w:p>
        </w:tc>
        <w:tc>
          <w:tcPr>
            <w:tcW w:type="dxa" w:w="1374"/>
            <w:vAlign w:val="center"/>
            <w:tcMar>
              <w:top w:w="65" w:type="dxa"/>
              <w:bottom w:w="65" w:type="dxa"/>
              <w:left w:w="65" w:type="dxa"/>
              <w:right w:w="65" w:type="dxa"/>
            </w:tcMar>
            <w:shd w:fill="EAEAEA"/>
          </w:tcPr>
          <w:p>
            <w:pPr>
              <w:keepNext/>
              <w:spacing w:line="252" w:lineRule="auto" w:after="40" w:before="40"/>
              <w:jc w:val="center"/>
            </w:pPr>
            <w:r>
              <w:rPr>
                <w:b/>
                <w:sz w:val="19"/>
              </w:rPr>
              <w:t>Estimate</w:t>
            </w:r>
          </w:p>
        </w:tc>
        <w:tc>
          <w:tcPr>
            <w:tcW w:type="dxa" w:w="2255"/>
            <w:vAlign w:val="center"/>
            <w:tcMar>
              <w:top w:w="65" w:type="dxa"/>
              <w:bottom w:w="65" w:type="dxa"/>
              <w:left w:w="65" w:type="dxa"/>
              <w:right w:w="65" w:type="dxa"/>
            </w:tcMar>
            <w:shd w:fill="EAEAEA"/>
          </w:tcPr>
          <w:p>
            <w:pPr>
              <w:keepNext/>
              <w:spacing w:line="252" w:lineRule="auto" w:after="40" w:before="40"/>
              <w:jc w:val="center"/>
            </w:pPr>
            <w:r>
              <w:rPr>
                <w:b/>
                <w:sz w:val="19"/>
              </w:rPr>
              <w:t>Record bootstrap 95% interval</w:t>
            </w:r>
          </w:p>
        </w:tc>
        <w:tc>
          <w:tcPr>
            <w:tcW w:type="dxa" w:w="2255"/>
            <w:vAlign w:val="center"/>
            <w:tcMar>
              <w:top w:w="65" w:type="dxa"/>
              <w:bottom w:w="65" w:type="dxa"/>
              <w:left w:w="65" w:type="dxa"/>
              <w:right w:w="65" w:type="dxa"/>
            </w:tcMar>
            <w:shd w:fill="EAEAEA"/>
          </w:tcPr>
          <w:p>
            <w:pPr>
              <w:keepNext/>
              <w:spacing w:line="252" w:lineRule="auto" w:after="40" w:before="40"/>
              <w:jc w:val="left"/>
            </w:pPr>
            <w:r>
              <w:rPr>
                <w:b/>
                <w:sz w:val="19"/>
              </w:rPr>
              <w:t>Candidate-group bootstrap 95% interval</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AUC, AC complete response</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0.670</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0.537 to 0.795</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0.539 to 0.796</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AUC, final pathological complete response</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0.524</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0.420 to 0.633</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0.414 to 0.630</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AUC, pathology minus AC</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−0.146</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−0.300 to 0.008</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−0.303 to 0.008</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Average precision, AC complete response</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0.385</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0.228 to 0.571</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0.229 to 0.579</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Average precision, final pathological complete response</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0.427</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0.325 to 0.574</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0.312 to 0.577</w:t>
            </w:r>
          </w:p>
        </w:tc>
      </w:tr>
      <w:tr>
        <w:trPr>
          <w:cantSplit/>
        </w:trPr>
        <w:tc>
          <w:tcPr>
            <w:tcW w:type="dxa" w:w="4196"/>
            <w:vAlign w:val="center"/>
            <w:tcMar>
              <w:top w:w="65" w:type="dxa"/>
              <w:bottom w:w="65" w:type="dxa"/>
              <w:left w:w="65" w:type="dxa"/>
              <w:right w:w="65" w:type="dxa"/>
            </w:tcMar>
          </w:tcPr>
          <w:p>
            <w:pPr>
              <w:keepNext w:val="0"/>
              <w:spacing w:line="252" w:lineRule="auto" w:after="40" w:before="40"/>
              <w:jc w:val="left"/>
            </w:pPr>
            <w:r>
              <w:rPr>
                <w:sz w:val="19"/>
              </w:rPr>
              <w:t>Average precision, pathology minus AC</w:t>
            </w:r>
          </w:p>
        </w:tc>
        <w:tc>
          <w:tcPr>
            <w:tcW w:type="dxa" w:w="1374"/>
            <w:vAlign w:val="center"/>
            <w:tcMar>
              <w:top w:w="65" w:type="dxa"/>
              <w:bottom w:w="65" w:type="dxa"/>
              <w:left w:w="65" w:type="dxa"/>
              <w:right w:w="65" w:type="dxa"/>
            </w:tcMar>
          </w:tcPr>
          <w:p>
            <w:pPr>
              <w:keepNext w:val="0"/>
              <w:spacing w:line="252" w:lineRule="auto" w:after="40" w:before="40"/>
              <w:jc w:val="center"/>
            </w:pPr>
            <w:r>
              <w:rPr>
                <w:sz w:val="19"/>
              </w:rPr>
              <w:t>0.042</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−0.163 to 0.250</w:t>
            </w:r>
          </w:p>
        </w:tc>
        <w:tc>
          <w:tcPr>
            <w:tcW w:type="dxa" w:w="2255"/>
            <w:vAlign w:val="center"/>
            <w:tcMar>
              <w:top w:w="65" w:type="dxa"/>
              <w:bottom w:w="65" w:type="dxa"/>
              <w:left w:w="65" w:type="dxa"/>
              <w:right w:w="65" w:type="dxa"/>
            </w:tcMar>
          </w:tcPr>
          <w:p>
            <w:pPr>
              <w:keepNext w:val="0"/>
              <w:spacing w:line="252" w:lineRule="auto" w:after="40" w:before="40"/>
              <w:jc w:val="center"/>
            </w:pPr>
            <w:r>
              <w:rPr>
                <w:sz w:val="19"/>
              </w:rPr>
              <w:t>−0.180 to 0.258</w:t>
            </w:r>
          </w:p>
        </w:tc>
      </w:tr>
    </w:tbl>
    <w:p>
      <w:pPr>
        <w:spacing w:after="60" w:line="240" w:lineRule="auto"/>
      </w:pPr>
      <w:r>
        <w:rPr>
          <w:sz w:val="6"/>
        </w:rPr>
      </w:r>
    </w:p>
    <w:p>
      <w:r>
        <w:t xml:space="preserve">Positives are 24/122 (19.7%) for AC complete response and 49/122 (40.2%) for final pathology; the two targets disagree in 43 records. Both contrast intervals include zero under both sampling schemes, and every candidate-group draw contained both classes under both targets. Average precision rises with the positive fraction, so its increase does not contradict the lower AUC point estimate.</w:t>
      </w:r>
    </w:p>
    <w:p>
      <w:r>
        <w:t xml:space="preserve">The GSE41998 AUC against the released labels, 0.670281, matches the source notebook's cached result and the article's 0.67. The GSE20194 AUC recalculates to 0.954783, matching the cached notebook, but the article reports 0.96, whereas the saved value rounds to 0.95. The check against the article table therefore failed for GSE20194 (the check against the cached notebook passed), and this reporting difference remains unresolved. For GSE20194, only patient-identity links are reported; no performance contrast or AUC for linked versus unlinked records was calculated, so the effect of reuse on performance was not estimated.</w:t>
      </w:r>
    </w:p>
    <w:p>
      <w:r>
        <w:t xml:space="preserve">The released training input contains 170 records from GSE25055 and GSE25065. All 170 training labels match the observed pathology field in GEO (57 pCR, 113 RD); in the 112 GSE25055 training records, 63 labels differ from the DLDA30 prediction. All 71 records of the GSE20194 validation input have labels matching source pathology (25 pCR, 46 RD), and matching the official GSE20194 workbook to this input identifies 68 source patients. We rebuilt the links between the two series from GSE25055 source sample IDs and the workbook's MDACC patient aliases, without using the existing link flags. This recovered the same 60 record pairs, involving 57 patients, all in the GSE25055 part of the released training input; 56 pairs also have matching raw CEL basenames. The training and validation inputs share no GSM accession.</w:t>
      </w:r>
    </w:p>
    <w:p>
      <w:pPr>
        <w:pStyle w:val="Heading1"/>
      </w:pPr>
      <w:r>
        <w:t>Table S21. Patient support for the released TIL-30 GSE20194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73"/>
        <w:gridCol w:w="1429"/>
        <w:gridCol w:w="4977"/>
      </w:tblGrid>
      <w:tr>
        <w:trPr>
          <w:cantSplit/>
          <w:tblHeader/>
        </w:trPr>
        <w:tc>
          <w:tcPr>
            <w:tcW w:type="dxa" w:w="3673"/>
            <w:vAlign w:val="center"/>
            <w:tcMar>
              <w:top w:w="65" w:type="dxa"/>
              <w:bottom w:w="65" w:type="dxa"/>
              <w:left w:w="65" w:type="dxa"/>
              <w:right w:w="65" w:type="dxa"/>
            </w:tcMar>
            <w:shd w:fill="EAEAEA"/>
          </w:tcPr>
          <w:p>
            <w:pPr>
              <w:keepNext/>
              <w:spacing w:line="252" w:lineRule="auto" w:after="40" w:before="40"/>
              <w:jc w:val="left"/>
            </w:pPr>
            <w:r>
              <w:rPr>
                <w:b/>
                <w:sz w:val="19"/>
              </w:rPr>
              <w:t>Quantity</w:t>
            </w:r>
          </w:p>
        </w:tc>
        <w:tc>
          <w:tcPr>
            <w:tcW w:type="dxa" w:w="1429"/>
            <w:vAlign w:val="center"/>
            <w:tcMar>
              <w:top w:w="65" w:type="dxa"/>
              <w:bottom w:w="65" w:type="dxa"/>
              <w:left w:w="65" w:type="dxa"/>
              <w:right w:w="65" w:type="dxa"/>
            </w:tcMar>
            <w:shd w:fill="EAEAEA"/>
          </w:tcPr>
          <w:p>
            <w:pPr>
              <w:keepNext/>
              <w:spacing w:line="252" w:lineRule="auto" w:after="40" w:before="40"/>
              <w:jc w:val="center"/>
            </w:pPr>
            <w:r>
              <w:rPr>
                <w:b/>
                <w:sz w:val="19"/>
              </w:rPr>
              <w:t>Count</w:t>
            </w:r>
          </w:p>
        </w:tc>
        <w:tc>
          <w:tcPr>
            <w:tcW w:type="dxa" w:w="4977"/>
            <w:vAlign w:val="center"/>
            <w:tcMar>
              <w:top w:w="65" w:type="dxa"/>
              <w:bottom w:w="65" w:type="dxa"/>
              <w:left w:w="65" w:type="dxa"/>
              <w:right w:w="65" w:type="dxa"/>
            </w:tcMar>
            <w:shd w:fill="EAEAEA"/>
          </w:tcPr>
          <w:p>
            <w:pPr>
              <w:keepNext/>
              <w:spacing w:line="252" w:lineRule="auto" w:after="40" w:before="40"/>
              <w:jc w:val="center"/>
            </w:pPr>
            <w:r>
              <w:rPr>
                <w:b/>
                <w:sz w:val="19"/>
              </w:rPr>
              <w:t>Interpretation</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Released training input</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170 records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Combined GSE25055 and GSE25065 input</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Released GSE20194 validation input</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71 records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25 pCR and 46 RD, matching source pathology</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Distinct source patient identifiers in validation</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68 patients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Three extra records come from repeated patients</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Validation records linked to training</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60 records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All linked training records are from GSE25055</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Distinct linked source patients</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57 patients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Some linked patients have more than one validation record</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Linked record pairs with matching CEL basenames</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56 pairs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Filenames corroborate the identifier links; no further raw-array value check</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Validation records without a known training link</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11 records / 11 patients</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 xml:space="preserve">May still include repeated patients</w:t>
            </w:r>
          </w:p>
        </w:tc>
      </w:tr>
      <w:tr>
        <w:trPr>
          <w:cantSplit/>
        </w:trPr>
        <w:tc>
          <w:tcPr>
            <w:tcW w:type="dxa" w:w="3673"/>
            <w:vAlign w:val="center"/>
            <w:tcMar>
              <w:top w:w="65" w:type="dxa"/>
              <w:bottom w:w="65" w:type="dxa"/>
              <w:left w:w="65" w:type="dxa"/>
              <w:right w:w="65" w:type="dxa"/>
            </w:tcMar>
          </w:tcPr>
          <w:p>
            <w:pPr>
              <w:keepNext w:val="0"/>
              <w:spacing w:line="252" w:lineRule="auto" w:after="40" w:before="40"/>
              <w:jc w:val="left"/>
            </w:pPr>
            <w:r>
              <w:rPr>
                <w:sz w:val="19"/>
              </w:rPr>
              <w:t>Exact GSM accessions shared across inputs</w:t>
            </w:r>
          </w:p>
        </w:tc>
        <w:tc>
          <w:tcPr>
            <w:tcW w:type="dxa" w:w="1429"/>
            <w:vAlign w:val="center"/>
            <w:tcMar>
              <w:top w:w="65" w:type="dxa"/>
              <w:bottom w:w="65" w:type="dxa"/>
              <w:left w:w="65" w:type="dxa"/>
              <w:right w:w="65" w:type="dxa"/>
            </w:tcMar>
          </w:tcPr>
          <w:p>
            <w:pPr>
              <w:keepNext w:val="0"/>
              <w:spacing w:line="252" w:lineRule="auto" w:after="40" w:before="40"/>
              <w:jc w:val="center"/>
            </w:pPr>
            <w:r>
              <w:rPr>
                <w:sz w:val="19"/>
              </w:rPr>
              <w:t>0</w:t>
            </w:r>
          </w:p>
        </w:tc>
        <w:tc>
          <w:tcPr>
            <w:tcW w:type="dxa" w:w="4977"/>
            <w:vAlign w:val="center"/>
            <w:tcMar>
              <w:top w:w="65" w:type="dxa"/>
              <w:bottom w:w="65" w:type="dxa"/>
              <w:left w:w="65" w:type="dxa"/>
              <w:right w:w="65" w:type="dxa"/>
            </w:tcMar>
          </w:tcPr>
          <w:p>
            <w:pPr>
              <w:keepNext w:val="0"/>
              <w:spacing w:line="252" w:lineRule="auto" w:after="40" w:before="40"/>
              <w:jc w:val="left"/>
            </w:pPr>
            <w:r>
              <w:rPr>
                <w:sz w:val="19"/>
              </w:rPr>
              <w:t>Different accessions do not ensure different patients</w:t>
            </w:r>
          </w:p>
        </w:tc>
      </w:tr>
    </w:tbl>
    <w:p>
      <w:pPr>
        <w:spacing w:after="60" w:line="240" w:lineRule="auto"/>
      </w:pPr>
      <w:r>
        <w:rPr>
          <w:sz w:val="6"/>
        </w:rPr>
      </w:r>
    </w:p>
    <w:p>
      <w:r>
        <w:t xml:space="preserve">These checks establish patient reuse across the released training and validation inputs. We did not trace which records each fitted model used after resampling, refit the TIL-30 pipeline or use the 11 unlinked records as a replacement validation set. The article discloses survival- or event-based surrogate targets for other cohorts; these, and the study's single-cell results, biological characterization and other clinical analyses, were not assessed.</w:t>
      </w:r>
    </w:p>
    <w:p>
      <w:pPr>
        <w:pStyle w:val="Heading1"/>
      </w:pPr>
      <w:r>
        <w:t>Other examined published evaluations</w:t>
      </w:r>
    </w:p>
    <w:p>
      <w:r>
        <w:t xml:space="preserve">The same targeted search examined other published evaluations but did not analyze them, because their public resources lacked identifiable patient-level clinical predictions or resolvable evaluation labels. VAEN's label selection and unrecovered predictions are described above [14]. PertDiff [19] reports concordance with clinical treatment outcomes in public GEO breast-cancer series, including GSE25055; its archived clinical labels and patient-level outputs, held in a nested compressed archive, were not resolved. The 25-gene signature study [20] reports model coefficients and a 227-patient GSE25055 subset with 43 pCR, but individual saved scores were not obtained; the subset size was not taken as evidence of a label error. The supplementary file of the TP53-loss phenocopy study [21] contains summary figures and tables without identifiable individual clinical scores. Public iGenSig resources [22] did not supply patient-level scores for these cohorts and use different endpoints and subsets. In the public BRCA-pCR repository [23], one candidate processed table for the Hatzis cohort could not be retrieved, and no predictions were obtained. These were availability checks only and say nothing about outcome or patient-identity problems in those studies. Together with DIPK and TIL-30, the examined evaluations are not a representative sample.</w:t>
      </w:r>
    </w:p>
    <w:p>
      <w:r>
        <w:t xml:space="preserve">For TIL-30, only the saved numerical outcome and probability objects were decoded, allowing only array and Series classes; no saved model object or downloaded notebook was executed. The probability vectors agreed exactly with separately extracted numeric byte payloads. AUC agreed across tied-rank calculation, direct positive–negative pair enumeration and scikit-learn, and average precision agreed with scikit-learn. Five selected record draws and five group draws agreed with explicit record replication, and saved contrasts and percentile endpoints were rechecked from the exported draw table. Input identities, source hashes, settings and verification results are stored with the analysis. These checks verify calculations from the saved outputs; they do not reproduce the scores.</w:t>
      </w:r>
    </w:p>
    <w:p>
      <w:pPr>
        <w:pStyle w:val="Heading1"/>
      </w:pPr>
      <w:r>
        <w:t>Extension verification and files</w:t>
      </w:r>
    </w:p>
    <w:p>
      <w:r>
        <w:t xml:space="preserve">For the secondary clinical models fitted to DIPK scores, all source-model coefficients agreed within 2 × </w:t>
      </w:r>
      <w:r>
        <w:t>10</w:t>
      </w:r>
      <w:r>
        <w:rPr>
          <w:vertAlign w:val="superscript"/>
        </w:rPr>
        <w:t>−5</w:t>
      </w:r>
      <w:r>
        <w:t xml:space="preserve"> with a separate SciPy fit of the penalized logistic objective, and directly calculated AUC and probability losses also agreed. Each patient appears once per repeat and model in the held-out predictions, and training and test indices are disjoint. Input hashes were unchanged. Coefficients of the later models with PAM50 agreed with the SciPy fit within 3.1 × 10⁻⁷, and their fold assignments and outcomes matched the initial predictive analysis exactly.</w:t>
      </w:r>
    </w:p>
    <w:p>
      <w:r>
        <w:t xml:space="preserve">Version 1.0.1 of the archive [2,3] contains the processed inputs, analysis code and results for these analyses: label correction, the released-signature comparison, agreement with DLDA30 labels, clinical comparisons, transfer, patient-level uncertainty, the published identity-list comparison, and the TIL-30 outcome, training-label and training/validation identity analyses. Third-party scores, labels and lists are downloaded by an included script and checked against the SHA256 of the analyzed versions rather than redistributed. Plotting code and the DIPK model-execution check are not included.</w:t>
      </w:r>
    </w:p>
    <w:p>
      <w:pPr>
        <w:pStyle w:val="Heading1"/>
      </w:pPr>
      <w:r>
        <w:t>Data and code availability</w:t>
      </w:r>
    </w:p>
    <w:p>
      <w:r>
        <w:t xml:space="preserve">Code and processed data are available on GitHub [2] and archived as version 1.0.1 in Zenodo [3].</w:t>
      </w:r>
    </w:p>
    <w:p>
      <w:pPr>
        <w:pStyle w:val="Heading1"/>
      </w:pPr>
      <w:r>
        <w:t>Supplementary references</w:t>
      </w:r>
    </w:p>
    <w:p>
      <w:r>
        <w:t xml:space="preserve">1. Affymetrix Fusion SDK. CELFileData.cpp, ReadXDABCel. </w:t>
      </w:r>
      <w:hyperlink r:id="rId14">
        <w:r>
          <w:rPr>
            <w:color w:val="000000"/>
          </w:rPr>
          <w:t>Source code</w:t>
        </w:r>
      </w:hyperlink>
      <w:r>
        <w:t>, commit 6fd83fcaca7707c1b198482ae11bc8aeb0e2c0b2.</w:t>
      </w:r>
    </w:p>
    <w:p>
      <w:r>
        <w:t xml:space="preserve">2. Jiang Y. DIPK clinical-evaluation reanalysis. </w:t>
      </w:r>
      <w:hyperlink r:id="rId15">
        <w:r>
          <w:rPr>
            <w:color w:val="000000"/>
          </w:rPr>
          <w:t>Code and processed data</w:t>
        </w:r>
      </w:hyperlink>
      <w:r>
        <w:t xml:space="preserve">, commit 482626836a18cfe071947723c37c5250e8479e7e.</w:t>
      </w:r>
    </w:p>
    <w:p>
      <w:r>
        <w:t xml:space="preserve">3. Jiang Y. Outcome labels and patient reuse in clinical validation: code and processed data. Version 1.0.1. Zenodo; 2026. </w:t>
      </w:r>
      <w:hyperlink r:id="rId16">
        <w:r>
          <w:rPr>
            <w:color w:val="000000"/>
          </w:rPr>
          <w:t xml:space="preserve">doi:10.5281/zenodo.23243329</w:t>
        </w:r>
      </w:hyperlink>
      <w:r>
        <w:t>.</w:t>
      </w:r>
    </w:p>
    <w:p>
      <w:r>
        <w:t xml:space="preserve">4. Pitroda SP, Bao R, Andrade J, Weichselbaum RR, Connell PP. Low recombination proficiency score (RPS) predicts heightened sensitivity to DNA-damaging chemotherapy in breast cancer. Clinical Cancer Research. 2017;23(15):4493–4500. </w:t>
      </w:r>
      <w:hyperlink r:id="rId17">
        <w:r>
          <w:rPr>
            <w:color w:val="000000"/>
          </w:rPr>
          <w:t>doi:10.1158/1078-0432.CCR-16-2845</w:t>
        </w:r>
      </w:hyperlink>
      <w:r>
        <w:t xml:space="preserve">. Publisher-hosted </w:t>
      </w:r>
      <w:hyperlink r:id="rId18">
        <w:r>
          <w:rPr>
            <w:color w:val="000000"/>
          </w:rPr>
          <w:t>Supplementary Tables S1–S5, version 1</w:t>
        </w:r>
      </w:hyperlink>
      <w:r>
        <w:t>, especially the duplicate-exclusion list in Table S3. Retrieved 30 September 2026.</w:t>
      </w:r>
    </w:p>
    <w:p>
      <w:r>
        <w:t xml:space="preserve">5. VAEN. GSE25055 clinical evaluation, </w:t>
      </w:r>
      <w:r>
        <w:rPr>
          <w:rFonts w:ascii="Consolas" w:hAnsi="Consolas"/>
          <w:sz w:val="20"/>
        </w:rPr>
        <w:t>Figure/Figure5/GSE25055/03.pCR.R</w:t>
      </w:r>
      <w:r>
        <w:t xml:space="preserve">. </w:t>
      </w:r>
      <w:hyperlink r:id="rId19">
        <w:r>
          <w:rPr>
            <w:color w:val="000000"/>
          </w:rPr>
          <w:t>Frozen source</w:t>
        </w:r>
      </w:hyperlink>
      <w:r>
        <w:t xml:space="preserve">, commit 69b90b80c1c1419679c51c65a681c071fdba2779. The selected characteristic is traced using the </w:t>
      </w:r>
      <w:hyperlink r:id="rId20">
        <w:r>
          <w:rPr>
            <w:color w:val="000000"/>
          </w:rPr>
          <w:t>GSE25055 series matrix</w:t>
        </w:r>
      </w:hyperlink>
      <w:r>
        <w:t>. Source and metadata frozen 26 September 2026.</w:t>
      </w:r>
    </w:p>
    <w:p>
      <w:r>
        <w:t xml:space="preserve">6. GEO GSE32646. Frozen </w:t>
      </w:r>
      <w:hyperlink r:id="rId21">
        <w:r>
          <w:rPr>
            <w:color w:val="000000"/>
          </w:rPr>
          <w:t>series-matrix metadata</w:t>
        </w:r>
      </w:hyperlink>
      <w:r>
        <w:t>. Treatment-before-outcome clinical characteristics, source-specific receptor status and observed pathological response. Source frozen 26 September 2026.</w:t>
      </w:r>
    </w:p>
    <w:p>
      <w:r>
        <w:t xml:space="preserve">7. Bates S, Hastie T, Tibshirani R. Cross-validation: what does it estimate and how well does it do it? Journal of the American Statistical Association. 2024;119(546):1434–1445. </w:t>
      </w:r>
      <w:hyperlink r:id="rId22">
        <w:r>
          <w:rPr>
            <w:color w:val="000000"/>
          </w:rPr>
          <w:t>doi:10.1080/01621459.2023.2197686</w:t>
        </w:r>
      </w:hyperlink>
      <w:r>
        <w:t>.</w:t>
      </w:r>
    </w:p>
    <w:p>
      <w:r>
        <w:t xml:space="preserve">8. Hatzis C, Pusztai L, Valero V, et al. A genomic predictor of response and survival following taxane–anthracycline chemotherapy for invasive breast cancer. JAMA. 2011;305(18):1873–1881. </w:t>
      </w:r>
      <w:hyperlink r:id="rId23">
        <w:r>
          <w:rPr>
            <w:color w:val="000000"/>
          </w:rPr>
          <w:t>doi:10.1001/jama.2011.593</w:t>
        </w:r>
      </w:hyperlink>
      <w:r>
        <w:t xml:space="preserve">. GSE25065 metadata: frozen </w:t>
      </w:r>
      <w:hyperlink r:id="rId24">
        <w:r>
          <w:rPr>
            <w:color w:val="000000"/>
          </w:rPr>
          <w:t>series matrix</w:t>
        </w:r>
      </w:hyperlink>
      <w:r>
        <w:t>, including pathology and DLDA30 fields.</w:t>
      </w:r>
    </w:p>
    <w:p>
      <w:r>
        <w:t xml:space="preserve">9. Esserman LJ, Berry DA, Cheang MCU, et al. Chemotherapy response and recurrence-free survival in neoadjuvant breast cancer depends on biomarker profiles: results from the I-SPY 1 TRIAL (CALGB 150007/150012; ACRIN 6657). Breast Cancer Research and Treatment. 2012;132(3):1049–1062. </w:t>
      </w:r>
      <w:hyperlink r:id="rId25">
        <w:r>
          <w:rPr>
            <w:color w:val="000000"/>
          </w:rPr>
          <w:t>doi:10.1007/s10549-011-1895-2</w:t>
        </w:r>
      </w:hyperlink>
      <w:r>
        <w:t>.</w:t>
      </w:r>
    </w:p>
    <w:p>
      <w:r>
        <w:t xml:space="preserve">10. Miyake T, Nakayama T, Naoi Y, et al. GSTP1 expression predicts poor pathological complete response to neoadjuvant chemotherapy in ER-negative breast cancer. Cancer Science. 2012;103(5):913–920. </w:t>
      </w:r>
      <w:hyperlink r:id="rId26">
        <w:r>
          <w:rPr>
            <w:color w:val="000000"/>
          </w:rPr>
          <w:t>doi:10.1111/j.1349-7006.2012.02231.x</w:t>
        </w:r>
      </w:hyperlink>
      <w:r>
        <w:t>.</w:t>
      </w:r>
    </w:p>
    <w:p>
      <w:r>
        <w:t xml:space="preserve">11. GEO GSE20194. MAQC-II breast cancer </w:t>
      </w:r>
      <w:hyperlink r:id="rId27">
        <w:r>
          <w:rPr>
            <w:color w:val="000000"/>
          </w:rPr>
          <w:t>sample-information workbook</w:t>
        </w:r>
      </w:hyperlink>
      <w:r>
        <w:t>, Sample_Info and CodeBook sheets. Source frozen 26 September 2026.</w:t>
      </w:r>
    </w:p>
    <w:p>
      <w:r>
        <w:t xml:space="preserve">12. Menon A, van Rooyen B, Ong CS, Williamson RC. Learning from corrupted binary labels via class-probability estimation. Proceedings of the 32nd International Conference on Machine Learning. Proceedings of Machine Learning Research. 2015;37:125–134. </w:t>
      </w:r>
      <w:hyperlink r:id="rId28">
        <w:r>
          <w:rPr>
            <w:color w:val="000000"/>
          </w:rPr>
          <w:t>Article and full text</w:t>
        </w:r>
      </w:hyperlink>
      <w:r>
        <w:t>. Corollary 3 gives the AUC relationship for class-conditional mixtures.</w:t>
      </w:r>
    </w:p>
    <w:p>
      <w:r>
        <w:t xml:space="preserve">13. Haider S, Brough R, Madera S, et al. The transcriptomic architecture of common cancers reflects synthetic lethal interactions. Nature Genetics. 2025;57:522–529. </w:t>
      </w:r>
      <w:hyperlink r:id="rId29">
        <w:r>
          <w:rPr>
            <w:color w:val="000000"/>
          </w:rPr>
          <w:t>Article</w:t>
        </w:r>
      </w:hyperlink>
      <w:r>
        <w:t xml:space="preserve"> and publisher-hosted </w:t>
      </w:r>
      <w:hyperlink r:id="rId30">
        <w:r>
          <w:rPr>
            <w:color w:val="000000"/>
          </w:rPr>
          <w:t>Source Data Figure 4</w:t>
        </w:r>
      </w:hyperlink>
      <w:r>
        <w:t xml:space="preserve">, sheet g, Hatzis 1, cells A3:D308, and Hatzis 2, cells F3:I183. Retrieved 30 September 2026. </w:t>
      </w:r>
      <w:hyperlink r:id="rId31">
        <w:r>
          <w:rPr>
            <w:color w:val="000000"/>
          </w:rPr>
          <w:t>Archived SYLVER code</w:t>
        </w:r>
      </w:hyperlink>
      <w:r>
        <w:t xml:space="preserve"> documents core steps 2 and 3; it was inspected without executing the method.</w:t>
      </w:r>
    </w:p>
    <w:p>
      <w:r>
        <w:t xml:space="preserve">14. Jia P, Hu R, Pei G, Dai Y, Wang YY, Zhao Z. Deep generative neural network for accurate drug response imputation. Nature Communications. 2021;12:1740. </w:t>
      </w:r>
      <w:hyperlink r:id="rId32">
        <w:r>
          <w:rPr>
            <w:color w:val="000000"/>
          </w:rPr>
          <w:t>doi:10.1038/s41467-021-21997-5</w:t>
        </w:r>
      </w:hyperlink>
      <w:r>
        <w:t>.</w:t>
      </w:r>
    </w:p>
    <w:p>
      <w:r>
        <w:t xml:space="preserve">15. DIPK. Clinical preprocessing and inference, </w:t>
      </w:r>
      <w:r>
        <w:rPr>
          <w:rFonts w:ascii="Consolas" w:hAnsi="Consolas"/>
          <w:sz w:val="20"/>
        </w:rPr>
        <w:t>Task5/DataPreprocess/GEO</w:t>
      </w:r>
      <w:r>
        <w:t xml:space="preserve"> and </w:t>
      </w:r>
      <w:r>
        <w:rPr>
          <w:rFonts w:ascii="Consolas" w:hAnsi="Consolas"/>
          <w:sz w:val="20"/>
        </w:rPr>
        <w:t>Task5/test_geo01</w:t>
      </w:r>
      <w:r>
        <w:t xml:space="preserve">. </w:t>
      </w:r>
      <w:hyperlink r:id="rId33">
        <w:r>
          <w:rPr>
            <w:color w:val="000000"/>
          </w:rPr>
          <w:t>Frozen source</w:t>
        </w:r>
      </w:hyperlink>
      <w:r>
        <w:t>, commit 0edfc151fbbdb7864d577865f9541a689d706c5b.</w:t>
      </w:r>
    </w:p>
    <w:p>
      <w:r>
        <w:t xml:space="preserve">16. PyTorch. CUDA semantics: TensorFloat-32 on Ampere and later devices. </w:t>
      </w:r>
      <w:hyperlink r:id="rId34">
        <w:r>
          <w:rPr>
            <w:color w:val="000000"/>
          </w:rPr>
          <w:t>Official documentation</w:t>
        </w:r>
      </w:hyperlink>
      <w:r>
        <w:t>. Consulted 29 September 2026.</w:t>
      </w:r>
    </w:p>
    <w:p>
      <w:r>
        <w:t xml:space="preserve">17. Banerjee S, Tiwari VK, Raman K, Inayatullah M. Tumor-infiltrating lymphocytes display prognostic signatures associated with chemotherapy response in TNBC patients. iScience. 2026;29(6):116295. </w:t>
      </w:r>
      <w:hyperlink r:id="rId35">
        <w:r>
          <w:rPr>
            <w:color w:val="000000"/>
          </w:rPr>
          <w:t>Article</w:t>
        </w:r>
      </w:hyperlink>
      <w:r>
        <w:t xml:space="preserve"> and </w:t>
      </w:r>
      <w:hyperlink r:id="rId36">
        <w:r>
          <w:rPr>
            <w:color w:val="000000"/>
          </w:rPr>
          <w:t>official source repository</w:t>
        </w:r>
      </w:hyperlink>
      <w:r>
        <w:t>, commit 55cbe09820c7c679995630b65e682b1c98f4b869. Source inputs, paired saved outputs, reference loader and cached external-validation notebook inspected 1 October 2026. The repository's GPL-3.0 license is retained separately from this reanalysis's original code license.</w:t>
      </w:r>
    </w:p>
    <w:p>
      <w:r>
        <w:t xml:space="preserve">18. Horak CE, Pusztai L, Xing G, Trifan OC, Saura C, Tseng LM, et al. Biomarker analysis of neoadjuvant doxorubicin/cyclophosphamide followed by ixabepilone or paclitaxel in early-stage breast cancer. Clinical Cancer Research. 2013;19(6):1587–1595. </w:t>
      </w:r>
      <w:hyperlink r:id="rId37">
        <w:r>
          <w:rPr>
            <w:color w:val="000000"/>
          </w:rPr>
          <w:t>Article</w:t>
        </w:r>
      </w:hyperlink>
      <w:r>
        <w:t xml:space="preserve">. GSE41998 </w:t>
      </w:r>
      <w:hyperlink r:id="rId38">
        <w:r>
          <w:rPr>
            <w:color w:val="000000"/>
          </w:rPr>
          <w:t>series-matrix metadata</w:t>
        </w:r>
      </w:hyperlink>
      <w:r>
        <w:t xml:space="preserve"> distinguish AC response, pCR and pCR/RCB-I.</w:t>
      </w:r>
    </w:p>
    <w:p>
      <w:r>
        <w:t xml:space="preserve">19. Ma Y, Du K, Li Y, Li P, Yu L. Enhancing cross-context generalization in drug perturbation prediction with a multimodal conditional diffusion framework. Bioinformatics. 2026;42(7):btag482. </w:t>
      </w:r>
      <w:hyperlink r:id="rIdJ701">
        <w:r>
          <w:rPr>
            <w:color w:val="000000"/>
          </w:rPr>
          <w:t>doi:10.1093/bioinformatics/btag482</w:t>
        </w:r>
      </w:hyperlink>
      <w:r>
        <w:t xml:space="preserve">. Official repository and clinical Methods/Results inspected; method not executed.</w:t>
      </w:r>
    </w:p>
    <w:p>
      <w:r>
        <w:t xml:space="preserve">20. Fu C, Liu Y, Han X, et al. An immune-associated genomic signature effectively predicts pathologic complete response to neoadjuvant paclitaxel and anthracycline-based chemotherapy in breast cancer. Frontiers in Immunology. 2021;12:704655. </w:t>
      </w:r>
      <w:hyperlink r:id="rIdJ702">
        <w:r>
          <w:rPr>
            <w:color w:val="000000"/>
          </w:rPr>
          <w:t>doi:10.3389/fimmu.2021.704655</w:t>
        </w:r>
      </w:hyperlink>
      <w:r>
        <w:t xml:space="preserve">. Methods, Results and Table 1 inspected.</w:t>
      </w:r>
    </w:p>
    <w:p>
      <w:r>
        <w:t xml:space="preserve">21. Bakhtiar H, Sharifi MN, Helzer KT, et al. A phenocopy signature of TP53 loss predicts response to chemotherapy. NPJ Precision Oncology. 2024;8:220. </w:t>
      </w:r>
      <w:hyperlink r:id="rIdJ703">
        <w:r>
          <w:rPr>
            <w:color w:val="000000"/>
          </w:rPr>
          <w:t>doi:10.1038/s41698-024-00722-7</w:t>
        </w:r>
      </w:hyperlink>
      <w:r>
        <w:t xml:space="preserve">. Article link inventory and complete supplementary PDF inspected.</w:t>
      </w:r>
    </w:p>
    <w:p>
      <w:r>
        <w:t xml:space="preserve">22. Wang XS, Lee S, Zhang H, Tang G, Wang Y. An integral genomic signature approach for tailored cancer therapy using genome-wide sequencing data. Nature Communications. 2022;13:2936. </w:t>
      </w:r>
      <w:hyperlink r:id="rIdJ704">
        <w:r>
          <w:rPr>
            <w:color w:val="000000"/>
          </w:rPr>
          <w:t>doi:10.1038/s41467-022-30449-7</w:t>
        </w:r>
      </w:hyperlink>
      <w:r>
        <w:t xml:space="preserve">. Official repository, commit ba7bbece4ffea0ce573f86b8e69c707a7d306159.</w:t>
      </w:r>
    </w:p>
    <w:p>
      <w:r>
        <w:t xml:space="preserve">23. WangLabHKUST. BRCA-pCR. Public GitHub repository; file inventory inspected 1 October 2026, without executing the method.</w:t>
      </w:r>
    </w:p>
    <w:sectPr w:rsidR="00FC693F" w:rsidRPr="0006063C" w:rsidSect="00034616">
      <w:footerReference w:type="default" r:id="rId9"/>
      <w:pgSz w:w="12240" w:h="15840"/>
      <w:pgMar w:top="1080" w:right="1080" w:bottom="1080"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76"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80" w:after="140" w:line="276"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1" Type="http://schemas.openxmlformats.org/officeDocument/2006/relationships/image" Target="media/image2.png"/><Relationship Id="rId14" Type="http://schemas.openxmlformats.org/officeDocument/2006/relationships/hyperlink" Target="https://github.com/HenrikBengtsson/affxparser/blob/6fd83fcaca7707c1b198482ae11bc8aeb0e2c0b2/src/fusion/file/CELFileData.cpp" TargetMode="External"/><Relationship Id="rId15" Type="http://schemas.openxmlformats.org/officeDocument/2006/relationships/hyperlink" Target="https://github.com/Re1nhard-1/DIPK-clinical-reanalysis/tree/482626836a18cfe071947723c37c5250e8479e7e" TargetMode="External"/><Relationship Id="rId16" Type="http://schemas.openxmlformats.org/officeDocument/2006/relationships/hyperlink" Target="https://doi.org/10.5281/zenodo.23243329" TargetMode="External"/><Relationship Id="rId17" Type="http://schemas.openxmlformats.org/officeDocument/2006/relationships/hyperlink" Target="https://doi.org/10.1158/1078-0432.CCR-16-2845" TargetMode="External"/><Relationship Id="rId18" Type="http://schemas.openxmlformats.org/officeDocument/2006/relationships/hyperlink" Target="https://doi.org/10.1158/1078-0432.22468487.v1" TargetMode="External"/><Relationship Id="rId19" Type="http://schemas.openxmlformats.org/officeDocument/2006/relationships/hyperlink" Target="https://github.com/bsml320/VAEN/blob/69b90b80c1c1419679c51c65a681c071fdba2779/Figure/Figure5/GSE25055/03.pCR.R" TargetMode="External"/><Relationship Id="rId20" Type="http://schemas.openxmlformats.org/officeDocument/2006/relationships/hyperlink" Target="https://ftp.ncbi.nlm.nih.gov/geo/series/GSE25nnn/GSE25055/matrix/GSE25055_series_matrix.txt.gz" TargetMode="External"/><Relationship Id="rId21" Type="http://schemas.openxmlformats.org/officeDocument/2006/relationships/hyperlink" Target="https://ftp.ncbi.nlm.nih.gov/geo/series/GSE32nnn/GSE32646/matrix/GSE32646_series_matrix.txt.gz" TargetMode="External"/><Relationship Id="rId22" Type="http://schemas.openxmlformats.org/officeDocument/2006/relationships/hyperlink" Target="https://doi.org/10.1080/01621459.2023.2197686" TargetMode="External"/><Relationship Id="rId23" Type="http://schemas.openxmlformats.org/officeDocument/2006/relationships/hyperlink" Target="https://doi.org/10.1001/jama.2011.593" TargetMode="External"/><Relationship Id="rId24" Type="http://schemas.openxmlformats.org/officeDocument/2006/relationships/hyperlink" Target="https://ftp.ncbi.nlm.nih.gov/geo/series/GSE25nnn/GSE25065/matrix/GSE25065_series_matrix.txt.gz" TargetMode="External"/><Relationship Id="rId25" Type="http://schemas.openxmlformats.org/officeDocument/2006/relationships/hyperlink" Target="https://doi.org/10.1007/s10549-011-1895-2" TargetMode="External"/><Relationship Id="rId26" Type="http://schemas.openxmlformats.org/officeDocument/2006/relationships/hyperlink" Target="https://doi.org/10.1111/j.1349-7006.2012.02231.x" TargetMode="External"/><Relationship Id="rId27" Type="http://schemas.openxmlformats.org/officeDocument/2006/relationships/hyperlink" Target="https://ftp.ncbi.nlm.nih.gov/geo/series/GSE20nnn/GSE20194/suppl/GSE20194_MDACC_Sample_Info.xls.gz" TargetMode="External"/><Relationship Id="rId28" Type="http://schemas.openxmlformats.org/officeDocument/2006/relationships/hyperlink" Target="https://proceedings.mlr.press/v37/menon15.html" TargetMode="External"/><Relationship Id="rId29" Type="http://schemas.openxmlformats.org/officeDocument/2006/relationships/hyperlink" Target="https://doi.org/10.1038/s41588-025-02108-2" TargetMode="External"/><Relationship Id="rId30" Type="http://schemas.openxmlformats.org/officeDocument/2006/relationships/hyperlink" Target="https://media.springernature.com/original/springer-static/esm/art%3A10.1038%2Fs41588-025-02108-2/MediaObjects/41588_2025_2108_MOESM7_ESM.xlsx" TargetMode="External"/><Relationship Id="rId31" Type="http://schemas.openxmlformats.org/officeDocument/2006/relationships/hyperlink" Target="https://doi.org/10.5281/zenodo.14685952" TargetMode="External"/><Relationship Id="rId32" Type="http://schemas.openxmlformats.org/officeDocument/2006/relationships/hyperlink" Target="https://doi.org/10.1038/s41467-021-21997-5" TargetMode="External"/><Relationship Id="rId33" Type="http://schemas.openxmlformats.org/officeDocument/2006/relationships/hyperlink" Target="https://github.com/user15632/DIPK/tree/0edfc151fbbdb7864d577865f9541a689d706c5b/Task5" TargetMode="External"/><Relationship Id="rId34" Type="http://schemas.openxmlformats.org/officeDocument/2006/relationships/hyperlink" Target="https://docs.pytorch.org/docs/stable/notes/cuda.html#tensorfloat-32-tf32-on-ampere-and-later-devices" TargetMode="External"/><Relationship Id="rId35" Type="http://schemas.openxmlformats.org/officeDocument/2006/relationships/hyperlink" Target="https://doi.org/10.1016/j.isci.2026.116295" TargetMode="External"/><Relationship Id="rId36" Type="http://schemas.openxmlformats.org/officeDocument/2006/relationships/hyperlink" Target="https://github.com/RamanLab/TNBC-single-cell-markers/tree/55cbe09820c7c679995630b65e682b1c98f4b869" TargetMode="External"/><Relationship Id="rId37" Type="http://schemas.openxmlformats.org/officeDocument/2006/relationships/hyperlink" Target="https://doi.org/10.1158/1078-0432.CCR-12-1359" TargetMode="External"/><Relationship Id="rId38" Type="http://schemas.openxmlformats.org/officeDocument/2006/relationships/hyperlink" Target="https://ftp.ncbi.nlm.nih.gov/geo/series/GSE41nnn/GSE41998/matrix/GSE41998_series_matrix.txt.gz" TargetMode="External"/><Relationship Id="rIdJ701" Type="http://schemas.openxmlformats.org/officeDocument/2006/relationships/hyperlink" Target="https://doi.org/10.1093/bioinformatics/btag482" TargetMode="External"/><Relationship Id="rIdJ702" Type="http://schemas.openxmlformats.org/officeDocument/2006/relationships/hyperlink" Target="https://doi.org/10.3389/fimmu.2021.704655" TargetMode="External"/><Relationship Id="rIdJ703" Type="http://schemas.openxmlformats.org/officeDocument/2006/relationships/hyperlink" Target="https://doi.org/10.1038/s41698-024-00722-7" TargetMode="External"/><Relationship Id="rIdJ704" Type="http://schemas.openxmlformats.org/officeDocument/2006/relationships/hyperlink" Target="https://doi.org/10.1038/s41467-022-3044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ScaleCrop>false</ScaleCrop>
  <HeadingPairs>
    <vt:vector size="2" baseType="variant">
      <vt:variant>
        <vt:lpstr>Title</vt:lpstr>
      </vt:variant>
      <vt:variant>
        <vt:i4>1</vt:i4>
      </vt:variant>
    </vt:vector>
  </HeadingPairs>
  <TitlesOfParts>
    <vt:vector size="1" baseType="lpstr">
      <vt:lpstr/>
    </vt:vector>
  </TitlesOfParts>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