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8948C" w14:textId="77777777" w:rsidR="001E7C03" w:rsidRPr="001E7C03" w:rsidRDefault="001E7C03" w:rsidP="001E7C03">
      <w:pPr>
        <w:rPr>
          <w:b/>
          <w:bCs/>
          <w:lang w:val="en-US"/>
        </w:rPr>
      </w:pPr>
      <w:r w:rsidRPr="001E7C03">
        <w:rPr>
          <w:b/>
          <w:bCs/>
          <w:lang w:val="en-US"/>
        </w:rPr>
        <w:t>Appendices</w:t>
      </w:r>
    </w:p>
    <w:p w14:paraId="010786CB" w14:textId="77777777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t>Best Practices Whiplash (BPW) – Recommended WAD I-II claim handling,</w:t>
      </w:r>
    </w:p>
    <w:p w14:paraId="18CADB9C" w14:textId="77777777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t xml:space="preserve">Acute WAD I-II treatment flowchart </w:t>
      </w:r>
    </w:p>
    <w:p w14:paraId="3957BC8D" w14:textId="77777777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t>Chronic WAD I-II treatment flowchart.</w:t>
      </w:r>
    </w:p>
    <w:p w14:paraId="75E93A22" w14:textId="77777777" w:rsidR="001E7C03" w:rsidRPr="001E7C03" w:rsidRDefault="001E7C03" w:rsidP="001E7C03">
      <w:pPr>
        <w:rPr>
          <w:lang w:val="en-US"/>
        </w:rPr>
      </w:pPr>
    </w:p>
    <w:p w14:paraId="0F6828D5" w14:textId="77777777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br w:type="page"/>
      </w:r>
      <w:r w:rsidRPr="001E7C03">
        <w:rPr>
          <w:lang w:val="en-US"/>
        </w:rPr>
        <w:lastRenderedPageBreak/>
        <w:t>Best Practices Whiplash (BPW) – Recommended WAD I-II claim handling</w:t>
      </w:r>
    </w:p>
    <w:p w14:paraId="29F33E3C" w14:textId="184CDC30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drawing>
          <wp:inline distT="0" distB="0" distL="0" distR="0" wp14:anchorId="403096DE" wp14:editId="00640628">
            <wp:extent cx="5731510" cy="6588760"/>
            <wp:effectExtent l="0" t="0" r="2540" b="2540"/>
            <wp:docPr id="843944515" name="Picture 4" descr="Afbeelding met tekst, schermopname, document, Lettertype  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schermopname, document, Lettertype  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8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748E1" w14:textId="77777777" w:rsidR="001E7C03" w:rsidRPr="001E7C03" w:rsidRDefault="001E7C03" w:rsidP="001E7C03">
      <w:pPr>
        <w:rPr>
          <w:lang w:val="en-US"/>
        </w:rPr>
      </w:pPr>
    </w:p>
    <w:p w14:paraId="73A3CBB5" w14:textId="2781A437" w:rsidR="001E7C03" w:rsidRPr="001E7C03" w:rsidRDefault="001E7C03" w:rsidP="001E7C03">
      <w:pPr>
        <w:rPr>
          <w:lang w:val="en-US"/>
        </w:rPr>
      </w:pPr>
      <w:r w:rsidRPr="001E7C03">
        <w:rPr>
          <w:lang w:val="nl-NL"/>
        </w:rPr>
        <w:lastRenderedPageBreak/>
        <w:drawing>
          <wp:anchor distT="0" distB="0" distL="114300" distR="114300" simplePos="0" relativeHeight="251659264" behindDoc="0" locked="0" layoutInCell="1" allowOverlap="1" wp14:anchorId="3F90F4AF" wp14:editId="1DD8F6D2">
            <wp:simplePos x="0" y="0"/>
            <wp:positionH relativeFrom="column">
              <wp:posOffset>-502285</wp:posOffset>
            </wp:positionH>
            <wp:positionV relativeFrom="paragraph">
              <wp:posOffset>305435</wp:posOffset>
            </wp:positionV>
            <wp:extent cx="5731510" cy="3822700"/>
            <wp:effectExtent l="0" t="0" r="2540" b="6350"/>
            <wp:wrapSquare wrapText="bothSides"/>
            <wp:docPr id="8609650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C03">
        <w:rPr>
          <w:lang w:val="en-US"/>
        </w:rPr>
        <w:t>Acute WAD I-II treatment flowchart</w:t>
      </w:r>
    </w:p>
    <w:p w14:paraId="6DCAD537" w14:textId="77777777" w:rsidR="001E7C03" w:rsidRPr="001E7C03" w:rsidRDefault="001E7C03" w:rsidP="001E7C03">
      <w:pPr>
        <w:rPr>
          <w:lang w:val="en-US"/>
        </w:rPr>
      </w:pPr>
    </w:p>
    <w:p w14:paraId="19627F91" w14:textId="77777777" w:rsidR="001E7C03" w:rsidRPr="001E7C03" w:rsidRDefault="001E7C03" w:rsidP="001E7C03">
      <w:pPr>
        <w:rPr>
          <w:lang w:val="en-US"/>
        </w:rPr>
      </w:pPr>
      <w:r w:rsidRPr="001E7C03">
        <w:rPr>
          <w:lang w:val="en-US"/>
        </w:rPr>
        <w:br w:type="page"/>
      </w:r>
    </w:p>
    <w:p w14:paraId="72C49665" w14:textId="1C00280F" w:rsidR="001E7C03" w:rsidRPr="001E7C03" w:rsidRDefault="001E7C03" w:rsidP="001E7C03">
      <w:pPr>
        <w:rPr>
          <w:lang w:val="en-US"/>
        </w:rPr>
      </w:pPr>
      <w:r w:rsidRPr="001E7C03">
        <w:rPr>
          <w:lang w:val="nl-NL"/>
        </w:rPr>
        <w:lastRenderedPageBreak/>
        <w:drawing>
          <wp:anchor distT="0" distB="0" distL="114300" distR="114300" simplePos="0" relativeHeight="251660288" behindDoc="0" locked="0" layoutInCell="1" allowOverlap="1" wp14:anchorId="3707C580" wp14:editId="5DAB9F03">
            <wp:simplePos x="0" y="0"/>
            <wp:positionH relativeFrom="column">
              <wp:posOffset>-573405</wp:posOffset>
            </wp:positionH>
            <wp:positionV relativeFrom="paragraph">
              <wp:posOffset>305435</wp:posOffset>
            </wp:positionV>
            <wp:extent cx="5731510" cy="3492500"/>
            <wp:effectExtent l="0" t="0" r="2540" b="0"/>
            <wp:wrapSquare wrapText="bothSides"/>
            <wp:docPr id="20972046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C03">
        <w:rPr>
          <w:lang w:val="en-US"/>
        </w:rPr>
        <w:t>Chronic WAD I-II treatment flowchart</w:t>
      </w:r>
    </w:p>
    <w:p w14:paraId="7ACA8DC9" w14:textId="77777777" w:rsidR="001E7C03" w:rsidRPr="001E7C03" w:rsidRDefault="001E7C03" w:rsidP="001E7C03">
      <w:pPr>
        <w:rPr>
          <w:lang w:val="en-US"/>
        </w:rPr>
      </w:pPr>
    </w:p>
    <w:p w14:paraId="520373E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03"/>
    <w:rsid w:val="001E7C03"/>
    <w:rsid w:val="00203483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7326D"/>
  <w15:chartTrackingRefBased/>
  <w15:docId w15:val="{6A2F87A9-9E64-4D26-B93F-1C33D4CA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C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2026-10-21T18:11:00Z</dcterms:created>
  <dcterms:modified xsi:type="dcterms:W3CDTF">2026-10-21T18:11:00Z</dcterms:modified>
</cp:coreProperties>
</file>