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E2A" w:rsidRDefault="00930B36">
      <w:pPr>
        <w:pStyle w:val="Titel"/>
        <w:jc w:val="center"/>
      </w:pPr>
      <w:bookmarkStart w:id="0" w:name="_GoBack"/>
      <w:bookmarkEnd w:id="0"/>
      <w:r>
        <w:t>Supplementary Material</w:t>
      </w:r>
    </w:p>
    <w:p w:rsidR="00E20E2A" w:rsidRDefault="00930B36">
      <w:pPr>
        <w:jc w:val="center"/>
      </w:pPr>
      <w:r>
        <w:t>Association Between Repeated Pringle Clamping Cycles and Postoperative Acute Kidney Injury After Liver Resection</w:t>
      </w:r>
    </w:p>
    <w:p w:rsidR="00E20E2A" w:rsidRDefault="00930B36">
      <w:pPr>
        <w:pStyle w:val="berschrift1"/>
      </w:pPr>
      <w:r>
        <w:t>Supplementary Table S1 Propensity-score balance before and after matching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3261"/>
        <w:gridCol w:w="3261"/>
      </w:tblGrid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Covariate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Absolute SMD before matching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Absolute SMD after matching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Age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0.150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0.027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Sex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0.214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0.020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Body mass index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0.187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0.039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Chronic kidney disease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0.127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0.076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Diabetes mellitus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0.187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0.069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Arterial hypertension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0.043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0.056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Open approach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0.063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0.065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Major hepatectomy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0.605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0.039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Operative duration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0.792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0.019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Blood transfusion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0.434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0.026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Minimum MAP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0.337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0.048</w:t>
            </w:r>
          </w:p>
        </w:tc>
      </w:tr>
    </w:tbl>
    <w:p w:rsidR="00E20E2A" w:rsidRDefault="00E20E2A"/>
    <w:p w:rsidR="00E20E2A" w:rsidRDefault="00930B36">
      <w:r>
        <w:t xml:space="preserve">Matching compared patients with at least two cycles with patients without a Pringle maneuver. One-to-one nearest-neighbour matching without replacement used a caliper </w:t>
      </w:r>
      <w:r>
        <w:t>of 0.2 standard deviations of the logit of the propensity score and generated 106 pairs. All post-matching absolute standardized mean differences were below 0.10.</w:t>
      </w:r>
    </w:p>
    <w:p w:rsidR="00E20E2A" w:rsidRDefault="00930B36">
      <w:pPr>
        <w:pStyle w:val="berschrift1"/>
      </w:pPr>
      <w:r>
        <w:t>Supplementary Table S2 Sensitivity analyses for acute kidney injury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46"/>
        <w:gridCol w:w="2445"/>
        <w:gridCol w:w="2446"/>
        <w:gridCol w:w="2445"/>
      </w:tblGrid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Analysis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Odds ratio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95% c</w:t>
            </w:r>
            <w:r>
              <w:rPr>
                <w:b/>
                <w:color w:val="FFFFFF"/>
                <w:sz w:val="18"/>
              </w:rPr>
              <w:t>onfidence interval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 value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Primary multivariable model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1.87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1.07–3.30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0.029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Firth bias-reduced regression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2.11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r>
              <w:t>1.12–3.13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0.028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Propensity-score matched analysis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1.88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1.01–3.50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0.046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Total ischemia duration, per minute*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1.01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0.99–1.02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0.082</w:t>
            </w:r>
          </w:p>
        </w:tc>
      </w:tr>
    </w:tbl>
    <w:p w:rsidR="00E20E2A" w:rsidRDefault="00E20E2A"/>
    <w:p w:rsidR="00E20E2A" w:rsidRDefault="00930B36">
      <w:r>
        <w:t>*Estimated</w:t>
      </w:r>
      <w:r>
        <w:t xml:space="preserve"> in a separate adjusted model. The first three rows evaluate at least two cycles versus no Pringle maneuver. The Firth model used the same covariates as the primary model.</w:t>
      </w:r>
    </w:p>
    <w:p w:rsidR="00E20E2A" w:rsidRDefault="00930B36">
      <w:pPr>
        <w:pStyle w:val="berschrift1"/>
      </w:pPr>
      <w:r>
        <w:lastRenderedPageBreak/>
        <w:t>Supplementary Table S3 Post-hepatectomy liver failure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3261"/>
        <w:gridCol w:w="3260"/>
      </w:tblGrid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Group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 xml:space="preserve">Patients with PHLF, n </w:t>
            </w:r>
            <w:r>
              <w:rPr>
                <w:b/>
                <w:color w:val="FFFFFF"/>
                <w:sz w:val="18"/>
              </w:rPr>
              <w:t>(%)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 value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No AKI (n=322)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8 (2.5%)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E20E2A">
            <w:pPr>
              <w:spacing w:after="0" w:line="240" w:lineRule="auto"/>
            </w:pP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AKI (n=107)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23 (21.5%)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&lt;0.001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AKI stage 1 (n=61)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7 (11.5%)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E20E2A">
            <w:pPr>
              <w:spacing w:after="0" w:line="240" w:lineRule="auto"/>
            </w:pP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AKI stages 2–3 (n=46)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16 (34.8%)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&lt;0.001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No Pringle maneuver (n=154)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11 (7.1%)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E20E2A">
            <w:pPr>
              <w:spacing w:after="0" w:line="240" w:lineRule="auto"/>
            </w:pP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One cycle (n=45)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 (0.0%)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E20E2A">
            <w:pPr>
              <w:spacing w:after="0" w:line="240" w:lineRule="auto"/>
            </w:pP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At least two cycles (n=230)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20 (8.7%)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0.120</w:t>
            </w:r>
          </w:p>
        </w:tc>
      </w:tr>
    </w:tbl>
    <w:p w:rsidR="00E20E2A" w:rsidRDefault="00E20E2A"/>
    <w:p w:rsidR="00E20E2A" w:rsidRDefault="00930B36">
      <w:pPr>
        <w:pStyle w:val="berschrift1"/>
      </w:pPr>
      <w:r>
        <w:t>Supplementary Table S4 Renal replacement therapy during the index hospitalization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3261"/>
        <w:gridCol w:w="3260"/>
      </w:tblGrid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AKI stage during postoperative days 0–7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Patients, n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RRT, n (%)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No AKI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3 (0.9%)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Stage 1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4 (6.6%)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Stages 2–3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46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13 (28.3%)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Total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429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20 (4.7%)</w:t>
            </w:r>
          </w:p>
        </w:tc>
      </w:tr>
    </w:tbl>
    <w:p w:rsidR="00E20E2A" w:rsidRDefault="00E20E2A"/>
    <w:p w:rsidR="00E20E2A" w:rsidRDefault="00930B36">
      <w:r>
        <w:t xml:space="preserve">RRT was captured </w:t>
      </w:r>
      <w:r>
        <w:t>throughout the index hospitalization. The three patients classified as no AKI and four classified as stage 1 initiated RRT after the postoperative day 0–7 AKI ascertainment window.</w:t>
      </w:r>
    </w:p>
    <w:p w:rsidR="00E20E2A" w:rsidRDefault="00930B36">
      <w:pPr>
        <w:pStyle w:val="berschrift1"/>
      </w:pPr>
      <w:r>
        <w:t>Supplementary Table S5 Length of hospital stay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45"/>
        <w:gridCol w:w="2446"/>
        <w:gridCol w:w="2446"/>
        <w:gridCol w:w="2445"/>
      </w:tblGrid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AKI stage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Patients, n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Median</w:t>
            </w:r>
            <w:r>
              <w:rPr>
                <w:b/>
                <w:color w:val="FFFFFF"/>
                <w:sz w:val="18"/>
              </w:rPr>
              <w:t xml:space="preserve"> (IQR), days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Mean ± SD, days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No AKI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321*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9.0 (6.0–15.0)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12.5 ± 10.7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Stage 1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61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16.0 (9.0–26.0)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19.7 ± 15.0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Stages 2–3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46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19.0 (13.0–26.0)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22.5 ± 14.7</w:t>
            </w:r>
          </w:p>
        </w:tc>
      </w:tr>
    </w:tbl>
    <w:p w:rsidR="00E20E2A" w:rsidRDefault="00E20E2A"/>
    <w:p w:rsidR="00E20E2A" w:rsidRDefault="00930B36">
      <w:r>
        <w:t>*Length of stay was unavailable for one patient without AKI.</w:t>
      </w:r>
    </w:p>
    <w:p w:rsidR="00E20E2A" w:rsidRDefault="00930B36">
      <w:pPr>
        <w:pStyle w:val="berschrift1"/>
      </w:pPr>
      <w:r>
        <w:t>Supplementary Table S6 Exploratory model</w:t>
      </w:r>
      <w:r>
        <w:t xml:space="preserve"> for post-hepatectomy liver failure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46"/>
        <w:gridCol w:w="2445"/>
        <w:gridCol w:w="2446"/>
        <w:gridCol w:w="2445"/>
      </w:tblGrid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Variable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Odds ratio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95% confidence interval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 value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Open surgery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10.96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1.46–82.27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0.020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Major resection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4.62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1.35–15.77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0.015</w:t>
            </w:r>
          </w:p>
        </w:tc>
      </w:tr>
      <w:tr w:rsidR="00E20E2A">
        <w:trPr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Any Pringle maneuver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0.85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0.38–1.87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0.678</w:t>
            </w:r>
          </w:p>
        </w:tc>
      </w:tr>
    </w:tbl>
    <w:p w:rsidR="00E20E2A" w:rsidRDefault="00E20E2A"/>
    <w:p w:rsidR="00E20E2A" w:rsidRDefault="00930B36">
      <w:r>
        <w:lastRenderedPageBreak/>
        <w:t>Only 31 PHLF events occurred, and no patient in</w:t>
      </w:r>
      <w:r>
        <w:t xml:space="preserve"> the one-cycle group developed PHLF. The estimates are exploratory and imprecise.</w:t>
      </w:r>
    </w:p>
    <w:p w:rsidR="00E20E2A" w:rsidRDefault="00930B36">
      <w:pPr>
        <w:pStyle w:val="berschrift1"/>
      </w:pPr>
      <w:r>
        <w:t>Supplementary Table S7 In-hospital mortality according to acute kidney injury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3261"/>
        <w:gridCol w:w="3261"/>
      </w:tblGrid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Group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In-hospital mortality, n (%)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 value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No AKI (n=322)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7 (2.2%)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E20E2A">
            <w:pPr>
              <w:spacing w:after="0" w:line="240" w:lineRule="auto"/>
            </w:pP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Any AKI (n=107)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26 (24.3%)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&lt;0.001</w:t>
            </w: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Stage 1 AKI (n=61)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8 (13.1%)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E20E2A">
            <w:pPr>
              <w:spacing w:after="0" w:line="240" w:lineRule="auto"/>
            </w:pPr>
          </w:p>
        </w:tc>
      </w:tr>
      <w:tr w:rsidR="00E20E2A">
        <w:trPr>
          <w:jc w:val="center"/>
        </w:trPr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Stages 2–3 AKI (n=46)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18 (39.1%)</w:t>
            </w:r>
          </w:p>
        </w:tc>
        <w:tc>
          <w:tcPr>
            <w:tcW w:w="32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&lt;0.001</w:t>
            </w:r>
          </w:p>
        </w:tc>
      </w:tr>
    </w:tbl>
    <w:p w:rsidR="00E20E2A" w:rsidRDefault="00E20E2A"/>
    <w:p w:rsidR="00E20E2A" w:rsidRDefault="00E20E2A"/>
    <w:p w:rsidR="00E20E2A" w:rsidRDefault="00930B36">
      <w:pPr>
        <w:pStyle w:val="berschrift1"/>
      </w:pPr>
      <w:r>
        <w:t>Supplementary Table S8 Crude absolute risk of acute kidney injury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57"/>
        <w:gridCol w:w="1956"/>
        <w:gridCol w:w="1956"/>
        <w:gridCol w:w="1956"/>
        <w:gridCol w:w="1957"/>
      </w:tblGrid>
      <w:tr w:rsidR="00E20E2A">
        <w:trPr>
          <w:jc w:val="center"/>
        </w:trPr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Pringle exposure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Patients, n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AKI events, n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Absolute risk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Risk difference vs no maneuver</w:t>
            </w:r>
          </w:p>
        </w:tc>
      </w:tr>
      <w:tr w:rsidR="00E20E2A">
        <w:trPr>
          <w:jc w:val="center"/>
        </w:trPr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 xml:space="preserve">No Pringle </w:t>
            </w:r>
            <w:r>
              <w:rPr>
                <w:sz w:val="18"/>
              </w:rPr>
              <w:t>maneuver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154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29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18.8%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Reference</w:t>
            </w:r>
          </w:p>
        </w:tc>
      </w:tr>
      <w:tr w:rsidR="00E20E2A">
        <w:trPr>
          <w:jc w:val="center"/>
        </w:trPr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One cycle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45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12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26.7%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4F7FA"/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7.8 percentage points</w:t>
            </w:r>
          </w:p>
        </w:tc>
      </w:tr>
      <w:tr w:rsidR="00E20E2A">
        <w:trPr>
          <w:jc w:val="center"/>
        </w:trPr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At least two cycles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230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28.7%</w:t>
            </w:r>
          </w:p>
        </w:tc>
        <w:tc>
          <w:tcPr>
            <w:tcW w:w="19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20E2A" w:rsidRDefault="00930B36">
            <w:pPr>
              <w:spacing w:after="0" w:line="240" w:lineRule="auto"/>
            </w:pPr>
            <w:r>
              <w:rPr>
                <w:sz w:val="18"/>
              </w:rPr>
              <w:t>9.9 percentage points</w:t>
            </w:r>
          </w:p>
        </w:tc>
      </w:tr>
    </w:tbl>
    <w:p w:rsidR="00E20E2A" w:rsidRDefault="00E20E2A"/>
    <w:p w:rsidR="00E20E2A" w:rsidRDefault="00930B36">
      <w:r>
        <w:t>Risk differences are unadjusted descriptive measures and should not be interpreted causally.</w:t>
      </w:r>
    </w:p>
    <w:p w:rsidR="00E20E2A" w:rsidRDefault="00930B36">
      <w:pPr>
        <w:pStyle w:val="berschrift1"/>
      </w:pPr>
      <w:r>
        <w:lastRenderedPageBreak/>
        <w:t xml:space="preserve">Supplementary Figure S1 </w:t>
      </w:r>
      <w:r>
        <w:t>Covariate balance before and after propensity-score matching</w:t>
      </w:r>
    </w:p>
    <w:p w:rsidR="00E20E2A" w:rsidRDefault="00930B36">
      <w:pPr>
        <w:jc w:val="center"/>
      </w:pPr>
      <w:r>
        <w:rPr>
          <w:noProof/>
          <w:lang w:val="de-DE" w:eastAsia="de-DE"/>
        </w:rPr>
        <w:drawing>
          <wp:inline distT="0" distB="0" distL="0" distR="0">
            <wp:extent cx="5852160" cy="44703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S1_Love_Plo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470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E2A" w:rsidRDefault="00930B36">
      <w:r>
        <w:t>Absolute standardized mean differences before and after 1:1 matching. The dashed line marks the prespecified balance threshold of 0.10.</w:t>
      </w:r>
    </w:p>
    <w:p w:rsidR="00E20E2A" w:rsidRDefault="00930B36">
      <w:pPr>
        <w:keepNext/>
        <w:pageBreakBefore/>
      </w:pPr>
      <w:r>
        <w:lastRenderedPageBreak/>
        <w:t>Supplementary Table S9 Exploratory complete-case model in</w:t>
      </w:r>
      <w:r>
        <w:t>cluding fluid administration and CVP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Predictor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Odds ratio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95% confidence interval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P value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One cycle vs no Pringle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1.19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0.42–3.37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0.738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At least two cycles vs no Pringle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1.84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1.01–3.35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0.046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Age, per year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1.03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1.00–1.05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0.041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Arterial hypertension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2.44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1.37–4.34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0.002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Chronic kidney disease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1.90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0.87–4.14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0.105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Major hepatectomy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0.94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0.51–1.73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0.834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Open surgery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8.72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3.47–21.90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&lt;0.001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Operative duration, per minute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1.00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0.994–1.003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0.514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Minimum MAP, per mmHg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0.98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0.95–1.01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0.117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Administered fluid</w:t>
            </w:r>
            <w:r>
              <w:rPr>
                <w:sz w:val="16"/>
              </w:rPr>
              <w:t xml:space="preserve"> volume, per 1000 mL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1.01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0.85–1.20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0.899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Red blood cell units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1.00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0.73–1.38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1.000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Fresh frozen plasma units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1.02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0.78–1.33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0.909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Albumin, recorded units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0.97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0.68–1.39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0.877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CVP during resection, per mmHg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1.02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0.93–1.12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0.641</w:t>
            </w:r>
          </w:p>
        </w:tc>
      </w:tr>
      <w:tr w:rsidR="00E20E2A"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 xml:space="preserve">CVP at end of surgery, </w:t>
            </w:r>
            <w:r>
              <w:rPr>
                <w:sz w:val="16"/>
              </w:rPr>
              <w:t>per mmHg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1.02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0.93–1.11</w:t>
            </w:r>
          </w:p>
        </w:tc>
        <w:tc>
          <w:tcPr>
            <w:tcW w:w="2448" w:type="dxa"/>
          </w:tcPr>
          <w:p w:rsidR="00E20E2A" w:rsidRDefault="00930B36">
            <w:pPr>
              <w:spacing w:after="0"/>
            </w:pPr>
            <w:r>
              <w:rPr>
                <w:sz w:val="16"/>
              </w:rPr>
              <w:t>0.737</w:t>
            </w:r>
          </w:p>
        </w:tc>
      </w:tr>
    </w:tbl>
    <w:p w:rsidR="00E20E2A" w:rsidRDefault="00930B36">
      <w:r>
        <w:t>Post hoc logistic regression in 381 of 429 patients: 103 with AKI and 278 without AKI. Forty-eight had at least one missing predictor (four with AKI). Administered volume is not net fluid balance. Red blood cell units replace</w:t>
      </w:r>
      <w:r>
        <w:t>d the binary transfusion indicator. Duration was not entered alongside cycle number. In-sample AUC: 0.784. Volume OR is per 1000 mL; other estimates are rounded. This model does not replace the primary analysis or propensity matching.</w:t>
      </w:r>
    </w:p>
    <w:sectPr w:rsidR="00E20E2A" w:rsidSect="00034616">
      <w:footerReference w:type="default" r:id="rId9"/>
      <w:pgSz w:w="12240" w:h="15840"/>
      <w:pgMar w:top="1080" w:right="1224" w:bottom="1080" w:left="1224" w:header="720" w:footer="720" w:gutter="0"/>
      <w:lnNumType w:countBy="1" w:start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30B36">
      <w:pPr>
        <w:spacing w:after="0" w:line="240" w:lineRule="auto"/>
      </w:pPr>
      <w:r>
        <w:separator/>
      </w:r>
    </w:p>
  </w:endnote>
  <w:endnote w:type="continuationSeparator" w:id="0">
    <w:p w:rsidR="00000000" w:rsidRDefault="00930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E2A" w:rsidRDefault="00930B36">
    <w:pPr>
      <w:pStyle w:val="Fuzeile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30B36">
      <w:pPr>
        <w:spacing w:after="0" w:line="240" w:lineRule="auto"/>
      </w:pPr>
      <w:r>
        <w:separator/>
      </w:r>
    </w:p>
  </w:footnote>
  <w:footnote w:type="continuationSeparator" w:id="0">
    <w:p w:rsidR="00000000" w:rsidRDefault="00930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30B36"/>
    <w:rsid w:val="00AA1D8D"/>
    <w:rsid w:val="00B47730"/>
    <w:rsid w:val="00CB0664"/>
    <w:rsid w:val="00E20E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C8CD257-7CA0-4B9E-BF58-11A54A73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C693F"/>
    <w:pPr>
      <w:spacing w:after="120" w:line="48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930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2DD11B-C10A-4BB1-9B0F-8934605E6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694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Fayed, Nirmeen</cp:lastModifiedBy>
  <cp:revision>2</cp:revision>
  <dcterms:created xsi:type="dcterms:W3CDTF">2026-10-08T06:50:00Z</dcterms:created>
  <dcterms:modified xsi:type="dcterms:W3CDTF">2026-10-08T06:50:00Z</dcterms:modified>
  <cp:category/>
</cp:coreProperties>
</file>