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Additional file 2: Supplementary analyses</w:t>
      </w:r>
    </w:p>
    <w:p>
      <w:r>
        <w:t>Manuscript: "The great divergence of viral hepatitis in China, 2005–2020: vaccine-driven decline, diagnosis-driven rise, and the hepatitis E exception in a five-type surveillance panel"</w:t>
      </w:r>
    </w:p>
    <w:p>
      <w:r>
        <w:t>Contents: Tables S2–S7; Figure S1. (Additional file 1 is Supplementary Table S1, the NIFDC per-batch vaccine-release records, provided as a separate .xlsx file.)</w:t>
      </w:r>
    </w:p>
    <w:p>
      <w:r>
        <w:rPr>
          <w:b/>
          <w:sz w:val="20"/>
        </w:rPr>
        <w:t>Table S2. Joinpoint regression detail by hepatitis type: segment-specific annual percent change (APC) and average APC (AAPC), for the 2005–2019 (primary) and 2005–2020 (sensitivity) models.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Type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Joinpoints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Segment APCs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AAPC</w:t>
            </w:r>
          </w:p>
        </w:tc>
      </w:tr>
      <w:tr>
        <w:tc>
          <w:tcPr>
            <w:tcW w:type="dxa" w:w="1728"/>
          </w:tcPr>
          <w:p>
            <w:r>
              <w:t>2005-2019</w:t>
            </w:r>
          </w:p>
        </w:tc>
        <w:tc>
          <w:tcPr>
            <w:tcW w:type="dxa" w:w="1728"/>
          </w:tcPr>
          <w:p>
            <w:r>
              <w:t>Hepatitis A</w:t>
            </w:r>
          </w:p>
        </w:tc>
        <w:tc>
          <w:tcPr>
            <w:tcW w:type="dxa" w:w="1728"/>
          </w:tcPr>
          <w:p>
            <w:r>
              <w:t>2007, 2012, 2014</w:t>
            </w:r>
          </w:p>
        </w:tc>
        <w:tc>
          <w:tcPr>
            <w:tcW w:type="dxa" w:w="1728"/>
          </w:tcPr>
          <w:p>
            <w:r>
              <w:t>2005–2007: -0.8%; 2007–2012: -20.4%; 2012–2014: +0.8%; 2014–2019: -7.3%</w:t>
            </w:r>
          </w:p>
        </w:tc>
        <w:tc>
          <w:tcPr>
            <w:tcW w:type="dxa" w:w="1728"/>
          </w:tcPr>
          <w:p>
            <w:r>
              <w:t>-10.3%</w:t>
            </w:r>
          </w:p>
        </w:tc>
      </w:tr>
      <w:tr>
        <w:tc>
          <w:tcPr>
            <w:tcW w:type="dxa" w:w="1728"/>
          </w:tcPr>
          <w:p>
            <w:r>
              <w:t>2005-2019</w:t>
            </w:r>
          </w:p>
        </w:tc>
        <w:tc>
          <w:tcPr>
            <w:tcW w:type="dxa" w:w="1728"/>
          </w:tcPr>
          <w:p>
            <w:r>
              <w:t>Hepatitis B</w:t>
            </w:r>
          </w:p>
        </w:tc>
        <w:tc>
          <w:tcPr>
            <w:tcW w:type="dxa" w:w="1728"/>
          </w:tcPr>
          <w:p>
            <w:r>
              <w:t>2007, 2012, 2014</w:t>
            </w:r>
          </w:p>
        </w:tc>
        <w:tc>
          <w:tcPr>
            <w:tcW w:type="dxa" w:w="1728"/>
          </w:tcPr>
          <w:p>
            <w:r>
              <w:t>2005–2007: +8.7%; 2007–2012: -2.9%; 2012–2014: -7.4%; 2014–2019: +1.4%</w:t>
            </w:r>
          </w:p>
        </w:tc>
        <w:tc>
          <w:tcPr>
            <w:tcW w:type="dxa" w:w="1728"/>
          </w:tcPr>
          <w:p>
            <w:r>
              <w:t>-0.5%</w:t>
            </w:r>
          </w:p>
        </w:tc>
      </w:tr>
      <w:tr>
        <w:tc>
          <w:tcPr>
            <w:tcW w:type="dxa" w:w="1728"/>
          </w:tcPr>
          <w:p>
            <w:r>
              <w:t>2005-2019</w:t>
            </w:r>
          </w:p>
        </w:tc>
        <w:tc>
          <w:tcPr>
            <w:tcW w:type="dxa" w:w="1728"/>
          </w:tcPr>
          <w:p>
            <w:r>
              <w:t>Hepatitis C</w:t>
            </w:r>
          </w:p>
        </w:tc>
        <w:tc>
          <w:tcPr>
            <w:tcW w:type="dxa" w:w="1728"/>
          </w:tcPr>
          <w:p>
            <w:r>
              <w:t>2007, 2009, 2012</w:t>
            </w:r>
          </w:p>
        </w:tc>
        <w:tc>
          <w:tcPr>
            <w:tcW w:type="dxa" w:w="1728"/>
          </w:tcPr>
          <w:p>
            <w:r>
              <w:t>2005–2007: +30.7%; 2007–2009: +18.7%; 2009–2012: +14.1%; 2012–2019: +0.9%</w:t>
            </w:r>
          </w:p>
        </w:tc>
        <w:tc>
          <w:tcPr>
            <w:tcW w:type="dxa" w:w="1728"/>
          </w:tcPr>
          <w:p>
            <w:r>
              <w:t>+10.0%</w:t>
            </w:r>
          </w:p>
        </w:tc>
      </w:tr>
      <w:tr>
        <w:tc>
          <w:tcPr>
            <w:tcW w:type="dxa" w:w="1728"/>
          </w:tcPr>
          <w:p>
            <w:r>
              <w:t>2005-2019</w:t>
            </w:r>
          </w:p>
        </w:tc>
        <w:tc>
          <w:tcPr>
            <w:tcW w:type="dxa" w:w="1728"/>
          </w:tcPr>
          <w:p>
            <w:r>
              <w:t>Hepatitis E</w:t>
            </w:r>
          </w:p>
        </w:tc>
        <w:tc>
          <w:tcPr>
            <w:tcW w:type="dxa" w:w="1728"/>
          </w:tcPr>
          <w:p>
            <w:r>
              <w:t>2007, 2008, 2011</w:t>
            </w:r>
          </w:p>
        </w:tc>
        <w:tc>
          <w:tcPr>
            <w:tcW w:type="dxa" w:w="1728"/>
          </w:tcPr>
          <w:p>
            <w:r>
              <w:t>2005–2007: +14.3%; 2007–2008: -14.4%; 2008–2011: +14.4%; 2011–2019: -0.2%</w:t>
            </w:r>
          </w:p>
        </w:tc>
        <w:tc>
          <w:tcPr>
            <w:tcW w:type="dxa" w:w="1728"/>
          </w:tcPr>
          <w:p>
            <w:r>
              <w:t>+3.6%</w:t>
            </w:r>
          </w:p>
        </w:tc>
      </w:tr>
      <w:tr>
        <w:tc>
          <w:tcPr>
            <w:tcW w:type="dxa" w:w="1728"/>
          </w:tcPr>
          <w:p>
            <w:r>
              <w:t>2005-2020</w:t>
            </w:r>
          </w:p>
        </w:tc>
        <w:tc>
          <w:tcPr>
            <w:tcW w:type="dxa" w:w="1728"/>
          </w:tcPr>
          <w:p>
            <w:r>
              <w:t>Hepatitis A</w:t>
            </w:r>
          </w:p>
        </w:tc>
        <w:tc>
          <w:tcPr>
            <w:tcW w:type="dxa" w:w="1728"/>
          </w:tcPr>
          <w:p>
            <w:r>
              <w:t>2007, 2012, 2014</w:t>
            </w:r>
          </w:p>
        </w:tc>
        <w:tc>
          <w:tcPr>
            <w:tcW w:type="dxa" w:w="1728"/>
          </w:tcPr>
          <w:p>
            <w:r>
              <w:t>2005–2007: -0.8%; 2007–2012: -20.5%; 2012–2014: +1.4%; 2014–2020: -8.0%</w:t>
            </w:r>
          </w:p>
        </w:tc>
        <w:tc>
          <w:tcPr>
            <w:tcW w:type="dxa" w:w="1728"/>
          </w:tcPr>
          <w:p>
            <w:r>
              <w:t>-10.3%</w:t>
            </w:r>
          </w:p>
        </w:tc>
      </w:tr>
      <w:tr>
        <w:tc>
          <w:tcPr>
            <w:tcW w:type="dxa" w:w="1728"/>
          </w:tcPr>
          <w:p>
            <w:r>
              <w:t>2005-2020</w:t>
            </w:r>
          </w:p>
        </w:tc>
        <w:tc>
          <w:tcPr>
            <w:tcW w:type="dxa" w:w="1728"/>
          </w:tcPr>
          <w:p>
            <w:r>
              <w:t>Hepatitis B</w:t>
            </w:r>
          </w:p>
        </w:tc>
        <w:tc>
          <w:tcPr>
            <w:tcW w:type="dxa" w:w="1728"/>
          </w:tcPr>
          <w:p>
            <w:r>
              <w:t>2007, 2015, 2018</w:t>
            </w:r>
          </w:p>
        </w:tc>
        <w:tc>
          <w:tcPr>
            <w:tcW w:type="dxa" w:w="1728"/>
          </w:tcPr>
          <w:p>
            <w:r>
              <w:t>2005–2007: +9.9%; 2007–2015: -3.9%; 2015–2018: +2.6%; 2018–2020: -5.7%</w:t>
            </w:r>
          </w:p>
        </w:tc>
        <w:tc>
          <w:tcPr>
            <w:tcW w:type="dxa" w:w="1728"/>
          </w:tcPr>
          <w:p>
            <w:r>
              <w:t>-1.1%</w:t>
            </w:r>
          </w:p>
        </w:tc>
      </w:tr>
      <w:tr>
        <w:tc>
          <w:tcPr>
            <w:tcW w:type="dxa" w:w="1728"/>
          </w:tcPr>
          <w:p>
            <w:r>
              <w:t>2005-2020</w:t>
            </w:r>
          </w:p>
        </w:tc>
        <w:tc>
          <w:tcPr>
            <w:tcW w:type="dxa" w:w="1728"/>
          </w:tcPr>
          <w:p>
            <w:r>
              <w:t>Hepatitis C</w:t>
            </w:r>
          </w:p>
        </w:tc>
        <w:tc>
          <w:tcPr>
            <w:tcW w:type="dxa" w:w="1728"/>
          </w:tcPr>
          <w:p>
            <w:r>
              <w:t>2007, 2012, 2018</w:t>
            </w:r>
          </w:p>
        </w:tc>
        <w:tc>
          <w:tcPr>
            <w:tcW w:type="dxa" w:w="1728"/>
          </w:tcPr>
          <w:p>
            <w:r>
              <w:t>2005–2007: +32.5%; 2007–2012: +15.6%; 2012–2018: +0.8%; 2018–2020: -4.8%</w:t>
            </w:r>
          </w:p>
        </w:tc>
        <w:tc>
          <w:tcPr>
            <w:tcW w:type="dxa" w:w="1728"/>
          </w:tcPr>
          <w:p>
            <w:r>
              <w:t>+8.6%</w:t>
            </w:r>
          </w:p>
        </w:tc>
      </w:tr>
      <w:tr>
        <w:tc>
          <w:tcPr>
            <w:tcW w:type="dxa" w:w="1728"/>
          </w:tcPr>
          <w:p>
            <w:r>
              <w:t>2005-2020</w:t>
            </w:r>
          </w:p>
        </w:tc>
        <w:tc>
          <w:tcPr>
            <w:tcW w:type="dxa" w:w="1728"/>
          </w:tcPr>
          <w:p>
            <w:r>
              <w:t>Hepatitis E</w:t>
            </w:r>
          </w:p>
        </w:tc>
        <w:tc>
          <w:tcPr>
            <w:tcW w:type="dxa" w:w="1728"/>
          </w:tcPr>
          <w:p>
            <w:r>
              <w:t>2009, 2011, 2018</w:t>
            </w:r>
          </w:p>
        </w:tc>
        <w:tc>
          <w:tcPr>
            <w:tcW w:type="dxa" w:w="1728"/>
          </w:tcPr>
          <w:p>
            <w:r>
              <w:t>2005–2009: +4.4%; 2009–2011: +14.5%; 2011–2018: +0.3%; 2018–2020: -16.6%</w:t>
            </w:r>
          </w:p>
        </w:tc>
        <w:tc>
          <w:tcPr>
            <w:tcW w:type="dxa" w:w="1728"/>
          </w:tcPr>
          <w:p>
            <w:r>
              <w:t>+0.7%</w:t>
            </w:r>
          </w:p>
        </w:tc>
      </w:tr>
    </w:tbl>
    <w:p>
      <w:r>
        <w:t>Unspecified-type hepatitis: joinpoints and AAPC as reported in the main text (−11·9% per year, 2005–2019). APC values are per year.</w:t>
      </w:r>
    </w:p>
    <w:p>
      <w:r>
        <w:rPr>
          <w:b/>
          <w:sz w:val="20"/>
        </w:rPr>
        <w:t>Table S3. Seasonality of reported incidence by type: Edwards test statistics, 2005–2019 (day-adjusted monthly counts).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Type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Peak month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Seasonal amplitude (R)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Edwards χ²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</w:t>
            </w:r>
          </w:p>
        </w:tc>
      </w:tr>
      <w:tr>
        <w:tc>
          <w:tcPr>
            <w:tcW w:type="dxa" w:w="1728"/>
          </w:tcPr>
          <w:p>
            <w:r>
              <w:t>Hepatitis A</w:t>
            </w:r>
          </w:p>
        </w:tc>
        <w:tc>
          <w:tcPr>
            <w:tcW w:type="dxa" w:w="1728"/>
          </w:tcPr>
          <w:p>
            <w:r>
              <w:t>6.7</w:t>
            </w:r>
          </w:p>
        </w:tc>
        <w:tc>
          <w:tcPr>
            <w:tcW w:type="dxa" w:w="1728"/>
          </w:tcPr>
          <w:p>
            <w:r>
              <w:t>5.2%</w:t>
            </w:r>
          </w:p>
        </w:tc>
        <w:tc>
          <w:tcPr>
            <w:tcW w:type="dxa" w:w="1728"/>
          </w:tcPr>
          <w:p>
            <w:r>
              <w:t>11,969</w:t>
            </w:r>
          </w:p>
        </w:tc>
        <w:tc>
          <w:tcPr>
            <w:tcW w:type="dxa" w:w="1728"/>
          </w:tcPr>
          <w:p>
            <w:r>
              <w:t>&lt;0·001</w:t>
            </w:r>
          </w:p>
        </w:tc>
      </w:tr>
      <w:tr>
        <w:tc>
          <w:tcPr>
            <w:tcW w:type="dxa" w:w="1728"/>
          </w:tcPr>
          <w:p>
            <w:r>
              <w:t>Hepatitis B</w:t>
            </w:r>
          </w:p>
        </w:tc>
        <w:tc>
          <w:tcPr>
            <w:tcW w:type="dxa" w:w="1728"/>
          </w:tcPr>
          <w:p>
            <w:r>
              <w:t>4.2</w:t>
            </w:r>
          </w:p>
        </w:tc>
        <w:tc>
          <w:tcPr>
            <w:tcW w:type="dxa" w:w="1728"/>
          </w:tcPr>
          <w:p>
            <w:r>
              <w:t>3.7%</w:t>
            </w:r>
          </w:p>
        </w:tc>
        <w:tc>
          <w:tcPr>
            <w:tcW w:type="dxa" w:w="1728"/>
          </w:tcPr>
          <w:p>
            <w:r>
              <w:t>171,157</w:t>
            </w:r>
          </w:p>
        </w:tc>
        <w:tc>
          <w:tcPr>
            <w:tcW w:type="dxa" w:w="1728"/>
          </w:tcPr>
          <w:p>
            <w:r>
              <w:t>&lt;0·001</w:t>
            </w:r>
          </w:p>
        </w:tc>
      </w:tr>
      <w:tr>
        <w:tc>
          <w:tcPr>
            <w:tcW w:type="dxa" w:w="1728"/>
          </w:tcPr>
          <w:p>
            <w:r>
              <w:t>Hepatitis C</w:t>
            </w:r>
          </w:p>
        </w:tc>
        <w:tc>
          <w:tcPr>
            <w:tcW w:type="dxa" w:w="1728"/>
          </w:tcPr>
          <w:p>
            <w:r>
              <w:t>4.1</w:t>
            </w:r>
          </w:p>
        </w:tc>
        <w:tc>
          <w:tcPr>
            <w:tcW w:type="dxa" w:w="1728"/>
          </w:tcPr>
          <w:p>
            <w:r>
              <w:t>3.3%</w:t>
            </w:r>
          </w:p>
        </w:tc>
        <w:tc>
          <w:tcPr>
            <w:tcW w:type="dxa" w:w="1728"/>
          </w:tcPr>
          <w:p>
            <w:r>
              <w:t>21,951</w:t>
            </w:r>
          </w:p>
        </w:tc>
        <w:tc>
          <w:tcPr>
            <w:tcW w:type="dxa" w:w="1728"/>
          </w:tcPr>
          <w:p>
            <w:r>
              <w:t>&lt;0·001</w:t>
            </w:r>
          </w:p>
        </w:tc>
      </w:tr>
      <w:tr>
        <w:tc>
          <w:tcPr>
            <w:tcW w:type="dxa" w:w="1728"/>
          </w:tcPr>
          <w:p>
            <w:r>
              <w:t>Hepatitis E</w:t>
            </w:r>
          </w:p>
        </w:tc>
        <w:tc>
          <w:tcPr>
            <w:tcW w:type="dxa" w:w="1728"/>
          </w:tcPr>
          <w:p>
            <w:r>
              <w:t>3.0</w:t>
            </w:r>
          </w:p>
        </w:tc>
        <w:tc>
          <w:tcPr>
            <w:tcW w:type="dxa" w:w="1728"/>
          </w:tcPr>
          <w:p>
            <w:r>
              <w:t>14.0%</w:t>
            </w:r>
          </w:p>
        </w:tc>
        <w:tc>
          <w:tcPr>
            <w:tcW w:type="dxa" w:w="1728"/>
          </w:tcPr>
          <w:p>
            <w:r>
              <w:t>58,093</w:t>
            </w:r>
          </w:p>
        </w:tc>
        <w:tc>
          <w:tcPr>
            <w:tcW w:type="dxa" w:w="1728"/>
          </w:tcPr>
          <w:p>
            <w:r>
              <w:t>&lt;0·001</w:t>
            </w:r>
          </w:p>
        </w:tc>
      </w:tr>
      <w:tr>
        <w:tc>
          <w:tcPr>
            <w:tcW w:type="dxa" w:w="1728"/>
          </w:tcPr>
          <w:p>
            <w:r>
              <w:t>Unspecified</w:t>
            </w:r>
          </w:p>
        </w:tc>
        <w:tc>
          <w:tcPr>
            <w:tcW w:type="dxa" w:w="1728"/>
          </w:tcPr>
          <w:p>
            <w:r>
              <w:t>4.7</w:t>
            </w:r>
          </w:p>
        </w:tc>
        <w:tc>
          <w:tcPr>
            <w:tcW w:type="dxa" w:w="1728"/>
          </w:tcPr>
          <w:p>
            <w:r>
              <w:t>5.1%</w:t>
            </w:r>
          </w:p>
        </w:tc>
        <w:tc>
          <w:tcPr>
            <w:tcW w:type="dxa" w:w="1728"/>
          </w:tcPr>
          <w:p>
            <w:r>
              <w:t>12,412</w:t>
            </w:r>
          </w:p>
        </w:tc>
        <w:tc>
          <w:tcPr>
            <w:tcW w:type="dxa" w:w="1728"/>
          </w:tcPr>
          <w:p>
            <w:r>
              <w:t>&lt;0·001</w:t>
            </w:r>
          </w:p>
        </w:tc>
      </w:tr>
    </w:tbl>
    <w:p>
      <w:r>
        <w:rPr>
          <w:b/>
          <w:sz w:val="20"/>
        </w:rPr>
        <w:t>Table S4. Kitagawa decomposition of the change in crude reported rate per 100 000 from 2005 to 2019 (primary endpoint) and 2020 (sensitivity endpoint): rate effect versus age-structure effect.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Type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Endpoint year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Δ rate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Rate effect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Age-structure effect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Structure share</w:t>
            </w:r>
          </w:p>
        </w:tc>
      </w:tr>
      <w:tr>
        <w:tc>
          <w:tcPr>
            <w:tcW w:type="dxa" w:w="1440"/>
          </w:tcPr>
          <w:p>
            <w:r>
              <w:t>HAV</w:t>
            </w:r>
          </w:p>
        </w:tc>
        <w:tc>
          <w:tcPr>
            <w:tcW w:type="dxa" w:w="1440"/>
          </w:tcPr>
          <w:p>
            <w:r>
              <w:t>2019</w:t>
            </w:r>
          </w:p>
        </w:tc>
        <w:tc>
          <w:tcPr>
            <w:tcW w:type="dxa" w:w="1440"/>
          </w:tcPr>
          <w:p>
            <w:r>
              <w:t>-4.329</w:t>
            </w:r>
          </w:p>
        </w:tc>
        <w:tc>
          <w:tcPr>
            <w:tcW w:type="dxa" w:w="1440"/>
          </w:tcPr>
          <w:p>
            <w:r>
              <w:t>-4.303</w:t>
            </w:r>
          </w:p>
        </w:tc>
        <w:tc>
          <w:tcPr>
            <w:tcW w:type="dxa" w:w="1440"/>
          </w:tcPr>
          <w:p>
            <w:r>
              <w:t>-0.026</w:t>
            </w:r>
          </w:p>
        </w:tc>
        <w:tc>
          <w:tcPr>
            <w:tcW w:type="dxa" w:w="1440"/>
          </w:tcPr>
          <w:p>
            <w:r>
              <w:t>0.6%</w:t>
            </w:r>
          </w:p>
        </w:tc>
      </w:tr>
      <w:tr>
        <w:tc>
          <w:tcPr>
            <w:tcW w:type="dxa" w:w="1440"/>
          </w:tcPr>
          <w:p>
            <w:r>
              <w:t>HAV</w:t>
            </w:r>
          </w:p>
        </w:tc>
        <w:tc>
          <w:tcPr>
            <w:tcW w:type="dxa" w:w="1440"/>
          </w:tcPr>
          <w:p>
            <w:r>
              <w:t>2020</w:t>
            </w:r>
          </w:p>
        </w:tc>
        <w:tc>
          <w:tcPr>
            <w:tcW w:type="dxa" w:w="1440"/>
          </w:tcPr>
          <w:p>
            <w:r>
              <w:t>-4.653</w:t>
            </w:r>
          </w:p>
        </w:tc>
        <w:tc>
          <w:tcPr>
            <w:tcW w:type="dxa" w:w="1440"/>
          </w:tcPr>
          <w:p>
            <w:r>
              <w:t>-4.62</w:t>
            </w:r>
          </w:p>
        </w:tc>
        <w:tc>
          <w:tcPr>
            <w:tcW w:type="dxa" w:w="1440"/>
          </w:tcPr>
          <w:p>
            <w:r>
              <w:t>-0.033</w:t>
            </w:r>
          </w:p>
        </w:tc>
        <w:tc>
          <w:tcPr>
            <w:tcW w:type="dxa" w:w="1440"/>
          </w:tcPr>
          <w:p>
            <w:r>
              <w:t>0.7%</w:t>
            </w:r>
          </w:p>
        </w:tc>
      </w:tr>
      <w:tr>
        <w:tc>
          <w:tcPr>
            <w:tcW w:type="dxa" w:w="1440"/>
          </w:tcPr>
          <w:p>
            <w:r>
              <w:t>HEV</w:t>
            </w:r>
          </w:p>
        </w:tc>
        <w:tc>
          <w:tcPr>
            <w:tcW w:type="dxa" w:w="1440"/>
          </w:tcPr>
          <w:p>
            <w:r>
              <w:t>2019</w:t>
            </w:r>
          </w:p>
        </w:tc>
        <w:tc>
          <w:tcPr>
            <w:tcW w:type="dxa" w:w="1440"/>
          </w:tcPr>
          <w:p>
            <w:r>
              <w:t>0.801</w:t>
            </w:r>
          </w:p>
        </w:tc>
        <w:tc>
          <w:tcPr>
            <w:tcW w:type="dxa" w:w="1440"/>
          </w:tcPr>
          <w:p>
            <w:r>
              <w:t>0.633</w:t>
            </w:r>
          </w:p>
        </w:tc>
        <w:tc>
          <w:tcPr>
            <w:tcW w:type="dxa" w:w="1440"/>
          </w:tcPr>
          <w:p>
            <w:r>
              <w:t>0.168</w:t>
            </w:r>
          </w:p>
        </w:tc>
        <w:tc>
          <w:tcPr>
            <w:tcW w:type="dxa" w:w="1440"/>
          </w:tcPr>
          <w:p>
            <w:r>
              <w:t>21.0%</w:t>
            </w:r>
          </w:p>
        </w:tc>
      </w:tr>
      <w:tr>
        <w:tc>
          <w:tcPr>
            <w:tcW w:type="dxa" w:w="1440"/>
          </w:tcPr>
          <w:p>
            <w:r>
              <w:t>HEV</w:t>
            </w:r>
          </w:p>
        </w:tc>
        <w:tc>
          <w:tcPr>
            <w:tcW w:type="dxa" w:w="1440"/>
          </w:tcPr>
          <w:p>
            <w:r>
              <w:t>2020</w:t>
            </w:r>
          </w:p>
        </w:tc>
        <w:tc>
          <w:tcPr>
            <w:tcW w:type="dxa" w:w="1440"/>
          </w:tcPr>
          <w:p>
            <w:r>
              <w:t>0.142</w:t>
            </w:r>
          </w:p>
        </w:tc>
        <w:tc>
          <w:tcPr>
            <w:tcW w:type="dxa" w:w="1440"/>
          </w:tcPr>
          <w:p>
            <w:r>
              <w:t>0.006</w:t>
            </w:r>
          </w:p>
        </w:tc>
        <w:tc>
          <w:tcPr>
            <w:tcW w:type="dxa" w:w="1440"/>
          </w:tcPr>
          <w:p>
            <w:r>
              <w:t>0.136</w:t>
            </w:r>
          </w:p>
        </w:tc>
        <w:tc>
          <w:tcPr>
            <w:tcW w:type="dxa" w:w="1440"/>
          </w:tcPr>
          <w:p>
            <w:r>
              <w:t>95.8%</w:t>
            </w:r>
          </w:p>
        </w:tc>
      </w:tr>
    </w:tbl>
    <w:p>
      <w:r>
        <w:t>The 2005→2020 endpoint for hepatitis E is a COVID-era artefact (reporting collapse in young ages) and should not be interpreted demographically.</w:t>
      </w:r>
    </w:p>
    <w:p>
      <w:r>
        <w:rPr>
          <w:b/>
          <w:sz w:val="20"/>
        </w:rPr>
        <w:t>Table S5. Warming-attributable reported cases, 2005–2020, by age band (two-stage DLNM attribution; hepatitis E values from the companion study).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Type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Ages 0–19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Ages 20–59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Ages ≥60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1728"/>
          </w:tcPr>
          <w:p>
            <w:r>
              <w:t>HAV</w:t>
            </w:r>
          </w:p>
        </w:tc>
        <w:tc>
          <w:tcPr>
            <w:tcW w:type="dxa" w:w="1728"/>
          </w:tcPr>
          <w:p>
            <w:r>
              <w:t>-638</w:t>
            </w:r>
          </w:p>
        </w:tc>
        <w:tc>
          <w:tcPr>
            <w:tcW w:type="dxa" w:w="1728"/>
          </w:tcPr>
          <w:p>
            <w:r>
              <w:t>-808</w:t>
            </w:r>
          </w:p>
        </w:tc>
        <w:tc>
          <w:tcPr>
            <w:tcW w:type="dxa" w:w="1728"/>
          </w:tcPr>
          <w:p>
            <w:r>
              <w:t>477</w:t>
            </w:r>
          </w:p>
        </w:tc>
        <w:tc>
          <w:tcPr>
            <w:tcW w:type="dxa" w:w="1728"/>
          </w:tcPr>
          <w:p>
            <w:r>
              <w:t>-969</w:t>
            </w:r>
          </w:p>
        </w:tc>
      </w:tr>
      <w:tr>
        <w:tc>
          <w:tcPr>
            <w:tcW w:type="dxa" w:w="1728"/>
          </w:tcPr>
          <w:p>
            <w:r>
              <w:t>HEV</w:t>
            </w:r>
          </w:p>
        </w:tc>
        <w:tc>
          <w:tcPr>
            <w:tcW w:type="dxa" w:w="1728"/>
          </w:tcPr>
          <w:p>
            <w:r>
              <w:t>-49</w:t>
            </w:r>
          </w:p>
        </w:tc>
        <w:tc>
          <w:tcPr>
            <w:tcW w:type="dxa" w:w="1728"/>
          </w:tcPr>
          <w:p>
            <w:r>
              <w:t>1247</w:t>
            </w:r>
          </w:p>
        </w:tc>
        <w:tc>
          <w:tcPr>
            <w:tcW w:type="dxa" w:w="1728"/>
          </w:tcPr>
          <w:p>
            <w:r>
              <w:t>1102</w:t>
            </w:r>
          </w:p>
        </w:tc>
        <w:tc>
          <w:tcPr>
            <w:tcW w:type="dxa" w:w="1728"/>
          </w:tcPr>
          <w:p>
            <w:r>
              <w:t>2300</w:t>
            </w:r>
          </w:p>
        </w:tc>
      </w:tr>
    </w:tbl>
    <w:p>
      <w:r>
        <w:rPr>
          <w:b/>
          <w:sz w:val="20"/>
        </w:rPr>
        <w:t>Table S6. Hepatitis A decline by provincial vaccine type (two-dose inactivated EPI provinces vs one-dose live attenuated provinces), 2005/2008/2019.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Population</w:t>
            </w:r>
          </w:p>
        </w:tc>
        <w:tc>
          <w:tcPr>
            <w:tcW w:type="dxa" w:w="1234"/>
          </w:tcPr>
          <w:p>
            <w:r>
              <w:rPr>
                <w:b/>
              </w:rPr>
              <w:t>Vaccine group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Rate 2005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Rate 2008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Rate 2019</w:t>
            </w:r>
          </w:p>
        </w:tc>
        <w:tc>
          <w:tcPr>
            <w:tcW w:type="dxa" w:w="1234"/>
          </w:tcPr>
          <w:p>
            <w:r>
              <w:rPr>
                <w:b/>
              </w:rPr>
              <w:t>APC 2008–2019</w:t>
            </w:r>
          </w:p>
        </w:tc>
        <w:tc>
          <w:tcPr>
            <w:tcW w:type="dxa" w:w="1234"/>
          </w:tcPr>
          <w:p>
            <w:r>
              <w:rPr>
                <w:b/>
              </w:rPr>
              <w:t>Decline 2008–2019</w:t>
            </w:r>
          </w:p>
        </w:tc>
      </w:tr>
      <w:tr>
        <w:tc>
          <w:tcPr>
            <w:tcW w:type="dxa" w:w="1234"/>
          </w:tcPr>
          <w:p>
            <w:r>
              <w:t>全人群</w:t>
            </w:r>
          </w:p>
        </w:tc>
        <w:tc>
          <w:tcPr>
            <w:tcW w:type="dxa" w:w="1234"/>
          </w:tcPr>
          <w:p>
            <w:r>
              <w:t>Inactivated (Beijing, Tianjin, Shanghai, Jiangsu)</w:t>
            </w:r>
          </w:p>
        </w:tc>
        <w:tc>
          <w:tcPr>
            <w:tcW w:type="dxa" w:w="1234"/>
          </w:tcPr>
          <w:p>
            <w:r>
              <w:t>2.73</w:t>
            </w:r>
          </w:p>
        </w:tc>
        <w:tc>
          <w:tcPr>
            <w:tcW w:type="dxa" w:w="1234"/>
          </w:tcPr>
          <w:p>
            <w:r>
              <w:t>1.99</w:t>
            </w:r>
          </w:p>
        </w:tc>
        <w:tc>
          <w:tcPr>
            <w:tcW w:type="dxa" w:w="1234"/>
          </w:tcPr>
          <w:p>
            <w:r>
              <w:t>0.89</w:t>
            </w:r>
          </w:p>
        </w:tc>
        <w:tc>
          <w:tcPr>
            <w:tcW w:type="dxa" w:w="1234"/>
          </w:tcPr>
          <w:p>
            <w:r>
              <w:t>-6.04%</w:t>
            </w:r>
          </w:p>
        </w:tc>
        <w:tc>
          <w:tcPr>
            <w:tcW w:type="dxa" w:w="1234"/>
          </w:tcPr>
          <w:p>
            <w:r>
              <w:t>-55.5%</w:t>
            </w:r>
          </w:p>
        </w:tc>
      </w:tr>
      <w:tr>
        <w:tc>
          <w:tcPr>
            <w:tcW w:type="dxa" w:w="1234"/>
          </w:tcPr>
          <w:p>
            <w:r>
              <w:t>全人群</w:t>
            </w:r>
          </w:p>
        </w:tc>
        <w:tc>
          <w:tcPr>
            <w:tcW w:type="dxa" w:w="1234"/>
          </w:tcPr>
          <w:p>
            <w:r>
              <w:t>Live attenuated (27 provinces)</w:t>
            </w:r>
          </w:p>
        </w:tc>
        <w:tc>
          <w:tcPr>
            <w:tcW w:type="dxa" w:w="1234"/>
          </w:tcPr>
          <w:p>
            <w:r>
              <w:t>6.02</w:t>
            </w:r>
          </w:p>
        </w:tc>
        <w:tc>
          <w:tcPr>
            <w:tcW w:type="dxa" w:w="1234"/>
          </w:tcPr>
          <w:p>
            <w:r>
              <w:t>4.52</w:t>
            </w:r>
          </w:p>
        </w:tc>
        <w:tc>
          <w:tcPr>
            <w:tcW w:type="dxa" w:w="1234"/>
          </w:tcPr>
          <w:p>
            <w:r>
              <w:t>1.43</w:t>
            </w:r>
          </w:p>
        </w:tc>
        <w:tc>
          <w:tcPr>
            <w:tcW w:type="dxa" w:w="1234"/>
          </w:tcPr>
          <w:p>
            <w:r>
              <w:t>-9.73%</w:t>
            </w:r>
          </w:p>
        </w:tc>
        <w:tc>
          <w:tcPr>
            <w:tcW w:type="dxa" w:w="1234"/>
          </w:tcPr>
          <w:p>
            <w:r>
              <w:t>-68.3%</w:t>
            </w:r>
          </w:p>
        </w:tc>
      </w:tr>
      <w:tr>
        <w:tc>
          <w:tcPr>
            <w:tcW w:type="dxa" w:w="1234"/>
          </w:tcPr>
          <w:p>
            <w:r>
              <w:t>0-19岁</w:t>
            </w:r>
          </w:p>
        </w:tc>
        <w:tc>
          <w:tcPr>
            <w:tcW w:type="dxa" w:w="1234"/>
          </w:tcPr>
          <w:p>
            <w:r>
              <w:t>Inactivated (Beijing, Tianjin, Shanghai, Jiangsu)</w:t>
            </w:r>
          </w:p>
        </w:tc>
        <w:tc>
          <w:tcPr>
            <w:tcW w:type="dxa" w:w="1234"/>
          </w:tcPr>
          <w:p>
            <w:r>
              <w:t>1.06</w:t>
            </w:r>
          </w:p>
        </w:tc>
        <w:tc>
          <w:tcPr>
            <w:tcW w:type="dxa" w:w="1234"/>
          </w:tcPr>
          <w:p>
            <w:r>
              <w:t>1.06</w:t>
            </w:r>
          </w:p>
        </w:tc>
        <w:tc>
          <w:tcPr>
            <w:tcW w:type="dxa" w:w="1234"/>
          </w:tcPr>
          <w:p>
            <w:r>
              <w:t>0.1</w:t>
            </w:r>
          </w:p>
        </w:tc>
        <w:tc>
          <w:tcPr>
            <w:tcW w:type="dxa" w:w="1234"/>
          </w:tcPr>
          <w:p>
            <w:r>
              <w:t>-17.61%</w:t>
            </w:r>
          </w:p>
        </w:tc>
        <w:tc>
          <w:tcPr>
            <w:tcW w:type="dxa" w:w="1234"/>
          </w:tcPr>
          <w:p>
            <w:r>
              <w:t>-91.0%</w:t>
            </w:r>
          </w:p>
        </w:tc>
      </w:tr>
      <w:tr>
        <w:tc>
          <w:tcPr>
            <w:tcW w:type="dxa" w:w="1234"/>
          </w:tcPr>
          <w:p>
            <w:r>
              <w:t>0-19岁</w:t>
            </w:r>
          </w:p>
        </w:tc>
        <w:tc>
          <w:tcPr>
            <w:tcW w:type="dxa" w:w="1234"/>
          </w:tcPr>
          <w:p>
            <w:r>
              <w:t>Live attenuated (27 provinces)</w:t>
            </w:r>
          </w:p>
        </w:tc>
        <w:tc>
          <w:tcPr>
            <w:tcW w:type="dxa" w:w="1234"/>
          </w:tcPr>
          <w:p>
            <w:r>
              <w:t>7.82</w:t>
            </w:r>
          </w:p>
        </w:tc>
        <w:tc>
          <w:tcPr>
            <w:tcW w:type="dxa" w:w="1234"/>
          </w:tcPr>
          <w:p>
            <w:r>
              <w:t>6.94</w:t>
            </w:r>
          </w:p>
        </w:tc>
        <w:tc>
          <w:tcPr>
            <w:tcW w:type="dxa" w:w="1234"/>
          </w:tcPr>
          <w:p>
            <w:r>
              <w:t>0.47</w:t>
            </w:r>
          </w:p>
        </w:tc>
        <w:tc>
          <w:tcPr>
            <w:tcW w:type="dxa" w:w="1234"/>
          </w:tcPr>
          <w:p>
            <w:r>
              <w:t>-20.07%</w:t>
            </w:r>
          </w:p>
        </w:tc>
        <w:tc>
          <w:tcPr>
            <w:tcW w:type="dxa" w:w="1234"/>
          </w:tcPr>
          <w:p>
            <w:r>
              <w:t>-93.3%</w:t>
            </w:r>
          </w:p>
        </w:tc>
      </w:tr>
    </w:tbl>
    <w:p>
      <w:r>
        <w:rPr>
          <w:b/>
          <w:sz w:val="20"/>
        </w:rPr>
        <w:t>Table S7. Reported cases, deaths and case fatality by hepatitis type, 2005–2020.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Type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Cases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Deaths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CFR per 1 000</w:t>
            </w:r>
          </w:p>
        </w:tc>
      </w:tr>
      <w:tr>
        <w:tc>
          <w:tcPr>
            <w:tcW w:type="dxa" w:w="2160"/>
          </w:tcPr>
          <w:p>
            <w:r>
              <w:t>Hepatitis C</w:t>
            </w:r>
          </w:p>
        </w:tc>
        <w:tc>
          <w:tcPr>
            <w:tcW w:type="dxa" w:w="2160"/>
          </w:tcPr>
          <w:p>
            <w:r>
              <w:t>2,656,625</w:t>
            </w:r>
          </w:p>
        </w:tc>
        <w:tc>
          <w:tcPr>
            <w:tcW w:type="dxa" w:w="2160"/>
          </w:tcPr>
          <w:p>
            <w:r>
              <w:t>1,897</w:t>
            </w:r>
          </w:p>
        </w:tc>
        <w:tc>
          <w:tcPr>
            <w:tcW w:type="dxa" w:w="2160"/>
          </w:tcPr>
          <w:p>
            <w:r>
              <w:t>0.7141</w:t>
            </w:r>
          </w:p>
        </w:tc>
      </w:tr>
      <w:tr>
        <w:tc>
          <w:tcPr>
            <w:tcW w:type="dxa" w:w="2160"/>
          </w:tcPr>
          <w:p>
            <w:r>
              <w:t>Hepatitis B</w:t>
            </w:r>
          </w:p>
        </w:tc>
        <w:tc>
          <w:tcPr>
            <w:tcW w:type="dxa" w:w="2160"/>
          </w:tcPr>
          <w:p>
            <w:r>
              <w:t>16,533,417</w:t>
            </w:r>
          </w:p>
        </w:tc>
        <w:tc>
          <w:tcPr>
            <w:tcW w:type="dxa" w:w="2160"/>
          </w:tcPr>
          <w:p>
            <w:r>
              <w:t>9,704</w:t>
            </w:r>
          </w:p>
        </w:tc>
        <w:tc>
          <w:tcPr>
            <w:tcW w:type="dxa" w:w="2160"/>
          </w:tcPr>
          <w:p>
            <w:r>
              <w:t>0.5869</w:t>
            </w:r>
          </w:p>
        </w:tc>
      </w:tr>
      <w:tr>
        <w:tc>
          <w:tcPr>
            <w:tcW w:type="dxa" w:w="2160"/>
          </w:tcPr>
          <w:p>
            <w:r>
              <w:t>Hepatitis E</w:t>
            </w:r>
          </w:p>
        </w:tc>
        <w:tc>
          <w:tcPr>
            <w:tcW w:type="dxa" w:w="2160"/>
          </w:tcPr>
          <w:p>
            <w:r>
              <w:t>388,867</w:t>
            </w:r>
          </w:p>
        </w:tc>
        <w:tc>
          <w:tcPr>
            <w:tcW w:type="dxa" w:w="2160"/>
          </w:tcPr>
          <w:p>
            <w:r>
              <w:t>423</w:t>
            </w:r>
          </w:p>
        </w:tc>
        <w:tc>
          <w:tcPr>
            <w:tcW w:type="dxa" w:w="2160"/>
          </w:tcPr>
          <w:p>
            <w:r>
              <w:t>1.0878</w:t>
            </w:r>
          </w:p>
        </w:tc>
      </w:tr>
      <w:tr>
        <w:tc>
          <w:tcPr>
            <w:tcW w:type="dxa" w:w="2160"/>
          </w:tcPr>
          <w:p>
            <w:r>
              <w:t>Hepatitis A</w:t>
            </w:r>
          </w:p>
        </w:tc>
        <w:tc>
          <w:tcPr>
            <w:tcW w:type="dxa" w:w="2160"/>
          </w:tcPr>
          <w:p>
            <w:r>
              <w:t>571,552</w:t>
            </w:r>
          </w:p>
        </w:tc>
        <w:tc>
          <w:tcPr>
            <w:tcW w:type="dxa" w:w="2160"/>
          </w:tcPr>
          <w:p>
            <w:r>
              <w:t>200</w:t>
            </w:r>
          </w:p>
        </w:tc>
        <w:tc>
          <w:tcPr>
            <w:tcW w:type="dxa" w:w="2160"/>
          </w:tcPr>
          <w:p>
            <w:r>
              <w:t>0.3499</w:t>
            </w:r>
          </w:p>
        </w:tc>
      </w:tr>
      <w:tr>
        <w:tc>
          <w:tcPr>
            <w:tcW w:type="dxa" w:w="2160"/>
          </w:tcPr>
          <w:p>
            <w:r>
              <w:t>肝炎未分型</w:t>
            </w:r>
          </w:p>
        </w:tc>
        <w:tc>
          <w:tcPr>
            <w:tcW w:type="dxa" w:w="2160"/>
          </w:tcPr>
          <w:p>
            <w:r>
              <w:t>611,639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</w:tbl>
    <w:p>
      <w:r>
        <w:rPr>
          <w:b/>
          <w:sz w:val="20"/>
        </w:rPr>
        <w:t>Figure S1. National batch-release volumes of hepatitis A vaccines, by vaccine type, 2019–2020 (NIFDC per-batch records; Additional file 1).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0982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supp_hepa_batch_releas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8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Vertical reference: annual birth cohort (14.65 million in 2019; 12.00 million in 2020, National Bureau of Statistics). Live attenuated releases alone exceeded the birth cohort by 44% (2019) and 68% (2020).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