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DF86" w14:textId="77777777" w:rsidR="00B02128" w:rsidRPr="009E7EB7" w:rsidRDefault="00B02128" w:rsidP="00B02128">
      <w:pPr>
        <w:spacing w:line="480" w:lineRule="auto"/>
        <w:jc w:val="both"/>
        <w:rPr>
          <w:rFonts w:ascii="Calibri" w:hAnsi="Calibri" w:cs="Calibri"/>
        </w:rPr>
      </w:pPr>
      <w:r w:rsidRPr="009E7EB7">
        <w:rPr>
          <w:rFonts w:ascii="Calibri" w:hAnsi="Calibri" w:cs="Calibri"/>
          <w:b/>
          <w:bCs/>
        </w:rPr>
        <w:t xml:space="preserve">Table 1. </w:t>
      </w:r>
      <w:r w:rsidRPr="009E7EB7">
        <w:rPr>
          <w:rFonts w:ascii="Calibri" w:hAnsi="Calibri" w:cs="Calibri"/>
        </w:rPr>
        <w:t>Semi-quantitative framework for assessing IAS impacts on human health. Values falling exactly on the boundary between two intervals were assigned to the higher impact category.</w:t>
      </w:r>
    </w:p>
    <w:tbl>
      <w:tblPr>
        <w:tblW w:w="0" w:type="auto"/>
        <w:jc w:val="center"/>
        <w:tblCellMar>
          <w:top w:w="15" w:type="dxa"/>
          <w:left w:w="15" w:type="dxa"/>
          <w:bottom w:w="15" w:type="dxa"/>
          <w:right w:w="15" w:type="dxa"/>
        </w:tblCellMar>
        <w:tblLook w:val="04A0" w:firstRow="1" w:lastRow="0" w:firstColumn="1" w:lastColumn="0" w:noHBand="0" w:noVBand="1"/>
      </w:tblPr>
      <w:tblGrid>
        <w:gridCol w:w="1323"/>
        <w:gridCol w:w="762"/>
        <w:gridCol w:w="1961"/>
        <w:gridCol w:w="1487"/>
        <w:gridCol w:w="1764"/>
        <w:gridCol w:w="2053"/>
      </w:tblGrid>
      <w:tr w:rsidR="00B02128" w:rsidRPr="009E7EB7" w14:paraId="200C2464" w14:textId="77777777" w:rsidTr="000D350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C5CF6E"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Impact Category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B367D6"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Score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32B0C"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Average prevalence of zoonotic pathogens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74EF1"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Disease severity (mean BSL score)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5C4D64"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Human Exposure (% population)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1C701"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Geographic Distribution (% European territory)</w:t>
            </w:r>
          </w:p>
        </w:tc>
      </w:tr>
      <w:tr w:rsidR="00B02128" w:rsidRPr="009E7EB7" w14:paraId="526F7E81" w14:textId="77777777" w:rsidTr="000D350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DCDE8F"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Minimal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52B957"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9D0A9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&lt;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ABD703"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64629B"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27D051"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0–20</w:t>
            </w:r>
          </w:p>
        </w:tc>
      </w:tr>
      <w:tr w:rsidR="00B02128" w:rsidRPr="009E7EB7" w14:paraId="4C9EAE22" w14:textId="77777777" w:rsidTr="000D350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4F4DB"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Minor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422ECE"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0A65FC"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F7438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E63064"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20–40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DB357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20–40</w:t>
            </w:r>
          </w:p>
        </w:tc>
      </w:tr>
      <w:tr w:rsidR="00B02128" w:rsidRPr="009E7EB7" w14:paraId="1ACDD7EC" w14:textId="77777777" w:rsidTr="000D350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8B2604"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Moderate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3E5539"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584997"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C168D"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C9D9E4"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40–60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B8E249"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40–60</w:t>
            </w:r>
          </w:p>
        </w:tc>
      </w:tr>
      <w:tr w:rsidR="00B02128" w:rsidRPr="009E7EB7" w14:paraId="54222BB8" w14:textId="77777777" w:rsidTr="000D350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E1448F"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Major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101B43"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28FBE"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30–70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11A8D"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E48BB6"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60–80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07B97"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60–80</w:t>
            </w:r>
          </w:p>
        </w:tc>
      </w:tr>
      <w:tr w:rsidR="00B02128" w:rsidRPr="009E7EB7" w14:paraId="196E7D30" w14:textId="77777777" w:rsidTr="000D350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F416D9"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Massive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1D56FA"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9E8DFB"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&gt; 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B9DC3A"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429B9F"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80–100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91B0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80–100</w:t>
            </w:r>
          </w:p>
        </w:tc>
      </w:tr>
    </w:tbl>
    <w:p w14:paraId="3EC56358" w14:textId="77777777" w:rsidR="00B02128" w:rsidRPr="009E7EB7" w:rsidRDefault="00B02128" w:rsidP="00B02128">
      <w:pPr>
        <w:spacing w:line="480" w:lineRule="auto"/>
        <w:jc w:val="both"/>
        <w:rPr>
          <w:rFonts w:ascii="Calibri" w:hAnsi="Calibri" w:cs="Calibri"/>
        </w:rPr>
      </w:pPr>
    </w:p>
    <w:p w14:paraId="45737530" w14:textId="77777777" w:rsidR="00B02128" w:rsidRPr="009E7EB7" w:rsidRDefault="00B02128" w:rsidP="00B02128">
      <w:pPr>
        <w:spacing w:line="480" w:lineRule="auto"/>
        <w:jc w:val="both"/>
        <w:rPr>
          <w:rFonts w:ascii="Calibri" w:hAnsi="Calibri" w:cs="Calibri"/>
        </w:rPr>
      </w:pPr>
      <w:r w:rsidRPr="009E7EB7">
        <w:rPr>
          <w:rFonts w:ascii="Calibri" w:hAnsi="Calibri" w:cs="Calibri"/>
          <w:b/>
          <w:bCs/>
        </w:rPr>
        <w:t xml:space="preserve">Table 2. </w:t>
      </w:r>
      <w:r w:rsidRPr="009E7EB7">
        <w:rPr>
          <w:rFonts w:ascii="Calibri" w:hAnsi="Calibri" w:cs="Calibri"/>
        </w:rPr>
        <w:t>Human health risk classification of invasive mammal specie</w:t>
      </w:r>
      <w:r w:rsidRPr="009E7EB7">
        <w:rPr>
          <w:rFonts w:ascii="Calibri" w:hAnsi="Calibri" w:cs="Calibri"/>
          <w:color w:val="000000" w:themeColor="text1"/>
        </w:rPr>
        <w:t xml:space="preserve">s. The </w:t>
      </w:r>
      <w:r w:rsidRPr="009E7EB7">
        <w:rPr>
          <w:rFonts w:ascii="Calibri" w:hAnsi="Calibri" w:cs="Calibri"/>
        </w:rPr>
        <w:t>raw values calculated for each parameter are provided. For disease severity and pathogen prevalence, values are shown as mean ± standard deviation. Values in parentheses indicate the ordinal impact score assigned to each parameter according to the semi-quantitative framework, ranging from 1, minimal impact, to 5, massive impact. Cell colours represent the ordinal impact score, from low impact in green to higher impact in red. The final impact score was calculated as the sum of the four parameter scores, with possible values ranging from 4 to 20.</w:t>
      </w:r>
    </w:p>
    <w:tbl>
      <w:tblPr>
        <w:tblStyle w:val="TableGridLight"/>
        <w:tblW w:w="8930" w:type="dxa"/>
        <w:tblInd w:w="-5" w:type="dxa"/>
        <w:tblLook w:val="04A0" w:firstRow="1" w:lastRow="0" w:firstColumn="1" w:lastColumn="0" w:noHBand="0" w:noVBand="1"/>
      </w:tblPr>
      <w:tblGrid>
        <w:gridCol w:w="1433"/>
        <w:gridCol w:w="1219"/>
        <w:gridCol w:w="1357"/>
        <w:gridCol w:w="1020"/>
        <w:gridCol w:w="1305"/>
        <w:gridCol w:w="1361"/>
        <w:gridCol w:w="1235"/>
      </w:tblGrid>
      <w:tr w:rsidR="00B02128" w:rsidRPr="009E7EB7" w14:paraId="1AF41A57" w14:textId="77777777" w:rsidTr="000D3504">
        <w:trPr>
          <w:trHeight w:val="1395"/>
        </w:trPr>
        <w:tc>
          <w:tcPr>
            <w:tcW w:w="1433" w:type="dxa"/>
            <w:vAlign w:val="center"/>
            <w:hideMark/>
          </w:tcPr>
          <w:p w14:paraId="7963932B"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sz w:val="22"/>
                <w:szCs w:val="22"/>
              </w:rPr>
              <w:lastRenderedPageBreak/>
              <w:t>Species</w:t>
            </w:r>
          </w:p>
        </w:tc>
        <w:tc>
          <w:tcPr>
            <w:tcW w:w="1219" w:type="dxa"/>
            <w:vAlign w:val="center"/>
          </w:tcPr>
          <w:p w14:paraId="7C11C590" w14:textId="77777777" w:rsidR="00B02128" w:rsidRPr="009E7EB7" w:rsidRDefault="00B02128" w:rsidP="000D3504">
            <w:pPr>
              <w:spacing w:line="480" w:lineRule="auto"/>
              <w:jc w:val="center"/>
              <w:rPr>
                <w:rFonts w:ascii="Calibri" w:hAnsi="Calibri" w:cs="Calibri"/>
                <w:b/>
                <w:bCs/>
                <w:sz w:val="22"/>
                <w:szCs w:val="22"/>
              </w:rPr>
            </w:pPr>
            <w:r w:rsidRPr="009E7EB7">
              <w:rPr>
                <w:rFonts w:ascii="Calibri" w:hAnsi="Calibri" w:cs="Calibri"/>
                <w:b/>
                <w:bCs/>
                <w:sz w:val="22"/>
                <w:szCs w:val="22"/>
              </w:rPr>
              <w:t>Number of pathogens considered</w:t>
            </w:r>
          </w:p>
        </w:tc>
        <w:tc>
          <w:tcPr>
            <w:tcW w:w="1357" w:type="dxa"/>
            <w:vAlign w:val="center"/>
            <w:hideMark/>
          </w:tcPr>
          <w:p w14:paraId="50D529B6"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sz w:val="22"/>
                <w:szCs w:val="22"/>
              </w:rPr>
              <w:t>Human exposure (% population)</w:t>
            </w:r>
          </w:p>
        </w:tc>
        <w:tc>
          <w:tcPr>
            <w:tcW w:w="1020" w:type="dxa"/>
            <w:vAlign w:val="center"/>
            <w:hideMark/>
          </w:tcPr>
          <w:p w14:paraId="1CAE0376"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sz w:val="22"/>
                <w:szCs w:val="22"/>
              </w:rPr>
              <w:t>Disease severity (Average BSL)</w:t>
            </w:r>
          </w:p>
        </w:tc>
        <w:tc>
          <w:tcPr>
            <w:tcW w:w="1305" w:type="dxa"/>
            <w:vAlign w:val="center"/>
            <w:hideMark/>
          </w:tcPr>
          <w:p w14:paraId="5AC77F43"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sz w:val="22"/>
                <w:szCs w:val="22"/>
              </w:rPr>
              <w:t>Average prevalence of zoonotic pathogens (%)</w:t>
            </w:r>
          </w:p>
        </w:tc>
        <w:tc>
          <w:tcPr>
            <w:tcW w:w="1361" w:type="dxa"/>
            <w:vAlign w:val="center"/>
            <w:hideMark/>
          </w:tcPr>
          <w:p w14:paraId="326A0C6D"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sz w:val="22"/>
                <w:szCs w:val="22"/>
              </w:rPr>
              <w:t>Geographic distribution (% European territory)</w:t>
            </w:r>
          </w:p>
        </w:tc>
        <w:tc>
          <w:tcPr>
            <w:tcW w:w="1235" w:type="dxa"/>
            <w:vAlign w:val="center"/>
            <w:hideMark/>
          </w:tcPr>
          <w:p w14:paraId="296B7855"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sz w:val="22"/>
                <w:szCs w:val="22"/>
              </w:rPr>
              <w:t>Impact Score</w:t>
            </w:r>
          </w:p>
        </w:tc>
      </w:tr>
      <w:tr w:rsidR="00B02128" w:rsidRPr="009E7EB7" w14:paraId="0C4B3D23" w14:textId="77777777" w:rsidTr="000D3504">
        <w:trPr>
          <w:trHeight w:val="765"/>
        </w:trPr>
        <w:tc>
          <w:tcPr>
            <w:tcW w:w="1433" w:type="dxa"/>
            <w:vAlign w:val="center"/>
            <w:hideMark/>
          </w:tcPr>
          <w:p w14:paraId="21A33DB2"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Nyctereutes procyonoides</w:t>
            </w:r>
          </w:p>
        </w:tc>
        <w:tc>
          <w:tcPr>
            <w:tcW w:w="1219" w:type="dxa"/>
            <w:vAlign w:val="center"/>
          </w:tcPr>
          <w:p w14:paraId="0E829116"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26</w:t>
            </w:r>
          </w:p>
        </w:tc>
        <w:tc>
          <w:tcPr>
            <w:tcW w:w="1357" w:type="dxa"/>
            <w:shd w:val="clear" w:color="auto" w:fill="FF5D5D"/>
            <w:vAlign w:val="center"/>
            <w:hideMark/>
          </w:tcPr>
          <w:p w14:paraId="4204AE0B"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87.49 (5)</w:t>
            </w:r>
          </w:p>
        </w:tc>
        <w:tc>
          <w:tcPr>
            <w:tcW w:w="1020" w:type="dxa"/>
            <w:shd w:val="clear" w:color="auto" w:fill="FEC55E"/>
            <w:vAlign w:val="center"/>
            <w:hideMark/>
          </w:tcPr>
          <w:p w14:paraId="4895A68D"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2.23 ± 0.65 (3)</w:t>
            </w:r>
          </w:p>
        </w:tc>
        <w:tc>
          <w:tcPr>
            <w:tcW w:w="1305" w:type="dxa"/>
            <w:shd w:val="clear" w:color="auto" w:fill="FEC55E"/>
            <w:vAlign w:val="center"/>
            <w:hideMark/>
          </w:tcPr>
          <w:p w14:paraId="30233ECC"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23.93 ± 17.66 (3)</w:t>
            </w:r>
          </w:p>
        </w:tc>
        <w:tc>
          <w:tcPr>
            <w:tcW w:w="1361" w:type="dxa"/>
            <w:shd w:val="clear" w:color="auto" w:fill="FF5D5D"/>
            <w:vAlign w:val="center"/>
            <w:hideMark/>
          </w:tcPr>
          <w:p w14:paraId="532CEE33"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82.83 (5)</w:t>
            </w:r>
          </w:p>
        </w:tc>
        <w:tc>
          <w:tcPr>
            <w:tcW w:w="1235" w:type="dxa"/>
            <w:shd w:val="clear" w:color="auto" w:fill="FF5D5D"/>
            <w:vAlign w:val="center"/>
            <w:hideMark/>
          </w:tcPr>
          <w:p w14:paraId="7DBB0F69"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16 (Major)</w:t>
            </w:r>
          </w:p>
        </w:tc>
      </w:tr>
      <w:tr w:rsidR="00B02128" w:rsidRPr="009E7EB7" w14:paraId="240C7B1F" w14:textId="77777777" w:rsidTr="000D3504">
        <w:trPr>
          <w:trHeight w:val="765"/>
        </w:trPr>
        <w:tc>
          <w:tcPr>
            <w:tcW w:w="1433" w:type="dxa"/>
            <w:vAlign w:val="center"/>
            <w:hideMark/>
          </w:tcPr>
          <w:p w14:paraId="3D752349"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Ondatra zibethicus</w:t>
            </w:r>
          </w:p>
        </w:tc>
        <w:tc>
          <w:tcPr>
            <w:tcW w:w="1219" w:type="dxa"/>
            <w:vAlign w:val="center"/>
          </w:tcPr>
          <w:p w14:paraId="51D76A81"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17</w:t>
            </w:r>
          </w:p>
        </w:tc>
        <w:tc>
          <w:tcPr>
            <w:tcW w:w="1357" w:type="dxa"/>
            <w:shd w:val="clear" w:color="auto" w:fill="FF5D5D"/>
            <w:vAlign w:val="center"/>
            <w:hideMark/>
          </w:tcPr>
          <w:p w14:paraId="501DBF8A"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85.20 (5)</w:t>
            </w:r>
          </w:p>
        </w:tc>
        <w:tc>
          <w:tcPr>
            <w:tcW w:w="1020" w:type="dxa"/>
            <w:shd w:val="clear" w:color="auto" w:fill="FEC55E"/>
            <w:vAlign w:val="center"/>
            <w:hideMark/>
          </w:tcPr>
          <w:p w14:paraId="2049E175"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2.29 ± 0.59 (3)</w:t>
            </w:r>
          </w:p>
        </w:tc>
        <w:tc>
          <w:tcPr>
            <w:tcW w:w="1305" w:type="dxa"/>
            <w:shd w:val="clear" w:color="auto" w:fill="FF5D5D"/>
            <w:vAlign w:val="center"/>
            <w:hideMark/>
          </w:tcPr>
          <w:p w14:paraId="4D5B148E"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48.32 ± 28.37 (4)</w:t>
            </w:r>
          </w:p>
        </w:tc>
        <w:tc>
          <w:tcPr>
            <w:tcW w:w="1361" w:type="dxa"/>
            <w:shd w:val="clear" w:color="auto" w:fill="FF5D5D"/>
            <w:vAlign w:val="center"/>
            <w:hideMark/>
          </w:tcPr>
          <w:p w14:paraId="3A305744"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77.13 (4)</w:t>
            </w:r>
          </w:p>
        </w:tc>
        <w:tc>
          <w:tcPr>
            <w:tcW w:w="1235" w:type="dxa"/>
            <w:shd w:val="clear" w:color="auto" w:fill="FF5D5D"/>
            <w:vAlign w:val="center"/>
            <w:hideMark/>
          </w:tcPr>
          <w:p w14:paraId="6B9090B6"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16 (Major)</w:t>
            </w:r>
          </w:p>
        </w:tc>
      </w:tr>
      <w:tr w:rsidR="00B02128" w:rsidRPr="009E7EB7" w14:paraId="5D92A562" w14:textId="77777777" w:rsidTr="000D3504">
        <w:trPr>
          <w:trHeight w:val="765"/>
        </w:trPr>
        <w:tc>
          <w:tcPr>
            <w:tcW w:w="1433" w:type="dxa"/>
            <w:vAlign w:val="center"/>
            <w:hideMark/>
          </w:tcPr>
          <w:p w14:paraId="0DDC2869"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Myocastor coypus</w:t>
            </w:r>
          </w:p>
        </w:tc>
        <w:tc>
          <w:tcPr>
            <w:tcW w:w="1219" w:type="dxa"/>
            <w:vAlign w:val="center"/>
          </w:tcPr>
          <w:p w14:paraId="5206F6F2"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14</w:t>
            </w:r>
          </w:p>
        </w:tc>
        <w:tc>
          <w:tcPr>
            <w:tcW w:w="1357" w:type="dxa"/>
            <w:shd w:val="clear" w:color="auto" w:fill="FF5D5D"/>
            <w:vAlign w:val="center"/>
            <w:hideMark/>
          </w:tcPr>
          <w:p w14:paraId="703C8198"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99.43 (5)</w:t>
            </w:r>
          </w:p>
        </w:tc>
        <w:tc>
          <w:tcPr>
            <w:tcW w:w="1020" w:type="dxa"/>
            <w:shd w:val="clear" w:color="auto" w:fill="FFF579"/>
            <w:vAlign w:val="center"/>
            <w:hideMark/>
          </w:tcPr>
          <w:p w14:paraId="5C44A2B2"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1.86 ± 0.77 (2)</w:t>
            </w:r>
          </w:p>
        </w:tc>
        <w:tc>
          <w:tcPr>
            <w:tcW w:w="1305" w:type="dxa"/>
            <w:shd w:val="clear" w:color="auto" w:fill="FEC55E"/>
            <w:vAlign w:val="center"/>
            <w:hideMark/>
          </w:tcPr>
          <w:p w14:paraId="502277E1"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28.65 ± 23.31 (3)</w:t>
            </w:r>
          </w:p>
        </w:tc>
        <w:tc>
          <w:tcPr>
            <w:tcW w:w="1361" w:type="dxa"/>
            <w:shd w:val="clear" w:color="auto" w:fill="FF5D5D"/>
            <w:vAlign w:val="center"/>
            <w:hideMark/>
          </w:tcPr>
          <w:p w14:paraId="555DDE2F"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88.11 (5)</w:t>
            </w:r>
          </w:p>
        </w:tc>
        <w:tc>
          <w:tcPr>
            <w:tcW w:w="1235" w:type="dxa"/>
            <w:shd w:val="clear" w:color="auto" w:fill="FF5D5D"/>
            <w:vAlign w:val="center"/>
            <w:hideMark/>
          </w:tcPr>
          <w:p w14:paraId="0D219D0D"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15 (Major)</w:t>
            </w:r>
          </w:p>
        </w:tc>
      </w:tr>
      <w:tr w:rsidR="00B02128" w:rsidRPr="009E7EB7" w14:paraId="1795CDE0" w14:textId="77777777" w:rsidTr="000D3504">
        <w:trPr>
          <w:trHeight w:val="765"/>
        </w:trPr>
        <w:tc>
          <w:tcPr>
            <w:tcW w:w="1433" w:type="dxa"/>
            <w:vAlign w:val="center"/>
            <w:hideMark/>
          </w:tcPr>
          <w:p w14:paraId="5DDF7A24"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Procyon lotor</w:t>
            </w:r>
          </w:p>
        </w:tc>
        <w:tc>
          <w:tcPr>
            <w:tcW w:w="1219" w:type="dxa"/>
            <w:vAlign w:val="center"/>
          </w:tcPr>
          <w:p w14:paraId="615D933D"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19</w:t>
            </w:r>
          </w:p>
        </w:tc>
        <w:tc>
          <w:tcPr>
            <w:tcW w:w="1357" w:type="dxa"/>
            <w:shd w:val="clear" w:color="auto" w:fill="FF5D5D"/>
            <w:vAlign w:val="center"/>
            <w:hideMark/>
          </w:tcPr>
          <w:p w14:paraId="5DE67508"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81.80 (5)</w:t>
            </w:r>
          </w:p>
        </w:tc>
        <w:tc>
          <w:tcPr>
            <w:tcW w:w="1020" w:type="dxa"/>
            <w:shd w:val="clear" w:color="auto" w:fill="FEC55E"/>
            <w:vAlign w:val="center"/>
            <w:hideMark/>
          </w:tcPr>
          <w:p w14:paraId="6D24A6FE"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2.21 ± 0.63 (3)</w:t>
            </w:r>
          </w:p>
        </w:tc>
        <w:tc>
          <w:tcPr>
            <w:tcW w:w="1305" w:type="dxa"/>
            <w:shd w:val="clear" w:color="auto" w:fill="FEC55E"/>
            <w:vAlign w:val="center"/>
            <w:hideMark/>
          </w:tcPr>
          <w:p w14:paraId="32275E7A"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17.01 ± 13.07 (3)</w:t>
            </w:r>
          </w:p>
        </w:tc>
        <w:tc>
          <w:tcPr>
            <w:tcW w:w="1361" w:type="dxa"/>
            <w:shd w:val="clear" w:color="auto" w:fill="FEC55E"/>
            <w:vAlign w:val="center"/>
            <w:hideMark/>
          </w:tcPr>
          <w:p w14:paraId="2B604012"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54.34 (3)</w:t>
            </w:r>
          </w:p>
        </w:tc>
        <w:tc>
          <w:tcPr>
            <w:tcW w:w="1235" w:type="dxa"/>
            <w:shd w:val="clear" w:color="auto" w:fill="FF5D5D"/>
            <w:vAlign w:val="center"/>
            <w:hideMark/>
          </w:tcPr>
          <w:p w14:paraId="2686AC89"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14 (Major)</w:t>
            </w:r>
          </w:p>
        </w:tc>
      </w:tr>
      <w:tr w:rsidR="00B02128" w:rsidRPr="009E7EB7" w14:paraId="368FF0BB" w14:textId="77777777" w:rsidTr="000D3504">
        <w:trPr>
          <w:trHeight w:val="765"/>
        </w:trPr>
        <w:tc>
          <w:tcPr>
            <w:tcW w:w="1433" w:type="dxa"/>
            <w:vAlign w:val="center"/>
            <w:hideMark/>
          </w:tcPr>
          <w:p w14:paraId="6907D680"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Sciurus carolinensis</w:t>
            </w:r>
          </w:p>
        </w:tc>
        <w:tc>
          <w:tcPr>
            <w:tcW w:w="1219" w:type="dxa"/>
            <w:vAlign w:val="center"/>
          </w:tcPr>
          <w:p w14:paraId="6CBCDB51"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16</w:t>
            </w:r>
          </w:p>
        </w:tc>
        <w:tc>
          <w:tcPr>
            <w:tcW w:w="1357" w:type="dxa"/>
            <w:shd w:val="clear" w:color="auto" w:fill="FF5D5D"/>
            <w:vAlign w:val="center"/>
            <w:hideMark/>
          </w:tcPr>
          <w:p w14:paraId="2436A511"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82.43 (5)</w:t>
            </w:r>
          </w:p>
        </w:tc>
        <w:tc>
          <w:tcPr>
            <w:tcW w:w="1020" w:type="dxa"/>
            <w:shd w:val="clear" w:color="auto" w:fill="FEC55E"/>
            <w:vAlign w:val="center"/>
            <w:hideMark/>
          </w:tcPr>
          <w:p w14:paraId="5F6753B7"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2.44 ± 0.51 (3)</w:t>
            </w:r>
          </w:p>
        </w:tc>
        <w:tc>
          <w:tcPr>
            <w:tcW w:w="1305" w:type="dxa"/>
            <w:shd w:val="clear" w:color="auto" w:fill="FEC55E"/>
            <w:vAlign w:val="center"/>
            <w:hideMark/>
          </w:tcPr>
          <w:p w14:paraId="1A038BD1"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23.93 ± 22.92 (3)</w:t>
            </w:r>
          </w:p>
        </w:tc>
        <w:tc>
          <w:tcPr>
            <w:tcW w:w="1361" w:type="dxa"/>
            <w:shd w:val="clear" w:color="auto" w:fill="FEC55E"/>
            <w:vAlign w:val="center"/>
            <w:hideMark/>
          </w:tcPr>
          <w:p w14:paraId="15179FD4"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54.22 (3)</w:t>
            </w:r>
          </w:p>
        </w:tc>
        <w:tc>
          <w:tcPr>
            <w:tcW w:w="1235" w:type="dxa"/>
            <w:shd w:val="clear" w:color="auto" w:fill="FF5D5D"/>
            <w:vAlign w:val="center"/>
            <w:hideMark/>
          </w:tcPr>
          <w:p w14:paraId="465B45C2"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14 (Major)</w:t>
            </w:r>
          </w:p>
        </w:tc>
      </w:tr>
      <w:tr w:rsidR="00B02128" w:rsidRPr="009E7EB7" w14:paraId="1F879E55" w14:textId="77777777" w:rsidTr="000D3504">
        <w:trPr>
          <w:trHeight w:val="765"/>
        </w:trPr>
        <w:tc>
          <w:tcPr>
            <w:tcW w:w="1433" w:type="dxa"/>
            <w:vAlign w:val="center"/>
            <w:hideMark/>
          </w:tcPr>
          <w:p w14:paraId="4B12F3D3"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Tamias sibiricus</w:t>
            </w:r>
          </w:p>
        </w:tc>
        <w:tc>
          <w:tcPr>
            <w:tcW w:w="1219" w:type="dxa"/>
            <w:vAlign w:val="center"/>
          </w:tcPr>
          <w:p w14:paraId="3120C0D7"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w:t>
            </w:r>
          </w:p>
        </w:tc>
        <w:tc>
          <w:tcPr>
            <w:tcW w:w="1357" w:type="dxa"/>
            <w:shd w:val="clear" w:color="auto" w:fill="FF5D5D"/>
            <w:vAlign w:val="center"/>
            <w:hideMark/>
          </w:tcPr>
          <w:p w14:paraId="5092D41E"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78.16 (4)</w:t>
            </w:r>
          </w:p>
        </w:tc>
        <w:tc>
          <w:tcPr>
            <w:tcW w:w="1020" w:type="dxa"/>
            <w:shd w:val="clear" w:color="auto" w:fill="FF5D5D"/>
            <w:vAlign w:val="center"/>
            <w:hideMark/>
          </w:tcPr>
          <w:p w14:paraId="2BE05ED6"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3.00 (4)</w:t>
            </w:r>
          </w:p>
        </w:tc>
        <w:tc>
          <w:tcPr>
            <w:tcW w:w="1305" w:type="dxa"/>
            <w:shd w:val="clear" w:color="auto" w:fill="FEC55E"/>
            <w:vAlign w:val="center"/>
            <w:hideMark/>
          </w:tcPr>
          <w:p w14:paraId="59A30CB6"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26.18 (3)</w:t>
            </w:r>
          </w:p>
        </w:tc>
        <w:tc>
          <w:tcPr>
            <w:tcW w:w="1361" w:type="dxa"/>
            <w:shd w:val="clear" w:color="auto" w:fill="FEC55E"/>
            <w:vAlign w:val="center"/>
            <w:hideMark/>
          </w:tcPr>
          <w:p w14:paraId="5F2B7B35"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50.11 (3)</w:t>
            </w:r>
          </w:p>
        </w:tc>
        <w:tc>
          <w:tcPr>
            <w:tcW w:w="1235" w:type="dxa"/>
            <w:shd w:val="clear" w:color="auto" w:fill="FF5D5D"/>
            <w:vAlign w:val="center"/>
            <w:hideMark/>
          </w:tcPr>
          <w:p w14:paraId="222278F9"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14 (Major)</w:t>
            </w:r>
          </w:p>
        </w:tc>
      </w:tr>
      <w:tr w:rsidR="00B02128" w:rsidRPr="009E7EB7" w14:paraId="1ADCBE53" w14:textId="77777777" w:rsidTr="000D3504">
        <w:trPr>
          <w:trHeight w:val="765"/>
        </w:trPr>
        <w:tc>
          <w:tcPr>
            <w:tcW w:w="1433" w:type="dxa"/>
            <w:vAlign w:val="center"/>
            <w:hideMark/>
          </w:tcPr>
          <w:p w14:paraId="30D1ED5C"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Nasua nasua</w:t>
            </w:r>
          </w:p>
        </w:tc>
        <w:tc>
          <w:tcPr>
            <w:tcW w:w="1219" w:type="dxa"/>
            <w:vAlign w:val="center"/>
          </w:tcPr>
          <w:p w14:paraId="008BAB08"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9</w:t>
            </w:r>
          </w:p>
        </w:tc>
        <w:tc>
          <w:tcPr>
            <w:tcW w:w="1357" w:type="dxa"/>
            <w:shd w:val="clear" w:color="auto" w:fill="FFF579"/>
            <w:vAlign w:val="center"/>
            <w:hideMark/>
          </w:tcPr>
          <w:p w14:paraId="092D05C3"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28.80 (2)</w:t>
            </w:r>
          </w:p>
        </w:tc>
        <w:tc>
          <w:tcPr>
            <w:tcW w:w="1020" w:type="dxa"/>
            <w:shd w:val="clear" w:color="auto" w:fill="FEC55E"/>
            <w:vAlign w:val="center"/>
            <w:hideMark/>
          </w:tcPr>
          <w:p w14:paraId="1F42B1A1"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2.56 ± 0.53 (3)</w:t>
            </w:r>
          </w:p>
        </w:tc>
        <w:tc>
          <w:tcPr>
            <w:tcW w:w="1305" w:type="dxa"/>
            <w:shd w:val="clear" w:color="auto" w:fill="FF5D5D"/>
            <w:vAlign w:val="center"/>
            <w:hideMark/>
          </w:tcPr>
          <w:p w14:paraId="5CA53DC6"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47.64 ± 36.74 (4)</w:t>
            </w:r>
          </w:p>
        </w:tc>
        <w:tc>
          <w:tcPr>
            <w:tcW w:w="1361" w:type="dxa"/>
            <w:shd w:val="clear" w:color="auto" w:fill="B3E5A1"/>
            <w:vAlign w:val="center"/>
            <w:hideMark/>
          </w:tcPr>
          <w:p w14:paraId="4A3FB3AD"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10.34 (1)</w:t>
            </w:r>
          </w:p>
        </w:tc>
        <w:tc>
          <w:tcPr>
            <w:tcW w:w="1235" w:type="dxa"/>
            <w:shd w:val="clear" w:color="auto" w:fill="FEC55E"/>
            <w:vAlign w:val="center"/>
            <w:hideMark/>
          </w:tcPr>
          <w:p w14:paraId="08DCD4CF"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10 (Moderate)</w:t>
            </w:r>
          </w:p>
        </w:tc>
      </w:tr>
      <w:tr w:rsidR="00B02128" w:rsidRPr="009E7EB7" w14:paraId="353024C7" w14:textId="77777777" w:rsidTr="000D3504">
        <w:trPr>
          <w:trHeight w:val="765"/>
        </w:trPr>
        <w:tc>
          <w:tcPr>
            <w:tcW w:w="1433" w:type="dxa"/>
            <w:vAlign w:val="center"/>
            <w:hideMark/>
          </w:tcPr>
          <w:p w14:paraId="217E47AD"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b/>
                <w:bCs/>
                <w:i/>
                <w:iCs/>
                <w:sz w:val="22"/>
                <w:szCs w:val="22"/>
              </w:rPr>
              <w:t>Herpestes javanicus</w:t>
            </w:r>
          </w:p>
        </w:tc>
        <w:tc>
          <w:tcPr>
            <w:tcW w:w="1219" w:type="dxa"/>
            <w:vAlign w:val="center"/>
          </w:tcPr>
          <w:p w14:paraId="0490834E"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5</w:t>
            </w:r>
          </w:p>
        </w:tc>
        <w:tc>
          <w:tcPr>
            <w:tcW w:w="1357" w:type="dxa"/>
            <w:shd w:val="clear" w:color="auto" w:fill="FFF579"/>
            <w:vAlign w:val="center"/>
            <w:hideMark/>
          </w:tcPr>
          <w:p w14:paraId="3709F771"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22.50 (2)</w:t>
            </w:r>
          </w:p>
        </w:tc>
        <w:tc>
          <w:tcPr>
            <w:tcW w:w="1020" w:type="dxa"/>
            <w:shd w:val="clear" w:color="auto" w:fill="FEC55E"/>
            <w:vAlign w:val="center"/>
            <w:hideMark/>
          </w:tcPr>
          <w:p w14:paraId="1466750F"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2.60 ± 0.55 (3)</w:t>
            </w:r>
          </w:p>
        </w:tc>
        <w:tc>
          <w:tcPr>
            <w:tcW w:w="1305" w:type="dxa"/>
            <w:shd w:val="clear" w:color="auto" w:fill="FEC55E"/>
            <w:vAlign w:val="center"/>
            <w:hideMark/>
          </w:tcPr>
          <w:p w14:paraId="39A56D1B"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20.25 ± 13.44 (3)</w:t>
            </w:r>
          </w:p>
        </w:tc>
        <w:tc>
          <w:tcPr>
            <w:tcW w:w="1361" w:type="dxa"/>
            <w:shd w:val="clear" w:color="auto" w:fill="B3E5A1"/>
            <w:vAlign w:val="center"/>
            <w:hideMark/>
          </w:tcPr>
          <w:p w14:paraId="1A57888A"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11.32 (1)</w:t>
            </w:r>
          </w:p>
        </w:tc>
        <w:tc>
          <w:tcPr>
            <w:tcW w:w="1235" w:type="dxa"/>
            <w:shd w:val="clear" w:color="auto" w:fill="FEC55E"/>
            <w:vAlign w:val="center"/>
            <w:hideMark/>
          </w:tcPr>
          <w:p w14:paraId="2B1DE6E8" w14:textId="77777777" w:rsidR="00B02128" w:rsidRPr="009E7EB7" w:rsidRDefault="00B02128" w:rsidP="000D3504">
            <w:pPr>
              <w:spacing w:line="480" w:lineRule="auto"/>
              <w:jc w:val="center"/>
              <w:rPr>
                <w:rFonts w:ascii="Calibri" w:hAnsi="Calibri" w:cs="Calibri"/>
                <w:sz w:val="22"/>
                <w:szCs w:val="22"/>
              </w:rPr>
            </w:pPr>
            <w:r w:rsidRPr="009E7EB7">
              <w:rPr>
                <w:rFonts w:ascii="Calibri" w:hAnsi="Calibri" w:cs="Calibri"/>
                <w:sz w:val="22"/>
                <w:szCs w:val="22"/>
              </w:rPr>
              <w:t>9 (Minor)</w:t>
            </w:r>
          </w:p>
        </w:tc>
      </w:tr>
    </w:tbl>
    <w:p w14:paraId="12FFBF9C" w14:textId="77777777" w:rsidR="00B02128" w:rsidRPr="009E7EB7" w:rsidRDefault="00B02128" w:rsidP="00B02128">
      <w:pPr>
        <w:spacing w:line="480" w:lineRule="auto"/>
        <w:jc w:val="center"/>
        <w:rPr>
          <w:rFonts w:ascii="Calibri" w:hAnsi="Calibri" w:cs="Calibri"/>
        </w:rPr>
      </w:pPr>
    </w:p>
    <w:p w14:paraId="78668AED" w14:textId="77777777" w:rsidR="00B02128" w:rsidRPr="009E7EB7" w:rsidRDefault="00B02128" w:rsidP="00B02128">
      <w:pPr>
        <w:spacing w:line="480" w:lineRule="auto"/>
        <w:rPr>
          <w:rFonts w:ascii="Calibri" w:hAnsi="Calibri" w:cs="Calibri"/>
          <w:b/>
          <w:bCs/>
        </w:rPr>
      </w:pPr>
      <w:r w:rsidRPr="009E7EB7">
        <w:rPr>
          <w:rFonts w:ascii="Calibri" w:hAnsi="Calibri" w:cs="Calibri"/>
          <w:b/>
          <w:bCs/>
        </w:rPr>
        <w:br w:type="page"/>
      </w:r>
    </w:p>
    <w:p w14:paraId="016026EF" w14:textId="77777777" w:rsidR="00B02128" w:rsidRPr="009E7EB7" w:rsidRDefault="00B02128" w:rsidP="00B02128">
      <w:pPr>
        <w:spacing w:line="480" w:lineRule="auto"/>
        <w:jc w:val="both"/>
        <w:rPr>
          <w:rFonts w:ascii="Calibri" w:hAnsi="Calibri" w:cs="Calibri"/>
        </w:rPr>
      </w:pPr>
      <w:r w:rsidRPr="009E7EB7">
        <w:rPr>
          <w:rFonts w:ascii="Calibri" w:hAnsi="Calibri" w:cs="Calibri"/>
          <w:b/>
          <w:bCs/>
        </w:rPr>
        <w:lastRenderedPageBreak/>
        <w:t>Table 3.</w:t>
      </w:r>
      <w:r w:rsidRPr="009E7EB7">
        <w:rPr>
          <w:rFonts w:ascii="Calibri" w:hAnsi="Calibri" w:cs="Calibri"/>
        </w:rPr>
        <w:t xml:space="preserve"> Standardized comparison of human health, biodiversity, and GISS impact scores for the invasive mammal species assessed. Cell colours indicate the standardized score category: green for values from 0 to &lt;25, yellow for values from 25 to &lt;50, orange for values from 50 to &lt;75, and red for values from 75 to 100. Interval limits were assigned to the upper category, so values equal to 25, 50, and 75 were classified as yellow, orange, and red, respectively.</w:t>
      </w:r>
    </w:p>
    <w:tbl>
      <w:tblPr>
        <w:tblStyle w:val="TableGridLight"/>
        <w:tblW w:w="0" w:type="auto"/>
        <w:tblLook w:val="04A0" w:firstRow="1" w:lastRow="0" w:firstColumn="1" w:lastColumn="0" w:noHBand="0" w:noVBand="1"/>
      </w:tblPr>
      <w:tblGrid>
        <w:gridCol w:w="2001"/>
        <w:gridCol w:w="1749"/>
        <w:gridCol w:w="2049"/>
        <w:gridCol w:w="1623"/>
        <w:gridCol w:w="1928"/>
      </w:tblGrid>
      <w:tr w:rsidR="00B02128" w:rsidRPr="009E7EB7" w14:paraId="3A95E4EB" w14:textId="77777777" w:rsidTr="000D3504">
        <w:trPr>
          <w:trHeight w:val="20"/>
        </w:trPr>
        <w:tc>
          <w:tcPr>
            <w:tcW w:w="0" w:type="auto"/>
            <w:vAlign w:val="center"/>
            <w:hideMark/>
          </w:tcPr>
          <w:p w14:paraId="60C23E98"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Species</w:t>
            </w:r>
          </w:p>
        </w:tc>
        <w:tc>
          <w:tcPr>
            <w:tcW w:w="0" w:type="auto"/>
            <w:vAlign w:val="center"/>
            <w:hideMark/>
          </w:tcPr>
          <w:p w14:paraId="16E827A9"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Human health score, 0–100</w:t>
            </w:r>
          </w:p>
        </w:tc>
        <w:tc>
          <w:tcPr>
            <w:tcW w:w="0" w:type="auto"/>
            <w:vAlign w:val="center"/>
            <w:hideMark/>
          </w:tcPr>
          <w:p w14:paraId="6346468C"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EU biodiversity score, 0–100</w:t>
            </w:r>
          </w:p>
        </w:tc>
        <w:tc>
          <w:tcPr>
            <w:tcW w:w="0" w:type="auto"/>
            <w:vAlign w:val="center"/>
            <w:hideMark/>
          </w:tcPr>
          <w:p w14:paraId="1A0D65FE"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GISS overall score, 0–100</w:t>
            </w:r>
          </w:p>
        </w:tc>
        <w:tc>
          <w:tcPr>
            <w:tcW w:w="0" w:type="auto"/>
            <w:vAlign w:val="center"/>
            <w:hideMark/>
          </w:tcPr>
          <w:p w14:paraId="0F0E81CA"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GISS human health score, 0–100</w:t>
            </w:r>
          </w:p>
        </w:tc>
      </w:tr>
      <w:tr w:rsidR="00B02128" w:rsidRPr="009E7EB7" w14:paraId="30CE89C7" w14:textId="77777777" w:rsidTr="000D3504">
        <w:trPr>
          <w:trHeight w:val="20"/>
        </w:trPr>
        <w:tc>
          <w:tcPr>
            <w:tcW w:w="0" w:type="auto"/>
            <w:vAlign w:val="center"/>
            <w:hideMark/>
          </w:tcPr>
          <w:p w14:paraId="237BF09A"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Herpestes javanicus</w:t>
            </w:r>
          </w:p>
        </w:tc>
        <w:tc>
          <w:tcPr>
            <w:tcW w:w="0" w:type="auto"/>
            <w:shd w:val="clear" w:color="auto" w:fill="FFF579"/>
            <w:vAlign w:val="center"/>
            <w:hideMark/>
          </w:tcPr>
          <w:p w14:paraId="64CA06A1"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31.2</w:t>
            </w:r>
          </w:p>
        </w:tc>
        <w:tc>
          <w:tcPr>
            <w:tcW w:w="0" w:type="auto"/>
            <w:shd w:val="clear" w:color="auto" w:fill="FF5D5D"/>
            <w:vAlign w:val="center"/>
            <w:hideMark/>
          </w:tcPr>
          <w:p w14:paraId="356D41A7"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100.0</w:t>
            </w:r>
          </w:p>
        </w:tc>
        <w:tc>
          <w:tcPr>
            <w:tcW w:w="0" w:type="auto"/>
            <w:shd w:val="clear" w:color="auto" w:fill="B3E5A1"/>
            <w:vAlign w:val="center"/>
            <w:hideMark/>
          </w:tcPr>
          <w:p w14:paraId="3B7C847A"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18.3</w:t>
            </w:r>
          </w:p>
        </w:tc>
        <w:tc>
          <w:tcPr>
            <w:tcW w:w="0" w:type="auto"/>
            <w:shd w:val="clear" w:color="auto" w:fill="B3E5A1"/>
            <w:vAlign w:val="center"/>
            <w:hideMark/>
          </w:tcPr>
          <w:p w14:paraId="32F309DF"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0.0</w:t>
            </w:r>
          </w:p>
        </w:tc>
      </w:tr>
      <w:tr w:rsidR="00B02128" w:rsidRPr="009E7EB7" w14:paraId="1B329E20" w14:textId="77777777" w:rsidTr="000D3504">
        <w:trPr>
          <w:trHeight w:val="20"/>
        </w:trPr>
        <w:tc>
          <w:tcPr>
            <w:tcW w:w="0" w:type="auto"/>
            <w:vAlign w:val="center"/>
            <w:hideMark/>
          </w:tcPr>
          <w:p w14:paraId="7E8861FE"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Myocastor coypus</w:t>
            </w:r>
          </w:p>
        </w:tc>
        <w:tc>
          <w:tcPr>
            <w:tcW w:w="0" w:type="auto"/>
            <w:shd w:val="clear" w:color="auto" w:fill="FEC55E"/>
            <w:vAlign w:val="center"/>
            <w:hideMark/>
          </w:tcPr>
          <w:p w14:paraId="51245126"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68.8</w:t>
            </w:r>
          </w:p>
        </w:tc>
        <w:tc>
          <w:tcPr>
            <w:tcW w:w="0" w:type="auto"/>
            <w:shd w:val="clear" w:color="auto" w:fill="FF5D5D"/>
            <w:vAlign w:val="center"/>
            <w:hideMark/>
          </w:tcPr>
          <w:p w14:paraId="7949ECA7"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100.0</w:t>
            </w:r>
          </w:p>
        </w:tc>
        <w:tc>
          <w:tcPr>
            <w:tcW w:w="0" w:type="auto"/>
            <w:shd w:val="clear" w:color="auto" w:fill="FFF579"/>
            <w:vAlign w:val="center"/>
            <w:hideMark/>
          </w:tcPr>
          <w:p w14:paraId="2408B84F"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45.0</w:t>
            </w:r>
          </w:p>
        </w:tc>
        <w:tc>
          <w:tcPr>
            <w:tcW w:w="0" w:type="auto"/>
            <w:shd w:val="clear" w:color="auto" w:fill="FF5D5D"/>
            <w:vAlign w:val="center"/>
            <w:hideMark/>
          </w:tcPr>
          <w:p w14:paraId="7D936911"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80.0</w:t>
            </w:r>
          </w:p>
        </w:tc>
      </w:tr>
      <w:tr w:rsidR="00B02128" w:rsidRPr="009E7EB7" w14:paraId="7EDA693D" w14:textId="77777777" w:rsidTr="000D3504">
        <w:trPr>
          <w:trHeight w:val="20"/>
        </w:trPr>
        <w:tc>
          <w:tcPr>
            <w:tcW w:w="0" w:type="auto"/>
            <w:vAlign w:val="center"/>
            <w:hideMark/>
          </w:tcPr>
          <w:p w14:paraId="7FE8E94B"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Nasua nasua</w:t>
            </w:r>
          </w:p>
        </w:tc>
        <w:tc>
          <w:tcPr>
            <w:tcW w:w="0" w:type="auto"/>
            <w:shd w:val="clear" w:color="auto" w:fill="FFF579"/>
            <w:vAlign w:val="center"/>
            <w:hideMark/>
          </w:tcPr>
          <w:p w14:paraId="254AE0E0"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37.5</w:t>
            </w:r>
          </w:p>
        </w:tc>
        <w:tc>
          <w:tcPr>
            <w:tcW w:w="0" w:type="auto"/>
            <w:shd w:val="clear" w:color="auto" w:fill="FF5D5D"/>
            <w:vAlign w:val="center"/>
            <w:hideMark/>
          </w:tcPr>
          <w:p w14:paraId="44A1CA51"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75.0</w:t>
            </w:r>
          </w:p>
        </w:tc>
        <w:tc>
          <w:tcPr>
            <w:tcW w:w="0" w:type="auto"/>
            <w:shd w:val="clear" w:color="auto" w:fill="FFF579"/>
            <w:vAlign w:val="center"/>
            <w:hideMark/>
          </w:tcPr>
          <w:p w14:paraId="0DDB503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26.7</w:t>
            </w:r>
          </w:p>
        </w:tc>
        <w:tc>
          <w:tcPr>
            <w:tcW w:w="0" w:type="auto"/>
            <w:shd w:val="clear" w:color="auto" w:fill="FEC55E"/>
            <w:vAlign w:val="center"/>
            <w:hideMark/>
          </w:tcPr>
          <w:p w14:paraId="31A0BF5F"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60.0</w:t>
            </w:r>
          </w:p>
        </w:tc>
      </w:tr>
      <w:tr w:rsidR="00B02128" w:rsidRPr="009E7EB7" w14:paraId="7DBA5810" w14:textId="77777777" w:rsidTr="000D3504">
        <w:trPr>
          <w:trHeight w:val="20"/>
        </w:trPr>
        <w:tc>
          <w:tcPr>
            <w:tcW w:w="0" w:type="auto"/>
            <w:vAlign w:val="center"/>
            <w:hideMark/>
          </w:tcPr>
          <w:p w14:paraId="1C043F2D"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Nyctereutes procyonoides</w:t>
            </w:r>
          </w:p>
        </w:tc>
        <w:tc>
          <w:tcPr>
            <w:tcW w:w="0" w:type="auto"/>
            <w:shd w:val="clear" w:color="auto" w:fill="FF5D5D"/>
            <w:vAlign w:val="center"/>
            <w:hideMark/>
          </w:tcPr>
          <w:p w14:paraId="69F8581E"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75.0</w:t>
            </w:r>
          </w:p>
        </w:tc>
        <w:tc>
          <w:tcPr>
            <w:tcW w:w="0" w:type="auto"/>
            <w:shd w:val="clear" w:color="auto" w:fill="FF5D5D"/>
            <w:vAlign w:val="center"/>
            <w:hideMark/>
          </w:tcPr>
          <w:p w14:paraId="77596EA1"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100.0</w:t>
            </w:r>
          </w:p>
        </w:tc>
        <w:tc>
          <w:tcPr>
            <w:tcW w:w="0" w:type="auto"/>
            <w:shd w:val="clear" w:color="auto" w:fill="FFF579"/>
            <w:vAlign w:val="center"/>
            <w:hideMark/>
          </w:tcPr>
          <w:p w14:paraId="3CF620BB"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26.7</w:t>
            </w:r>
          </w:p>
        </w:tc>
        <w:tc>
          <w:tcPr>
            <w:tcW w:w="0" w:type="auto"/>
            <w:shd w:val="clear" w:color="auto" w:fill="B3E5A1"/>
            <w:vAlign w:val="center"/>
            <w:hideMark/>
          </w:tcPr>
          <w:p w14:paraId="495284B8"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0.0</w:t>
            </w:r>
          </w:p>
        </w:tc>
      </w:tr>
      <w:tr w:rsidR="00B02128" w:rsidRPr="009E7EB7" w14:paraId="501A7F25" w14:textId="77777777" w:rsidTr="000D3504">
        <w:trPr>
          <w:trHeight w:val="20"/>
        </w:trPr>
        <w:tc>
          <w:tcPr>
            <w:tcW w:w="0" w:type="auto"/>
            <w:vAlign w:val="center"/>
            <w:hideMark/>
          </w:tcPr>
          <w:p w14:paraId="70D15A1E"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Ondatra zibethicus</w:t>
            </w:r>
          </w:p>
        </w:tc>
        <w:tc>
          <w:tcPr>
            <w:tcW w:w="0" w:type="auto"/>
            <w:shd w:val="clear" w:color="auto" w:fill="FF5D5D"/>
            <w:vAlign w:val="center"/>
            <w:hideMark/>
          </w:tcPr>
          <w:p w14:paraId="2A7B17ED"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75.0</w:t>
            </w:r>
          </w:p>
        </w:tc>
        <w:tc>
          <w:tcPr>
            <w:tcW w:w="0" w:type="auto"/>
            <w:shd w:val="clear" w:color="auto" w:fill="FF5D5D"/>
            <w:vAlign w:val="center"/>
            <w:hideMark/>
          </w:tcPr>
          <w:p w14:paraId="4F51AFA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100.0</w:t>
            </w:r>
          </w:p>
        </w:tc>
        <w:tc>
          <w:tcPr>
            <w:tcW w:w="0" w:type="auto"/>
            <w:shd w:val="clear" w:color="auto" w:fill="FEC55E"/>
            <w:vAlign w:val="center"/>
            <w:hideMark/>
          </w:tcPr>
          <w:p w14:paraId="0BCC30E6"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53.3</w:t>
            </w:r>
          </w:p>
        </w:tc>
        <w:tc>
          <w:tcPr>
            <w:tcW w:w="0" w:type="auto"/>
            <w:shd w:val="clear" w:color="auto" w:fill="FF5D5D"/>
            <w:vAlign w:val="center"/>
            <w:hideMark/>
          </w:tcPr>
          <w:p w14:paraId="337CA6DF"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100.0</w:t>
            </w:r>
          </w:p>
        </w:tc>
      </w:tr>
      <w:tr w:rsidR="00B02128" w:rsidRPr="009E7EB7" w14:paraId="26AD16EA" w14:textId="77777777" w:rsidTr="000D3504">
        <w:trPr>
          <w:trHeight w:val="20"/>
        </w:trPr>
        <w:tc>
          <w:tcPr>
            <w:tcW w:w="0" w:type="auto"/>
            <w:vAlign w:val="center"/>
            <w:hideMark/>
          </w:tcPr>
          <w:p w14:paraId="238C88E2"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Procyon lotor</w:t>
            </w:r>
          </w:p>
        </w:tc>
        <w:tc>
          <w:tcPr>
            <w:tcW w:w="0" w:type="auto"/>
            <w:shd w:val="clear" w:color="auto" w:fill="FEC55E"/>
            <w:vAlign w:val="center"/>
            <w:hideMark/>
          </w:tcPr>
          <w:p w14:paraId="616C02CB"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62.5</w:t>
            </w:r>
          </w:p>
        </w:tc>
        <w:tc>
          <w:tcPr>
            <w:tcW w:w="0" w:type="auto"/>
            <w:shd w:val="clear" w:color="auto" w:fill="FF5D5D"/>
            <w:vAlign w:val="center"/>
            <w:hideMark/>
          </w:tcPr>
          <w:p w14:paraId="07B40489"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75.0</w:t>
            </w:r>
          </w:p>
        </w:tc>
        <w:tc>
          <w:tcPr>
            <w:tcW w:w="0" w:type="auto"/>
            <w:shd w:val="clear" w:color="auto" w:fill="FFF579"/>
            <w:vAlign w:val="center"/>
            <w:hideMark/>
          </w:tcPr>
          <w:p w14:paraId="201EA6A1"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38.3</w:t>
            </w:r>
          </w:p>
        </w:tc>
        <w:tc>
          <w:tcPr>
            <w:tcW w:w="0" w:type="auto"/>
            <w:shd w:val="clear" w:color="auto" w:fill="B3E5A1"/>
            <w:vAlign w:val="center"/>
            <w:hideMark/>
          </w:tcPr>
          <w:p w14:paraId="52EB446E"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0.0</w:t>
            </w:r>
          </w:p>
        </w:tc>
      </w:tr>
      <w:tr w:rsidR="00B02128" w:rsidRPr="009E7EB7" w14:paraId="215FE84C" w14:textId="77777777" w:rsidTr="000D3504">
        <w:trPr>
          <w:trHeight w:val="20"/>
        </w:trPr>
        <w:tc>
          <w:tcPr>
            <w:tcW w:w="0" w:type="auto"/>
            <w:vAlign w:val="center"/>
            <w:hideMark/>
          </w:tcPr>
          <w:p w14:paraId="5954D883"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Sciurus carolinensis</w:t>
            </w:r>
          </w:p>
        </w:tc>
        <w:tc>
          <w:tcPr>
            <w:tcW w:w="0" w:type="auto"/>
            <w:shd w:val="clear" w:color="auto" w:fill="FEC55E"/>
            <w:vAlign w:val="center"/>
            <w:hideMark/>
          </w:tcPr>
          <w:p w14:paraId="2702FAB3"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62.5</w:t>
            </w:r>
          </w:p>
        </w:tc>
        <w:tc>
          <w:tcPr>
            <w:tcW w:w="0" w:type="auto"/>
            <w:shd w:val="clear" w:color="auto" w:fill="FF5D5D"/>
            <w:vAlign w:val="center"/>
            <w:hideMark/>
          </w:tcPr>
          <w:p w14:paraId="38586817"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100.0</w:t>
            </w:r>
          </w:p>
        </w:tc>
        <w:tc>
          <w:tcPr>
            <w:tcW w:w="0" w:type="auto"/>
            <w:shd w:val="clear" w:color="auto" w:fill="FFF579"/>
            <w:vAlign w:val="center"/>
            <w:hideMark/>
          </w:tcPr>
          <w:p w14:paraId="329E03A3"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45.0</w:t>
            </w:r>
          </w:p>
        </w:tc>
        <w:tc>
          <w:tcPr>
            <w:tcW w:w="0" w:type="auto"/>
            <w:shd w:val="clear" w:color="auto" w:fill="FEC55E"/>
            <w:vAlign w:val="center"/>
            <w:hideMark/>
          </w:tcPr>
          <w:p w14:paraId="72FE506A"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60.0</w:t>
            </w:r>
          </w:p>
        </w:tc>
      </w:tr>
      <w:tr w:rsidR="00B02128" w:rsidRPr="009E7EB7" w14:paraId="3647E6F5" w14:textId="77777777" w:rsidTr="000D3504">
        <w:trPr>
          <w:trHeight w:val="20"/>
        </w:trPr>
        <w:tc>
          <w:tcPr>
            <w:tcW w:w="0" w:type="auto"/>
            <w:vAlign w:val="center"/>
            <w:hideMark/>
          </w:tcPr>
          <w:p w14:paraId="775F73C3" w14:textId="77777777" w:rsidR="00B02128" w:rsidRPr="009E7EB7" w:rsidRDefault="00B02128" w:rsidP="000D3504">
            <w:pPr>
              <w:spacing w:line="480" w:lineRule="auto"/>
              <w:jc w:val="center"/>
              <w:rPr>
                <w:rFonts w:ascii="Calibri" w:hAnsi="Calibri" w:cs="Calibri"/>
              </w:rPr>
            </w:pPr>
            <w:r w:rsidRPr="009E7EB7">
              <w:rPr>
                <w:rFonts w:ascii="Calibri" w:hAnsi="Calibri" w:cs="Calibri"/>
                <w:i/>
                <w:iCs/>
              </w:rPr>
              <w:t>Tamias sibiricus</w:t>
            </w:r>
          </w:p>
        </w:tc>
        <w:tc>
          <w:tcPr>
            <w:tcW w:w="0" w:type="auto"/>
            <w:shd w:val="clear" w:color="auto" w:fill="FEC55E"/>
            <w:vAlign w:val="center"/>
            <w:hideMark/>
          </w:tcPr>
          <w:p w14:paraId="23E8FCF9"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62.5</w:t>
            </w:r>
          </w:p>
        </w:tc>
        <w:tc>
          <w:tcPr>
            <w:tcW w:w="0" w:type="auto"/>
            <w:shd w:val="clear" w:color="auto" w:fill="FF5D5D"/>
            <w:vAlign w:val="center"/>
            <w:hideMark/>
          </w:tcPr>
          <w:p w14:paraId="3C3D9D1F"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75.0</w:t>
            </w:r>
          </w:p>
        </w:tc>
        <w:tc>
          <w:tcPr>
            <w:tcW w:w="0" w:type="auto"/>
            <w:shd w:val="clear" w:color="auto" w:fill="FFF579"/>
            <w:vAlign w:val="center"/>
            <w:hideMark/>
          </w:tcPr>
          <w:p w14:paraId="22C17EBD"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26.7</w:t>
            </w:r>
          </w:p>
        </w:tc>
        <w:tc>
          <w:tcPr>
            <w:tcW w:w="0" w:type="auto"/>
            <w:shd w:val="clear" w:color="auto" w:fill="FFF579"/>
            <w:vAlign w:val="center"/>
            <w:hideMark/>
          </w:tcPr>
          <w:p w14:paraId="7427CF48"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40.0</w:t>
            </w:r>
          </w:p>
        </w:tc>
      </w:tr>
    </w:tbl>
    <w:p w14:paraId="7F740AC2" w14:textId="77777777" w:rsidR="00B02128" w:rsidRPr="009E7EB7" w:rsidRDefault="00B02128" w:rsidP="00B02128">
      <w:pPr>
        <w:spacing w:line="480" w:lineRule="auto"/>
        <w:rPr>
          <w:rFonts w:ascii="Calibri" w:hAnsi="Calibri" w:cs="Calibri"/>
        </w:rPr>
      </w:pPr>
    </w:p>
    <w:p w14:paraId="2E5F718E" w14:textId="77777777" w:rsidR="00B02128" w:rsidRPr="009E7EB7" w:rsidRDefault="00B02128" w:rsidP="00B02128">
      <w:pPr>
        <w:spacing w:line="480" w:lineRule="auto"/>
        <w:jc w:val="both"/>
        <w:rPr>
          <w:rFonts w:ascii="Calibri" w:hAnsi="Calibri" w:cs="Calibri"/>
        </w:rPr>
      </w:pPr>
      <w:r w:rsidRPr="009E7EB7">
        <w:rPr>
          <w:rFonts w:ascii="Calibri" w:hAnsi="Calibri" w:cs="Calibri"/>
          <w:b/>
          <w:bCs/>
        </w:rPr>
        <w:lastRenderedPageBreak/>
        <w:t xml:space="preserve">Table 4. </w:t>
      </w:r>
      <w:r w:rsidRPr="009E7EB7">
        <w:rPr>
          <w:rFonts w:ascii="Calibri" w:hAnsi="Calibri" w:cs="Calibri"/>
        </w:rPr>
        <w:t>Kendall’s rank correlations between the human health impact score developed in this study and existing impact assessment scores.</w:t>
      </w:r>
    </w:p>
    <w:tbl>
      <w:tblPr>
        <w:tblStyle w:val="TableGridLight"/>
        <w:tblW w:w="0" w:type="auto"/>
        <w:tblLook w:val="04A0" w:firstRow="1" w:lastRow="0" w:firstColumn="1" w:lastColumn="0" w:noHBand="0" w:noVBand="1"/>
      </w:tblPr>
      <w:tblGrid>
        <w:gridCol w:w="6025"/>
        <w:gridCol w:w="1251"/>
        <w:gridCol w:w="952"/>
      </w:tblGrid>
      <w:tr w:rsidR="00B02128" w:rsidRPr="009E7EB7" w14:paraId="22FDE615" w14:textId="77777777" w:rsidTr="000D3504">
        <w:trPr>
          <w:trHeight w:val="575"/>
        </w:trPr>
        <w:tc>
          <w:tcPr>
            <w:tcW w:w="0" w:type="auto"/>
            <w:vAlign w:val="center"/>
            <w:hideMark/>
          </w:tcPr>
          <w:p w14:paraId="1E941BEC"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Comparison</w:t>
            </w:r>
          </w:p>
        </w:tc>
        <w:tc>
          <w:tcPr>
            <w:tcW w:w="0" w:type="auto"/>
            <w:vAlign w:val="center"/>
            <w:hideMark/>
          </w:tcPr>
          <w:p w14:paraId="32FFF438"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rPr>
              <w:t>Kendall’s τ</w:t>
            </w:r>
          </w:p>
        </w:tc>
        <w:tc>
          <w:tcPr>
            <w:tcW w:w="0" w:type="auto"/>
            <w:vAlign w:val="center"/>
            <w:hideMark/>
          </w:tcPr>
          <w:p w14:paraId="2048C6C3" w14:textId="77777777" w:rsidR="00B02128" w:rsidRPr="009E7EB7" w:rsidRDefault="00B02128" w:rsidP="000D3504">
            <w:pPr>
              <w:spacing w:line="480" w:lineRule="auto"/>
              <w:jc w:val="center"/>
              <w:rPr>
                <w:rFonts w:ascii="Calibri" w:hAnsi="Calibri" w:cs="Calibri"/>
              </w:rPr>
            </w:pPr>
            <w:r w:rsidRPr="009E7EB7">
              <w:rPr>
                <w:rFonts w:ascii="Calibri" w:hAnsi="Calibri" w:cs="Calibri"/>
                <w:b/>
                <w:bCs/>
                <w:i/>
                <w:iCs/>
              </w:rPr>
              <w:t>p</w:t>
            </w:r>
            <w:r w:rsidRPr="009E7EB7">
              <w:rPr>
                <w:rFonts w:ascii="Calibri" w:hAnsi="Calibri" w:cs="Calibri"/>
                <w:b/>
                <w:bCs/>
              </w:rPr>
              <w:t>-value</w:t>
            </w:r>
          </w:p>
        </w:tc>
      </w:tr>
      <w:tr w:rsidR="00B02128" w:rsidRPr="009E7EB7" w14:paraId="6FAE4238" w14:textId="77777777" w:rsidTr="000D3504">
        <w:trPr>
          <w:trHeight w:val="575"/>
        </w:trPr>
        <w:tc>
          <w:tcPr>
            <w:tcW w:w="0" w:type="auto"/>
            <w:vAlign w:val="center"/>
            <w:hideMark/>
          </w:tcPr>
          <w:p w14:paraId="017072CC"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Human health impact score vs. EU biodiversity impact score</w:t>
            </w:r>
          </w:p>
        </w:tc>
        <w:tc>
          <w:tcPr>
            <w:tcW w:w="0" w:type="auto"/>
            <w:vAlign w:val="center"/>
            <w:hideMark/>
          </w:tcPr>
          <w:p w14:paraId="51F0B44E"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0.369</w:t>
            </w:r>
          </w:p>
        </w:tc>
        <w:tc>
          <w:tcPr>
            <w:tcW w:w="0" w:type="auto"/>
            <w:vAlign w:val="center"/>
            <w:hideMark/>
          </w:tcPr>
          <w:p w14:paraId="1A41F70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0.282</w:t>
            </w:r>
          </w:p>
        </w:tc>
      </w:tr>
      <w:tr w:rsidR="00B02128" w:rsidRPr="009E7EB7" w14:paraId="3C280F15" w14:textId="77777777" w:rsidTr="000D3504">
        <w:trPr>
          <w:trHeight w:val="575"/>
        </w:trPr>
        <w:tc>
          <w:tcPr>
            <w:tcW w:w="0" w:type="auto"/>
            <w:vAlign w:val="center"/>
            <w:hideMark/>
          </w:tcPr>
          <w:p w14:paraId="0B2F6285"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Human health impact score vs. GISS overall score</w:t>
            </w:r>
          </w:p>
        </w:tc>
        <w:tc>
          <w:tcPr>
            <w:tcW w:w="0" w:type="auto"/>
            <w:vAlign w:val="center"/>
            <w:hideMark/>
          </w:tcPr>
          <w:p w14:paraId="33E34BAE"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0.583</w:t>
            </w:r>
          </w:p>
        </w:tc>
        <w:tc>
          <w:tcPr>
            <w:tcW w:w="0" w:type="auto"/>
            <w:vAlign w:val="center"/>
            <w:hideMark/>
          </w:tcPr>
          <w:p w14:paraId="31DB1101"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0.063</w:t>
            </w:r>
          </w:p>
        </w:tc>
      </w:tr>
      <w:tr w:rsidR="00B02128" w:rsidRPr="009E7EB7" w14:paraId="1F3EEFD1" w14:textId="77777777" w:rsidTr="000D3504">
        <w:trPr>
          <w:trHeight w:val="575"/>
        </w:trPr>
        <w:tc>
          <w:tcPr>
            <w:tcW w:w="0" w:type="auto"/>
            <w:vAlign w:val="center"/>
            <w:hideMark/>
          </w:tcPr>
          <w:p w14:paraId="67D7698D"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Human health impact score vs. GISS human health score</w:t>
            </w:r>
          </w:p>
        </w:tc>
        <w:tc>
          <w:tcPr>
            <w:tcW w:w="0" w:type="auto"/>
            <w:vAlign w:val="center"/>
            <w:hideMark/>
          </w:tcPr>
          <w:p w14:paraId="4DF926A8"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0.333</w:t>
            </w:r>
          </w:p>
        </w:tc>
        <w:tc>
          <w:tcPr>
            <w:tcW w:w="0" w:type="auto"/>
            <w:vAlign w:val="center"/>
            <w:hideMark/>
          </w:tcPr>
          <w:p w14:paraId="6A4CCC1A" w14:textId="77777777" w:rsidR="00B02128" w:rsidRPr="009E7EB7" w:rsidRDefault="00B02128" w:rsidP="000D3504">
            <w:pPr>
              <w:spacing w:line="480" w:lineRule="auto"/>
              <w:jc w:val="center"/>
              <w:rPr>
                <w:rFonts w:ascii="Calibri" w:hAnsi="Calibri" w:cs="Calibri"/>
              </w:rPr>
            </w:pPr>
            <w:r w:rsidRPr="009E7EB7">
              <w:rPr>
                <w:rFonts w:ascii="Calibri" w:hAnsi="Calibri" w:cs="Calibri"/>
              </w:rPr>
              <w:t>0.288</w:t>
            </w:r>
          </w:p>
        </w:tc>
      </w:tr>
    </w:tbl>
    <w:p w14:paraId="2BFEE333"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128"/>
    <w:rsid w:val="00195413"/>
    <w:rsid w:val="003A03A7"/>
    <w:rsid w:val="003D0186"/>
    <w:rsid w:val="007278E4"/>
    <w:rsid w:val="00A3738C"/>
    <w:rsid w:val="00B02128"/>
    <w:rsid w:val="00B143A0"/>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F8A9"/>
  <w15:chartTrackingRefBased/>
  <w15:docId w15:val="{100AF0D8-003E-4BAD-866B-5190ED75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128"/>
    <w:rPr>
      <w:lang w:val="en-AU"/>
    </w:rPr>
  </w:style>
  <w:style w:type="paragraph" w:styleId="Heading1">
    <w:name w:val="heading 1"/>
    <w:basedOn w:val="Normal"/>
    <w:next w:val="Normal"/>
    <w:link w:val="Heading1Char"/>
    <w:uiPriority w:val="9"/>
    <w:qFormat/>
    <w:rsid w:val="00B02128"/>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B02128"/>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B02128"/>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B02128"/>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B02128"/>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B02128"/>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B02128"/>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B02128"/>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B02128"/>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2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1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128"/>
    <w:rPr>
      <w:rFonts w:eastAsiaTheme="majorEastAsia" w:cstheme="majorBidi"/>
      <w:color w:val="272727" w:themeColor="text1" w:themeTint="D8"/>
    </w:rPr>
  </w:style>
  <w:style w:type="paragraph" w:styleId="Title">
    <w:name w:val="Title"/>
    <w:basedOn w:val="Normal"/>
    <w:next w:val="Normal"/>
    <w:link w:val="TitleChar"/>
    <w:uiPriority w:val="10"/>
    <w:qFormat/>
    <w:rsid w:val="00B02128"/>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B02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128"/>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B021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128"/>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B02128"/>
    <w:rPr>
      <w:i/>
      <w:iCs/>
      <w:color w:val="404040" w:themeColor="text1" w:themeTint="BF"/>
    </w:rPr>
  </w:style>
  <w:style w:type="paragraph" w:styleId="ListParagraph">
    <w:name w:val="List Paragraph"/>
    <w:basedOn w:val="Normal"/>
    <w:uiPriority w:val="34"/>
    <w:qFormat/>
    <w:rsid w:val="00B02128"/>
    <w:pPr>
      <w:ind w:left="720"/>
      <w:contextualSpacing/>
    </w:pPr>
    <w:rPr>
      <w:lang w:val="en-US"/>
    </w:rPr>
  </w:style>
  <w:style w:type="character" w:styleId="IntenseEmphasis">
    <w:name w:val="Intense Emphasis"/>
    <w:basedOn w:val="DefaultParagraphFont"/>
    <w:uiPriority w:val="21"/>
    <w:qFormat/>
    <w:rsid w:val="00B02128"/>
    <w:rPr>
      <w:i/>
      <w:iCs/>
      <w:color w:val="0F4761" w:themeColor="accent1" w:themeShade="BF"/>
    </w:rPr>
  </w:style>
  <w:style w:type="paragraph" w:styleId="IntenseQuote">
    <w:name w:val="Intense Quote"/>
    <w:basedOn w:val="Normal"/>
    <w:next w:val="Normal"/>
    <w:link w:val="IntenseQuoteChar"/>
    <w:uiPriority w:val="30"/>
    <w:qFormat/>
    <w:rsid w:val="00B02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B02128"/>
    <w:rPr>
      <w:i/>
      <w:iCs/>
      <w:color w:val="0F4761" w:themeColor="accent1" w:themeShade="BF"/>
    </w:rPr>
  </w:style>
  <w:style w:type="character" w:styleId="IntenseReference">
    <w:name w:val="Intense Reference"/>
    <w:basedOn w:val="DefaultParagraphFont"/>
    <w:uiPriority w:val="32"/>
    <w:qFormat/>
    <w:rsid w:val="00B02128"/>
    <w:rPr>
      <w:b/>
      <w:bCs/>
      <w:smallCaps/>
      <w:color w:val="0F4761" w:themeColor="accent1" w:themeShade="BF"/>
      <w:spacing w:val="5"/>
    </w:rPr>
  </w:style>
  <w:style w:type="table" w:styleId="TableGridLight">
    <w:name w:val="Grid Table Light"/>
    <w:basedOn w:val="TableNormal"/>
    <w:uiPriority w:val="40"/>
    <w:rsid w:val="00B02128"/>
    <w:pPr>
      <w:spacing w:after="0" w:line="240" w:lineRule="auto"/>
    </w:pPr>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2823</Characters>
  <Application>Microsoft Office Word</Application>
  <DocSecurity>0</DocSecurity>
  <Lines>23</Lines>
  <Paragraphs>6</Paragraphs>
  <ScaleCrop>false</ScaleCrop>
  <Company>Springer Nature</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2026-10-27T07:18:00Z</dcterms:created>
  <dcterms:modified xsi:type="dcterms:W3CDTF">2026-10-27T07:19:00Z</dcterms:modified>
</cp:coreProperties>
</file>