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Supplementary Materials</w:t>
      </w:r>
    </w:p>
    <w:p>
      <w:pPr>
        <w:pStyle w:val="Heading2"/>
      </w:pPr>
      <w:r>
        <w:t>Heparin, INR, and Sepsis Mortality: An Observational Paradox That Demands Randomization</w:t>
      </w:r>
    </w:p>
    <w:p>
      <w:pPr>
        <w:pStyle w:val="BodyText"/>
      </w:pPr>
      <w:r>
        <w:rPr>
          <w:b/>
        </w:rPr>
        <w:t>The exploratory external assessments reported in this supplement are pre-specified but hypothesis-generating. The primary findings of this study are derived from MIMIC-IV (N=38,431). Both external cohorts (MIMIC-III, eICU) had extremely sparse therapeutic heparin exposure in the high-INR strata (eICU: 0 exposed in Score 1; 1 exposed in Score 2), rendering them non-evaluable for the high-INR benefit hypothesis. We explicitly interpret this exposure sparsity itself as a key finding—a demonstration of the prevailing clinical paradigm that systematic anticoagulation is withheld from coagulopathic septic patients—and as evidence that the question is inherently unanswerable with existing observational data, underscoring the need for a randomized trial. The results are reported transparently to facilitate future prospective validation.</w:t>
      </w:r>
    </w:p>
    <w:p>
      <w:pPr>
        <w:pStyle w:val="Heading2"/>
      </w:pPr>
      <w:r>
        <w:t>Supplement S1: Competing-Risk Models (sHR and csHR)</w:t>
      </w:r>
    </w:p>
    <w:p>
      <w:pPr>
        <w:pStyle w:val="BodyText"/>
      </w:pPr>
      <w:r>
        <w:t>Because bleeding without death precludes unambiguous attribution of subsequent mortality, we fitted Fine-Gray subdistribution hazard models with bleeding without death as the competing event, and additionally estimated cause-specific hazard ratios (competing events censored).</w:t>
      </w:r>
    </w:p>
    <w:p>
      <w:pPr>
        <w:pStyle w:val="ListBullet"/>
      </w:pPr>
      <w:r>
        <w:rPr>
          <w:b/>
        </w:rPr>
        <w:t>Subdistribution hazard ratio (Fine-Gray):</w:t>
      </w:r>
      <w:r>
        <w:t xml:space="preserve"> sHR = 0.695, p&lt;0.001.</w:t>
      </w:r>
    </w:p>
    <w:p>
      <w:pPr>
        <w:pStyle w:val="ListBullet"/>
      </w:pPr>
      <w:r>
        <w:rPr>
          <w:b/>
        </w:rPr>
        <w:t>Cause-specific hazard ratio:</w:t>
      </w:r>
      <w:r>
        <w:t xml:space="preserve"> csHR = 0.695, 95% CI 0.604–0.800.</w:t>
      </w:r>
    </w:p>
    <w:p>
      <w:pPr>
        <w:pStyle w:val="BodyText"/>
      </w:pPr>
      <w:r>
        <w:t>The sHR is reported as the primary competing-risk estimate in the main text. Both approaches confirm the direction and significance of the heparin × consumptive coagulopathy interaction observed in the primary Cox model.</w:t>
      </w:r>
    </w:p>
    <w:p>
      <w:pPr>
        <w:pStyle w:val="Heading2"/>
      </w:pPr>
      <w:r>
        <w:t>Supplement S2: Multiple Imputation (MICE) Sensitivity Analysis</w:t>
      </w:r>
    </w:p>
    <w:p>
      <w:pPr>
        <w:pStyle w:val="BodyText"/>
      </w:pPr>
      <w:r>
        <w:t>Total bilirubin (34.0%) and lactate (27.0%) were missing in a non-random pattern. Multiple imputation by chained equations (MICE, 20 imputations) was performed as a sensitivity analysis.</w:t>
      </w:r>
    </w:p>
    <w:p>
      <w:pPr>
        <w:pStyle w:val="ListBullet"/>
      </w:pPr>
      <w:r>
        <w:rPr>
          <w:b/>
        </w:rPr>
        <w:t>Pooled interaction HR (MICE):</w:t>
      </w:r>
      <w:r>
        <w:t xml:space="preserve"> 0.736, 95% CI 0.639–0.848.</w:t>
      </w:r>
    </w:p>
    <w:p>
      <w:pPr>
        <w:pStyle w:val="ListBullet"/>
      </w:pPr>
      <w:r>
        <w:t>Rubin’s rules were used to pool estimates across imputations.</w:t>
      </w:r>
    </w:p>
    <w:p>
      <w:pPr>
        <w:pStyle w:val="ListBullet"/>
      </w:pPr>
      <w:r>
        <w:t>All model covariates (heparin exposure, consumptive coagulopathy, age, sex, SOFA non-coagulation, cirrhosis, cancer, chronic kidney disease) were fully observed; missingness was confined to laboratory variables (total bilirubin 34.0%, lactate 27.0%) that are not part of the primary model. Consequently, all 20 imputations reproduced the complete-data estimate exactly (interaction HR 0.736), and the pooled estimate matches the primary analysis.</w:t>
      </w:r>
    </w:p>
    <w:p>
      <w:pPr>
        <w:pStyle w:val="ListBullet"/>
      </w:pPr>
      <w:r>
        <w:t>Complete-case analysis (N=18,584) yielded an interaction HR = 0.743 (95% CI 0.634–0.870), virtually identical to the primary analysis.</w:t>
      </w:r>
    </w:p>
    <w:p>
      <w:pPr>
        <w:pStyle w:val="BodyText"/>
      </w:pPr>
      <w:r>
        <w:t>Both sensitivity analyses confirm that missing data handling did not materially influence the estimates.</w:t>
      </w:r>
    </w:p>
    <w:p>
      <w:pPr>
        <w:pStyle w:val="Heading2"/>
      </w:pPr>
      <w:r>
        <w:t>Supplement S3: E-value Calculation Details</w:t>
      </w:r>
    </w:p>
    <w:p>
      <w:pPr>
        <w:pStyle w:val="BodyText"/>
      </w:pPr>
      <w:r>
        <w:t>The E-value quantifies the minimum strength of association (on the risk ratio scale) that an unmeasured confounder would need to have with both the exposure and the outcome to fully explain away the observed interaction.</w:t>
      </w:r>
    </w:p>
    <w:p>
      <w:pPr>
        <w:pStyle w:val="ListBullet"/>
      </w:pPr>
      <w:r>
        <w:rPr>
          <w:b/>
        </w:rPr>
        <w:t>E-value (point estimate):</w:t>
      </w:r>
      <w:r>
        <w:t xml:space="preserve"> 2.05.</w:t>
      </w:r>
    </w:p>
    <w:p>
      <w:pPr>
        <w:pStyle w:val="ListBullet"/>
      </w:pPr>
      <w:r>
        <w:rPr>
          <w:b/>
        </w:rPr>
        <w:t>E-value (CI boundary):</w:t>
      </w:r>
      <w:r>
        <w:t xml:space="preserve"> 2.50.</w:t>
      </w:r>
    </w:p>
    <w:p>
      <w:pPr>
        <w:pStyle w:val="ListBullet"/>
      </w:pPr>
      <w:r>
        <w:t>The largest measured confounder association was cirrhosis (HR 1.61, 95% CI 1.49–1.75); SOFA (non-coagulation component) was HR ≈ 1.08 per point. All measured covariate associations were well below the E-value.</w:t>
      </w:r>
    </w:p>
    <w:p>
      <w:pPr>
        <w:pStyle w:val="BodyText"/>
      </w:pPr>
      <w:r>
        <w:t>We interpret the E-value of 2.05 as providing moderate but not definitive protection against unmeasured confounding, and the negative control analyses (Table 7, main text) as direct evidence that severity-of-illness confounding is present. Randomization is required to overcome this limitation.</w:t>
      </w:r>
    </w:p>
    <w:p>
      <w:pPr>
        <w:pStyle w:val="Heading2"/>
      </w:pPr>
      <w:r>
        <w:t>Supplement S4: External Calibration Results</w:t>
      </w:r>
    </w:p>
    <w:p>
      <w:pPr>
        <w:pStyle w:val="BodyText"/>
      </w:pPr>
      <w:r>
        <w:t>The MIMIC-IV-trained Cox model was applied to the exploratory external cohorts.</w:t>
      </w:r>
    </w:p>
    <w:p>
      <w:pPr>
        <w:pStyle w:val="ListBullet"/>
      </w:pPr>
      <w:r>
        <w:rPr>
          <w:b/>
        </w:rPr>
        <w:t>C-index:</w:t>
      </w:r>
      <w:r>
        <w:t xml:space="preserve"> 0.476 (MIMIC-III) to 0.550 (eICU).</w:t>
      </w:r>
    </w:p>
    <w:p>
      <w:pPr>
        <w:pStyle w:val="ListBullet"/>
      </w:pPr>
      <w:r>
        <w:rPr>
          <w:b/>
        </w:rPr>
        <w:t>Calibration slopes:</w:t>
      </w:r>
      <w:r>
        <w:t xml:space="preserve"> 0.001–0.014.</w:t>
      </w:r>
    </w:p>
    <w:p>
      <w:pPr>
        <w:pStyle w:val="BodyText"/>
      </w:pPr>
      <w:r>
        <w:t>The poor external discrimination reflects cross-database differences in baseline risk (28-day mortality 17.1% in MIMIC-IV vs. differing baseline risks in external cohorts) and case mix. Validating an effect modification (interaction term) is a fundamentally different target than validating absolute risk prediction; poor transport of baseline risk does not by itself refute transport of the interaction. The primary goal of this study is derivation of the prognostic enrichment hypothesis, not absolute risk prediction.</w:t>
      </w:r>
    </w:p>
    <w:p>
      <w:pPr>
        <w:pStyle w:val="Heading2"/>
      </w:pPr>
      <w:r>
        <w:t>Supplement S5: Exploratory Bleeding Mediation Analysis</w:t>
      </w:r>
    </w:p>
    <w:p>
      <w:pPr>
        <w:pStyle w:val="BodyText"/>
      </w:pPr>
      <w:r>
        <w:t>An exploratory mediation analysis was performed to assess whether bleeding events mediated the heparin × consumptive coagulopathy interaction.</w:t>
      </w:r>
    </w:p>
    <w:p>
      <w:pPr>
        <w:pStyle w:val="ListBullet"/>
      </w:pPr>
      <w:r>
        <w:rPr>
          <w:b/>
        </w:rPr>
        <w:t>Mediation proportion:</w:t>
      </w:r>
      <w:r>
        <w:t xml:space="preserve"> −0.1%.</w:t>
      </w:r>
    </w:p>
    <w:p>
      <w:pPr>
        <w:pStyle w:val="ListBullet"/>
      </w:pPr>
      <w:r>
        <w:t>The mortality interaction was not mediated by bleeding.</w:t>
      </w:r>
    </w:p>
    <w:p>
      <w:pPr>
        <w:pStyle w:val="BodyText"/>
      </w:pPr>
      <w:r>
        <w:t>This analysis is limited by the observational design and potential time-dependent bias; it cannot be interpreted causally and is not considered a primary finding.</w:t>
      </w:r>
    </w:p>
    <w:p>
      <w:pPr>
        <w:pStyle w:val="Heading2"/>
      </w:pPr>
      <w:r>
        <w:t>Supplement S6: Exploratory External Assessment in MIMIC-III and eICU (Full Results)</w:t>
      </w:r>
    </w:p>
    <w:p>
      <w:pPr>
        <w:pStyle w:val="Heading3"/>
      </w:pPr>
      <w:r>
        <w:t>Methods</w:t>
      </w:r>
    </w:p>
    <w:p>
      <w:pPr>
        <w:pStyle w:val="BodyText"/>
      </w:pPr>
      <w:r>
        <w:t>Pre-specified exploratory assessment of the prognostic enrichment hypothesis (cut-points 0/1/2 as derived in MIMIC-IV) was performed without modification in two additional critical-care cohorts, using the same 24-hour heparin and INR definitions as the derivation:</w:t>
      </w:r>
    </w:p>
    <w:p>
      <w:pPr>
        <w:pStyle w:val="ListNumber"/>
      </w:pPr>
      <w:r>
        <w:rPr>
          <w:b/>
        </w:rPr>
        <w:t>MIMIC-III (v1.4):</w:t>
      </w:r>
      <w:r>
        <w:t xml:space="preserve"> single-center ICU database from the same institution as the derivation cohort but an earlier epoch (2001–2012); therapeutic IV heparin = itemid 225152 in </w:t>
      </w:r>
      <w:r>
        <w:rPr>
          <w:rFonts w:ascii="Consolas" w:hAnsi="Consolas"/>
        </w:rPr>
        <w:t>inputevents_mv</w:t>
      </w:r>
      <w:r>
        <w:t xml:space="preserve"> initiated within the first 24 hours; INR from </w:t>
      </w:r>
      <w:r>
        <w:rPr>
          <w:rFonts w:ascii="Consolas" w:hAnsi="Consolas"/>
        </w:rPr>
        <w:t>chartevents</w:t>
      </w:r>
      <w:r>
        <w:t xml:space="preserve"> (227467/1530/815) within the first 24 hours; outcome = 28-day all-cause mortality.</w:t>
      </w:r>
    </w:p>
    <w:p>
      <w:pPr>
        <w:pStyle w:val="ListNumber"/>
      </w:pPr>
      <w:r>
        <w:rPr>
          <w:b/>
        </w:rPr>
        <w:t>eICU-CRD:</w:t>
      </w:r>
      <w:r>
        <w:t xml:space="preserve"> multicenter ICU database aggregating &gt;200 hospitals; therapeutic IV heparin from </w:t>
      </w:r>
      <w:r>
        <w:rPr>
          <w:rFonts w:ascii="Consolas" w:hAnsi="Consolas"/>
        </w:rPr>
        <w:t>admissiondrug</w:t>
      </w:r>
      <w:r>
        <w:t xml:space="preserve"> records within the first 24 hours; INR from PT–INR laboratory events within the first 24 hours; outcome = in-hospital mortality (eICU lacks reliable out-of-hospital vital status).</w:t>
      </w:r>
    </w:p>
    <w:p>
      <w:pPr>
        <w:pStyle w:val="BodyText"/>
      </w:pPr>
      <w:r>
        <w:t>The analysis cohorts comprised 5,282 MIMIC-III and 12,229 eICU septic stays. The exploratory plan was pre-specified: (i) continuous INR×heparin interaction; (ii) 3-level score×heparin interaction by likelihood-ratio test; (iii) per-stratum IPTW-adjusted absolute risk difference (ARD; ARD&lt;0 favors heparin) with bootstrap 95% CIs; (iv) dose–response across INR bins. No cut-point re-estimation was performed in validation cohorts.</w:t>
      </w:r>
    </w:p>
    <w:p>
      <w:pPr>
        <w:pStyle w:val="Heading3"/>
      </w:pPr>
      <w:r>
        <w:t>Results</w:t>
      </w:r>
    </w:p>
    <w:p>
      <w:pPr>
        <w:pStyle w:val="BodyText"/>
      </w:pPr>
      <w:r>
        <w:rPr>
          <w:b/>
        </w:rPr>
        <w:t>Exposure sparsity.</w:t>
      </w:r>
      <w:r>
        <w:t xml:space="preserve"> Both cohorts had extremely sparse heparin exposure in the high-INR strata:</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Cohort</w:t>
            </w:r>
          </w:p>
        </w:tc>
        <w:tc>
          <w:tcPr>
            <w:tcW w:type="dxa" w:w="2880"/>
          </w:tcPr>
          <w:p>
            <w:r>
              <w:rPr>
                <w:b/>
              </w:rPr>
              <w:t>Score 1 (INR 2.5–3.3) exposed</w:t>
            </w:r>
          </w:p>
        </w:tc>
        <w:tc>
          <w:tcPr>
            <w:tcW w:type="dxa" w:w="2880"/>
          </w:tcPr>
          <w:p>
            <w:r>
              <w:rPr>
                <w:b/>
              </w:rPr>
              <w:t>Score 2 (INR ≥ 3.4) exposed</w:t>
            </w:r>
          </w:p>
        </w:tc>
      </w:tr>
      <w:tr>
        <w:tc>
          <w:tcPr>
            <w:tcW w:type="dxa" w:w="2880"/>
          </w:tcPr>
          <w:p>
            <w:r>
              <w:t>MIMIC-III</w:t>
            </w:r>
          </w:p>
        </w:tc>
        <w:tc>
          <w:tcPr>
            <w:tcW w:type="dxa" w:w="2880"/>
          </w:tcPr>
          <w:p>
            <w:r>
              <w:t>sparse</w:t>
            </w:r>
          </w:p>
        </w:tc>
        <w:tc>
          <w:tcPr>
            <w:tcW w:type="dxa" w:w="2880"/>
          </w:tcPr>
          <w:p>
            <w:r>
              <w:t>n=5</w:t>
            </w:r>
          </w:p>
        </w:tc>
      </w:tr>
      <w:tr>
        <w:tc>
          <w:tcPr>
            <w:tcW w:type="dxa" w:w="2880"/>
          </w:tcPr>
          <w:p>
            <w:r>
              <w:t>eICU</w:t>
            </w:r>
          </w:p>
        </w:tc>
        <w:tc>
          <w:tcPr>
            <w:tcW w:type="dxa" w:w="2880"/>
          </w:tcPr>
          <w:p>
            <w:r>
              <w:t>n=0</w:t>
            </w:r>
          </w:p>
        </w:tc>
        <w:tc>
          <w:tcPr>
            <w:tcW w:type="dxa" w:w="2880"/>
          </w:tcPr>
          <w:p>
            <w:r>
              <w:t>n=1</w:t>
            </w:r>
          </w:p>
        </w:tc>
      </w:tr>
    </w:tbl>
    <w:p/>
    <w:p>
      <w:pPr>
        <w:pStyle w:val="BodyText"/>
      </w:pPr>
      <w:r>
        <w:t>The eICU cohort was non-evaluable for the high-INR benefit because therapeutic heparin was essentially never administered to coagulopathic patients (0 exposed in Score 1; 1 exposed in Score 2).</w:t>
      </w:r>
    </w:p>
    <w:p>
      <w:pPr>
        <w:pStyle w:val="BodyText"/>
      </w:pPr>
      <w:r>
        <w:rPr>
          <w:b/>
        </w:rPr>
        <w:t>MIMIC-III.</w:t>
      </w:r>
      <w:r>
        <w:t xml:space="preserve"> The 3-level score×heparin interaction was not significant (p=0.083), reflecting the sparse high-INR exposure (n=5). The stratum-specific ARD estimates (Score 0: −4.2% [95% CI −10.9% to −1.0%]; Score 2: +12.5% [95% CI −40.3% to +46.3%]) did not reproduce the MIMIC-IV gradient and can neither confirm nor refute the enrichment hypothesis.</w:t>
      </w:r>
    </w:p>
    <w:p>
      <w:pPr>
        <w:pStyle w:val="BodyText"/>
      </w:pPr>
      <w:r>
        <w:rPr>
          <w:b/>
        </w:rPr>
        <w:t>eICU.</w:t>
      </w:r>
      <w:r>
        <w:t xml:space="preserve"> Non-evaluable for the high-INR benefit due to the near-absence of exposure.</w:t>
      </w:r>
    </w:p>
    <w:p>
      <w:pPr>
        <w:pStyle w:val="Heading3"/>
      </w:pPr>
      <w:r>
        <w:t>Interpretation</w:t>
      </w:r>
    </w:p>
    <w:p>
      <w:pPr>
        <w:pStyle w:val="BodyText"/>
      </w:pPr>
      <w:r>
        <w:t>These analyses were substantially underpowered and cannot provide confirmatory or refutatory evidence for the hypothesis; they do not constitute independent validation. We interpret the exposure sparsity itself as a key finding: routine practice rarely administers therapeutic heparin to coagulopathic septic patients. The near-absence of exposure in the very subgroup where benefit is hypothesized is not a validation failure—it is a demonstration of the prevailing clinical paradigm. This pattern means that observational data will always be sparse in this subgroup, making the question inherently unanswerable with existing data and underscoring the need for a randomized trial.</w:t>
      </w:r>
    </w:p>
    <w:p>
      <w:pPr>
        <w:pStyle w:val="Heading2"/>
      </w:pPr>
      <w:r>
        <w:t>Supplement S7: Prognostic Enrichment Hypothesis (Three-Tier INR Score)</w:t>
      </w:r>
    </w:p>
    <w:p>
      <w:pPr>
        <w:pStyle w:val="BodyText"/>
      </w:pPr>
      <w:r>
        <w:t>The three-tier prognostic enrichment hypothesis derived in the main text (Results, Derivation of the Prognostic Enrichment Hypothesis):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INR Range</w:t>
            </w:r>
          </w:p>
        </w:tc>
        <w:tc>
          <w:tcPr>
            <w:tcW w:type="dxa" w:w="1728"/>
          </w:tcPr>
          <w:p>
            <w:r>
              <w:rPr>
                <w:b/>
              </w:rPr>
              <w:t>Score</w:t>
            </w:r>
          </w:p>
        </w:tc>
        <w:tc>
          <w:tcPr>
            <w:tcW w:type="dxa" w:w="1728"/>
          </w:tcPr>
          <w:p>
            <w:r>
              <w:rPr>
                <w:b/>
              </w:rPr>
              <w:t>Interpretation</w:t>
            </w:r>
          </w:p>
        </w:tc>
        <w:tc>
          <w:tcPr>
            <w:tcW w:type="dxa" w:w="1728"/>
          </w:tcPr>
          <w:p>
            <w:r>
              <w:rPr>
                <w:b/>
              </w:rPr>
              <w:t>IPTW-ARD* (95% CI)</w:t>
            </w:r>
          </w:p>
        </w:tc>
        <w:tc>
          <w:tcPr>
            <w:tcW w:type="dxa" w:w="1728"/>
          </w:tcPr>
          <w:p>
            <w:r>
              <w:rPr>
                <w:b/>
              </w:rPr>
              <w:t>Trial Design Hypothesis</w:t>
            </w:r>
          </w:p>
        </w:tc>
      </w:tr>
      <w:tr>
        <w:tc>
          <w:tcPr>
            <w:tcW w:type="dxa" w:w="1728"/>
          </w:tcPr>
          <w:p>
            <w:r>
              <w:t>≤ 2.4</w:t>
            </w:r>
          </w:p>
        </w:tc>
        <w:tc>
          <w:tcPr>
            <w:tcW w:type="dxa" w:w="1728"/>
          </w:tcPr>
          <w:p>
            <w:r>
              <w:t>0</w:t>
            </w:r>
          </w:p>
        </w:tc>
        <w:tc>
          <w:tcPr>
            <w:tcW w:type="dxa" w:w="1728"/>
          </w:tcPr>
          <w:p>
            <w:r>
              <w:t>Adverse association likely</w:t>
            </w:r>
          </w:p>
        </w:tc>
        <w:tc>
          <w:tcPr>
            <w:tcW w:type="dxa" w:w="1728"/>
          </w:tcPr>
          <w:p>
            <w:r>
              <w:t>+5.7% (+4.5% to +6.9%)</w:t>
            </w:r>
          </w:p>
        </w:tc>
        <w:tc>
          <w:tcPr>
            <w:tcW w:type="dxa" w:w="1728"/>
          </w:tcPr>
          <w:p>
            <w:r>
              <w:t>Hypothesis: exclude from therapeutic heparin trial</w:t>
            </w:r>
          </w:p>
        </w:tc>
      </w:tr>
      <w:tr>
        <w:tc>
          <w:tcPr>
            <w:tcW w:type="dxa" w:w="1728"/>
          </w:tcPr>
          <w:p>
            <w:r>
              <w:t>2.5–3.3</w:t>
            </w:r>
          </w:p>
        </w:tc>
        <w:tc>
          <w:tcPr>
            <w:tcW w:type="dxa" w:w="1728"/>
          </w:tcPr>
          <w:p>
            <w:r>
              <w:t>1</w:t>
            </w:r>
          </w:p>
        </w:tc>
        <w:tc>
          <w:tcPr>
            <w:tcW w:type="dxa" w:w="1728"/>
          </w:tcPr>
          <w:p>
            <w:r>
              <w:t>Neutral / Transition zone</w:t>
            </w:r>
          </w:p>
        </w:tc>
        <w:tc>
          <w:tcPr>
            <w:tcW w:type="dxa" w:w="1728"/>
          </w:tcPr>
          <w:p>
            <w:r>
              <w:t>+0.6% (−5.4% to +6.6%)</w:t>
            </w:r>
          </w:p>
        </w:tc>
        <w:tc>
          <w:tcPr>
            <w:tcW w:type="dxa" w:w="1728"/>
          </w:tcPr>
          <w:p>
            <w:r>
              <w:t>Hypothesis: secondary analysis stratum</w:t>
            </w:r>
          </w:p>
        </w:tc>
      </w:tr>
      <w:tr>
        <w:tc>
          <w:tcPr>
            <w:tcW w:type="dxa" w:w="1728"/>
          </w:tcPr>
          <w:p>
            <w:r>
              <w:t>≥ 3.4</w:t>
            </w:r>
          </w:p>
        </w:tc>
        <w:tc>
          <w:tcPr>
            <w:tcW w:type="dxa" w:w="1728"/>
          </w:tcPr>
          <w:p>
            <w:r>
              <w:t>2</w:t>
            </w:r>
          </w:p>
        </w:tc>
        <w:tc>
          <w:tcPr>
            <w:tcW w:type="dxa" w:w="1728"/>
          </w:tcPr>
          <w:p>
            <w:r>
              <w:t>Favorable association likely</w:t>
            </w:r>
          </w:p>
        </w:tc>
        <w:tc>
          <w:tcPr>
            <w:tcW w:type="dxa" w:w="1728"/>
          </w:tcPr>
          <w:p>
            <w:r>
              <w:t>−5.0% (−9.8% to +0.4%)</w:t>
            </w:r>
          </w:p>
        </w:tc>
        <w:tc>
          <w:tcPr>
            <w:tcW w:type="dxa" w:w="1728"/>
          </w:tcPr>
          <w:p>
            <w:r>
              <w:t>Hypothesis: primary enrichment target</w:t>
            </w:r>
          </w:p>
        </w:tc>
      </w:tr>
    </w:tbl>
    <w:p/>
    <w:p>
      <w:pPr>
        <w:pStyle w:val="BodyText"/>
      </w:pPr>
      <w:r>
        <w:t>*</w:t>
      </w:r>
      <w:r>
        <w:t>ARD = heparin mortality rate minus no-heparin mortality rate. In this table only, ARD is defined as heparin minus no-heparin mortality; therefore, NEGATIVE ARD favors heparin. This differs from the convention in Supplement S10, where ARD is presented as benefit positive for illustrative trial projections.</w:t>
      </w:r>
    </w:p>
    <w:p>
      <w:pPr>
        <w:pStyle w:val="Heading2"/>
      </w:pPr>
      <w:r>
        <w:t>Supplement S8: Negative Control Exposure Analysis (Full Table)</w:t>
      </w:r>
    </w:p>
    <w:p>
      <w:pPr>
        <w:pStyle w:val="BodyText"/>
      </w:pPr>
      <w:r>
        <w:t>Full results of the negative control exposure analysis described in the main text (Results, Negative control exposure analysis):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rPr>
                <w:b/>
              </w:rPr>
              <w:t>Exposure (first 24 h)</w:t>
            </w:r>
          </w:p>
        </w:tc>
        <w:tc>
          <w:tcPr>
            <w:tcW w:type="dxa" w:w="1440"/>
          </w:tcPr>
          <w:p>
            <w:r>
              <w:rPr>
                <w:b/>
              </w:rPr>
              <w:t>Exposed, %</w:t>
            </w:r>
          </w:p>
        </w:tc>
        <w:tc>
          <w:tcPr>
            <w:tcW w:type="dxa" w:w="1440"/>
          </w:tcPr>
          <w:p>
            <w:r>
              <w:rPr>
                <w:b/>
              </w:rPr>
              <w:t>HR (95% CI), non-consumptive</w:t>
            </w:r>
          </w:p>
        </w:tc>
        <w:tc>
          <w:tcPr>
            <w:tcW w:type="dxa" w:w="1440"/>
          </w:tcPr>
          <w:p>
            <w:r>
              <w:rPr>
                <w:b/>
              </w:rPr>
              <w:t>HR (95% CI), consumptive</w:t>
            </w:r>
          </w:p>
        </w:tc>
        <w:tc>
          <w:tcPr>
            <w:tcW w:type="dxa" w:w="1440"/>
          </w:tcPr>
          <w:p>
            <w:r>
              <w:rPr>
                <w:b/>
              </w:rPr>
              <w:t>Interaction HR (95% CI)</w:t>
            </w:r>
          </w:p>
        </w:tc>
        <w:tc>
          <w:tcPr>
            <w:tcW w:type="dxa" w:w="1440"/>
          </w:tcPr>
          <w:p>
            <w:r>
              <w:rPr>
                <w:b/>
              </w:rPr>
              <w:t>LRT p</w:t>
            </w:r>
          </w:p>
        </w:tc>
      </w:tr>
      <w:tr>
        <w:tc>
          <w:tcPr>
            <w:tcW w:type="dxa" w:w="1440"/>
          </w:tcPr>
          <w:p>
            <w:r>
              <w:t>Corticosteroids (negative control)</w:t>
            </w:r>
          </w:p>
        </w:tc>
        <w:tc>
          <w:tcPr>
            <w:tcW w:type="dxa" w:w="1440"/>
          </w:tcPr>
          <w:p>
            <w:r>
              <w:t>5.3</w:t>
            </w:r>
          </w:p>
        </w:tc>
        <w:tc>
          <w:tcPr>
            <w:tcW w:type="dxa" w:w="1440"/>
          </w:tcPr>
          <w:p>
            <w:r>
              <w:t>1.64 (1.48–1.82)</w:t>
            </w:r>
          </w:p>
        </w:tc>
        <w:tc>
          <w:tcPr>
            <w:tcW w:type="dxa" w:w="1440"/>
          </w:tcPr>
          <w:p>
            <w:r>
              <w:t>1.75 (1.56–1.97)</w:t>
            </w:r>
          </w:p>
        </w:tc>
        <w:tc>
          <w:tcPr>
            <w:tcW w:type="dxa" w:w="1440"/>
          </w:tcPr>
          <w:p>
            <w:r>
              <w:t>1.15 (0.99–1.34)</w:t>
            </w:r>
          </w:p>
        </w:tc>
        <w:tc>
          <w:tcPr>
            <w:tcW w:type="dxa" w:w="1440"/>
          </w:tcPr>
          <w:p>
            <w:r>
              <w:t>0.078</w:t>
            </w:r>
          </w:p>
        </w:tc>
      </w:tr>
      <w:tr>
        <w:tc>
          <w:tcPr>
            <w:tcW w:type="dxa" w:w="1440"/>
          </w:tcPr>
          <w:p>
            <w:r>
              <w:t>Vasopressors (negative control)</w:t>
            </w:r>
          </w:p>
        </w:tc>
        <w:tc>
          <w:tcPr>
            <w:tcW w:type="dxa" w:w="1440"/>
          </w:tcPr>
          <w:p>
            <w:r>
              <w:t>41.7</w:t>
            </w:r>
          </w:p>
        </w:tc>
        <w:tc>
          <w:tcPr>
            <w:tcW w:type="dxa" w:w="1440"/>
          </w:tcPr>
          <w:p>
            <w:r>
              <w:t>0.78 (0.73–0.84)</w:t>
            </w:r>
          </w:p>
        </w:tc>
        <w:tc>
          <w:tcPr>
            <w:tcW w:type="dxa" w:w="1440"/>
          </w:tcPr>
          <w:p>
            <w:r>
              <w:t>0.67 (0.61–0.75)</w:t>
            </w:r>
          </w:p>
        </w:tc>
        <w:tc>
          <w:tcPr>
            <w:tcW w:type="dxa" w:w="1440"/>
          </w:tcPr>
          <w:p>
            <w:r>
              <w:t>0.94 (0.85–1.05)</w:t>
            </w:r>
          </w:p>
        </w:tc>
        <w:tc>
          <w:tcPr>
            <w:tcW w:type="dxa" w:w="1440"/>
          </w:tcPr>
          <w:p>
            <w:r>
              <w:t>0.254</w:t>
            </w:r>
          </w:p>
        </w:tc>
      </w:tr>
      <w:tr>
        <w:tc>
          <w:tcPr>
            <w:tcW w:type="dxa" w:w="1440"/>
          </w:tcPr>
          <w:p>
            <w:r>
              <w:t>Renal replacement therapy (negative control)</w:t>
            </w:r>
          </w:p>
        </w:tc>
        <w:tc>
          <w:tcPr>
            <w:tcW w:type="dxa" w:w="1440"/>
          </w:tcPr>
          <w:p>
            <w:r>
              <w:t>7.6</w:t>
            </w:r>
          </w:p>
        </w:tc>
        <w:tc>
          <w:tcPr>
            <w:tcW w:type="dxa" w:w="1440"/>
          </w:tcPr>
          <w:p>
            <w:r>
              <w:t>1.07 (0.96–1.18)</w:t>
            </w:r>
          </w:p>
        </w:tc>
        <w:tc>
          <w:tcPr>
            <w:tcW w:type="dxa" w:w="1440"/>
          </w:tcPr>
          <w:p>
            <w:r>
              <w:t>1.11 (0.99–1.24)</w:t>
            </w:r>
          </w:p>
        </w:tc>
        <w:tc>
          <w:tcPr>
            <w:tcW w:type="dxa" w:w="1440"/>
          </w:tcPr>
          <w:p>
            <w:r>
              <w:t>1.17 (1.01–1.35)</w:t>
            </w:r>
          </w:p>
        </w:tc>
        <w:tc>
          <w:tcPr>
            <w:tcW w:type="dxa" w:w="1440"/>
          </w:tcPr>
          <w:p>
            <w:r>
              <w:t>0.035</w:t>
            </w:r>
          </w:p>
        </w:tc>
      </w:tr>
      <w:tr>
        <w:tc>
          <w:tcPr>
            <w:tcW w:type="dxa" w:w="1440"/>
          </w:tcPr>
          <w:p>
            <w:r>
              <w:t>Therapeutic IV heparin (positive control)</w:t>
            </w:r>
          </w:p>
        </w:tc>
        <w:tc>
          <w:tcPr>
            <w:tcW w:type="dxa" w:w="1440"/>
          </w:tcPr>
          <w:p>
            <w:r>
              <w:t>14.3</w:t>
            </w:r>
          </w:p>
        </w:tc>
        <w:tc>
          <w:tcPr>
            <w:tcW w:type="dxa" w:w="1440"/>
          </w:tcPr>
          <w:p>
            <w:r>
              <w:t>1.38 (1.28–1.48)</w:t>
            </w:r>
          </w:p>
        </w:tc>
        <w:tc>
          <w:tcPr>
            <w:tcW w:type="dxa" w:w="1440"/>
          </w:tcPr>
          <w:p>
            <w:r>
              <w:t>0.95 (0.84–1.08)</w:t>
            </w:r>
          </w:p>
        </w:tc>
        <w:tc>
          <w:tcPr>
            <w:tcW w:type="dxa" w:w="1440"/>
          </w:tcPr>
          <w:p>
            <w:r>
              <w:t>0.70 (0.60–0.80)</w:t>
            </w:r>
          </w:p>
        </w:tc>
        <w:tc>
          <w:tcPr>
            <w:tcW w:type="dxa" w:w="1440"/>
          </w:tcPr>
          <w:p>
            <w:r>
              <w:t>&lt;0.001</w:t>
            </w:r>
          </w:p>
        </w:tc>
      </w:tr>
    </w:tbl>
    <w:p/>
    <w:p>
      <w:pPr>
        <w:pStyle w:val="BodyText"/>
      </w:pPr>
      <w:r>
        <w:t>Interaction = exposure × consumptive coagulopathy. Negative control exposures have no antithrombotic or INR-dependent pharmacologic mechanism; an INR-dependent interaction for such exposures indicates severity-of-illness confounding. Exposed, % is the proportion of the full cohort (N=38,431) receiving each exposure within the first 24 h as ascertained in the negative-control extraction; the vasopressor exposure rate here (41.7%) differs slightly from the corresponding row in Table 1 of the main text (47.9%, 18,418/38,431) because the two analyses relied on separate exposure extraction pipelines, which does not affect the within-model interaction estimates. The heparin row is estimated within the same model specification as the negative controls (positive control); it differs slightly from the primary Cox estimate (0.736, Table 2 of the main text) because of model specification.</w:t>
      </w:r>
    </w:p>
    <w:p>
      <w:pPr>
        <w:pStyle w:val="Heading2"/>
      </w:pPr>
      <w:r>
        <w:t>Supplement S9: Exploratory Day-4 Landmark Analysis (Full Table)</w:t>
      </w:r>
    </w:p>
    <w:p>
      <w:pPr>
        <w:pStyle w:val="BodyText"/>
      </w:pPr>
      <w:r>
        <w:t>Full results of the exploratory Day-4 landmark analysis described in the main text (Results, Exploratory Landmark Analysis):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INR trajectory group</w:t>
            </w:r>
          </w:p>
        </w:tc>
        <w:tc>
          <w:tcPr>
            <w:tcW w:type="dxa" w:w="1728"/>
          </w:tcPr>
          <w:p>
            <w:r>
              <w:rPr>
                <w:b/>
              </w:rPr>
              <w:t>N</w:t>
            </w:r>
          </w:p>
        </w:tc>
        <w:tc>
          <w:tcPr>
            <w:tcW w:type="dxa" w:w="1728"/>
          </w:tcPr>
          <w:p>
            <w:r>
              <w:rPr>
                <w:b/>
              </w:rPr>
              <w:t>Heparin (IV), N</w:t>
            </w:r>
          </w:p>
        </w:tc>
        <w:tc>
          <w:tcPr>
            <w:tcW w:type="dxa" w:w="1728"/>
          </w:tcPr>
          <w:p>
            <w:r>
              <w:rPr>
                <w:b/>
              </w:rPr>
              <w:t>Heparin HR (95% CI)</w:t>
            </w:r>
          </w:p>
        </w:tc>
        <w:tc>
          <w:tcPr>
            <w:tcW w:type="dxa" w:w="1728"/>
          </w:tcPr>
          <w:p>
            <w:r>
              <w:rPr>
                <w:b/>
              </w:rPr>
              <w:t>p value</w:t>
            </w:r>
          </w:p>
        </w:tc>
      </w:tr>
      <w:tr>
        <w:tc>
          <w:tcPr>
            <w:tcW w:type="dxa" w:w="1728"/>
          </w:tcPr>
          <w:p>
            <w:r>
              <w:t>Persistently coagulopathic (Day-4 INR ≥ 2.0)</w:t>
            </w:r>
          </w:p>
        </w:tc>
        <w:tc>
          <w:tcPr>
            <w:tcW w:type="dxa" w:w="1728"/>
          </w:tcPr>
          <w:p>
            <w:r>
              <w:t>1,419</w:t>
            </w:r>
          </w:p>
        </w:tc>
        <w:tc>
          <w:tcPr>
            <w:tcW w:type="dxa" w:w="1728"/>
          </w:tcPr>
          <w:p>
            <w:r>
              <w:t>165</w:t>
            </w:r>
          </w:p>
        </w:tc>
        <w:tc>
          <w:tcPr>
            <w:tcW w:type="dxa" w:w="1728"/>
          </w:tcPr>
          <w:p>
            <w:r>
              <w:t>0.97 (0.71–1.33)</w:t>
            </w:r>
          </w:p>
        </w:tc>
        <w:tc>
          <w:tcPr>
            <w:tcW w:type="dxa" w:w="1728"/>
          </w:tcPr>
          <w:p>
            <w:r>
              <w:t>0.86</w:t>
            </w:r>
          </w:p>
        </w:tc>
      </w:tr>
      <w:tr>
        <w:tc>
          <w:tcPr>
            <w:tcW w:type="dxa" w:w="1728"/>
          </w:tcPr>
          <w:p>
            <w:r>
              <w:t>Normalized (Day-4 INR &lt; 2.0)</w:t>
            </w:r>
          </w:p>
        </w:tc>
        <w:tc>
          <w:tcPr>
            <w:tcW w:type="dxa" w:w="1728"/>
          </w:tcPr>
          <w:p>
            <w:r>
              <w:t>1,388</w:t>
            </w:r>
          </w:p>
        </w:tc>
        <w:tc>
          <w:tcPr>
            <w:tcW w:type="dxa" w:w="1728"/>
          </w:tcPr>
          <w:p>
            <w:r>
              <w:t>339</w:t>
            </w:r>
          </w:p>
        </w:tc>
        <w:tc>
          <w:tcPr>
            <w:tcW w:type="dxa" w:w="1728"/>
          </w:tcPr>
          <w:p>
            <w:r>
              <w:t>1.27 (0.95–1.70)</w:t>
            </w:r>
          </w:p>
        </w:tc>
        <w:tc>
          <w:tcPr>
            <w:tcW w:type="dxa" w:w="1728"/>
          </w:tcPr>
          <w:p>
            <w:r>
              <w:t>0.10</w:t>
            </w:r>
          </w:p>
        </w:tc>
      </w:tr>
    </w:tbl>
    <w:p/>
    <w:p>
      <w:pPr>
        <w:pStyle w:val="BodyText"/>
      </w:pPr>
      <w:r>
        <w:t>Cox model with time origin shifted to Day 4, adjusted for age, sex, and SOFA (non-coagulation component). Trajectory × heparin interaction: LRT χ²=1.79, p=0.18. N=2,807 patients with baseline INR≥2.7 alive and uncensored at Day 4 (39 patients who died or were censored before Day 4 were excluded).</w:t>
      </w:r>
    </w:p>
    <w:p>
      <w:pPr>
        <w:pStyle w:val="Heading2"/>
      </w:pPr>
      <w:r>
        <w:t>Supplement S10: Hypothetical Trial Design Projection (Full Table)</w:t>
      </w:r>
    </w:p>
    <w:p>
      <w:pPr>
        <w:pStyle w:val="BodyText"/>
      </w:pPr>
      <w:r>
        <w:t>Full results of the hypothetical trial design projection described in the main text (Results, Hypothetical Trial Design Projection):</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rPr>
                <w:b/>
              </w:rPr>
              <w:t>Design</w:t>
            </w:r>
          </w:p>
        </w:tc>
        <w:tc>
          <w:tcPr>
            <w:tcW w:type="dxa" w:w="1234"/>
          </w:tcPr>
          <w:p>
            <w:r>
              <w:rPr>
                <w:b/>
              </w:rPr>
              <w:t>Enrolled (MIMIC-IV)</w:t>
            </w:r>
          </w:p>
        </w:tc>
        <w:tc>
          <w:tcPr>
            <w:tcW w:type="dxa" w:w="1234"/>
          </w:tcPr>
          <w:p>
            <w:r>
              <w:rPr>
                <w:b/>
              </w:rPr>
              <w:t>% of cohort</w:t>
            </w:r>
          </w:p>
        </w:tc>
        <w:tc>
          <w:tcPr>
            <w:tcW w:type="dxa" w:w="1234"/>
          </w:tcPr>
          <w:p>
            <w:r>
              <w:rPr>
                <w:b/>
              </w:rPr>
              <w:t>p0 (no heparin)</w:t>
            </w:r>
          </w:p>
        </w:tc>
        <w:tc>
          <w:tcPr>
            <w:tcW w:type="dxa" w:w="1234"/>
          </w:tcPr>
          <w:p>
            <w:r>
              <w:rPr>
                <w:b/>
              </w:rPr>
              <w:t>Assumed ARD (95% CI)</w:t>
            </w:r>
          </w:p>
        </w:tc>
        <w:tc>
          <w:tcPr>
            <w:tcW w:type="dxa" w:w="1234"/>
          </w:tcPr>
          <w:p>
            <w:r>
              <w:rPr>
                <w:b/>
              </w:rPr>
              <w:t>N/arm @80% power</w:t>
            </w:r>
          </w:p>
        </w:tc>
        <w:tc>
          <w:tcPr>
            <w:tcW w:type="dxa" w:w="1234"/>
          </w:tcPr>
          <w:p>
            <w:r>
              <w:rPr>
                <w:b/>
              </w:rPr>
              <w:t>Power @1,500/arm</w:t>
            </w:r>
          </w:p>
        </w:tc>
      </w:tr>
      <w:tr>
        <w:tc>
          <w:tcPr>
            <w:tcW w:type="dxa" w:w="1234"/>
          </w:tcPr>
          <w:p>
            <w:r>
              <w:t>All-comers (any INR)</w:t>
            </w:r>
          </w:p>
        </w:tc>
        <w:tc>
          <w:tcPr>
            <w:tcW w:type="dxa" w:w="1234"/>
          </w:tcPr>
          <w:p>
            <w:r>
              <w:t>38,431</w:t>
            </w:r>
          </w:p>
        </w:tc>
        <w:tc>
          <w:tcPr>
            <w:tcW w:type="dxa" w:w="1234"/>
          </w:tcPr>
          <w:p>
            <w:r>
              <w:t>100.0%</w:t>
            </w:r>
          </w:p>
        </w:tc>
        <w:tc>
          <w:tcPr>
            <w:tcW w:type="dxa" w:w="1234"/>
          </w:tcPr>
          <w:p>
            <w:r>
              <w:t>0.184</w:t>
            </w:r>
          </w:p>
        </w:tc>
        <w:tc>
          <w:tcPr>
            <w:tcW w:type="dxa" w:w="1234"/>
          </w:tcPr>
          <w:p>
            <w:r>
              <w:t>−4.9% (−6.1 to −3.8)</w:t>
            </w:r>
          </w:p>
        </w:tc>
        <w:tc>
          <w:tcPr>
            <w:tcW w:type="dxa" w:w="1234"/>
          </w:tcPr>
          <w:p>
            <w:r>
              <w:t>Futile*</w:t>
            </w:r>
          </w:p>
        </w:tc>
        <w:tc>
          <w:tcPr>
            <w:tcW w:type="dxa" w:w="1234"/>
          </w:tcPr>
          <w:p>
            <w:r>
              <w:t>0%</w:t>
            </w:r>
          </w:p>
        </w:tc>
      </w:tr>
      <w:tr>
        <w:tc>
          <w:tcPr>
            <w:tcW w:type="dxa" w:w="1234"/>
          </w:tcPr>
          <w:p>
            <w:r>
              <w:t>INR≥2.5 (Score ≥1)</w:t>
            </w:r>
          </w:p>
        </w:tc>
        <w:tc>
          <w:tcPr>
            <w:tcW w:type="dxa" w:w="1234"/>
          </w:tcPr>
          <w:p>
            <w:r>
              <w:t>4,528</w:t>
            </w:r>
          </w:p>
        </w:tc>
        <w:tc>
          <w:tcPr>
            <w:tcW w:type="dxa" w:w="1234"/>
          </w:tcPr>
          <w:p>
            <w:r>
              <w:t>11.8%</w:t>
            </w:r>
          </w:p>
        </w:tc>
        <w:tc>
          <w:tcPr>
            <w:tcW w:type="dxa" w:w="1234"/>
          </w:tcPr>
          <w:p>
            <w:r>
              <w:t>0.345</w:t>
            </w:r>
          </w:p>
        </w:tc>
        <w:tc>
          <w:tcPr>
            <w:tcW w:type="dxa" w:w="1234"/>
          </w:tcPr>
          <w:p>
            <w:r>
              <w:t>+1.9% (−2.0 to +5.9)</w:t>
            </w:r>
          </w:p>
        </w:tc>
        <w:tc>
          <w:tcPr>
            <w:tcW w:type="dxa" w:w="1234"/>
          </w:tcPr>
          <w:p>
            <w:r>
              <w:t>9,346</w:t>
            </w:r>
          </w:p>
        </w:tc>
        <w:tc>
          <w:tcPr>
            <w:tcW w:type="dxa" w:w="1234"/>
          </w:tcPr>
          <w:p>
            <w:r>
              <w:t>20%</w:t>
            </w:r>
          </w:p>
        </w:tc>
      </w:tr>
      <w:tr>
        <w:tc>
          <w:tcPr>
            <w:tcW w:type="dxa" w:w="1234"/>
          </w:tcPr>
          <w:p>
            <w:r>
              <w:t>INR≥2.7 (enrichment)</w:t>
            </w:r>
          </w:p>
        </w:tc>
        <w:tc>
          <w:tcPr>
            <w:tcW w:type="dxa" w:w="1234"/>
          </w:tcPr>
          <w:p>
            <w:r>
              <w:t>3,848</w:t>
            </w:r>
          </w:p>
        </w:tc>
        <w:tc>
          <w:tcPr>
            <w:tcW w:type="dxa" w:w="1234"/>
          </w:tcPr>
          <w:p>
            <w:r>
              <w:t>10.0%</w:t>
            </w:r>
          </w:p>
        </w:tc>
        <w:tc>
          <w:tcPr>
            <w:tcW w:type="dxa" w:w="1234"/>
          </w:tcPr>
          <w:p>
            <w:r>
              <w:t>0.356</w:t>
            </w:r>
          </w:p>
        </w:tc>
        <w:tc>
          <w:tcPr>
            <w:tcW w:type="dxa" w:w="1234"/>
          </w:tcPr>
          <w:p>
            <w:r>
              <w:t>+3.2% (−1.1 to +7.4)</w:t>
            </w:r>
          </w:p>
        </w:tc>
        <w:tc>
          <w:tcPr>
            <w:tcW w:type="dxa" w:w="1234"/>
          </w:tcPr>
          <w:p>
            <w:r>
              <w:t>3,469</w:t>
            </w:r>
          </w:p>
        </w:tc>
        <w:tc>
          <w:tcPr>
            <w:tcW w:type="dxa" w:w="1234"/>
          </w:tcPr>
          <w:p>
            <w:r>
              <w:t>45%</w:t>
            </w:r>
          </w:p>
        </w:tc>
      </w:tr>
      <w:tr>
        <w:tc>
          <w:tcPr>
            <w:tcW w:type="dxa" w:w="1234"/>
          </w:tcPr>
          <w:p>
            <w:r>
              <w:t>INR≥3.4 (Score =2)</w:t>
            </w:r>
          </w:p>
        </w:tc>
        <w:tc>
          <w:tcPr>
            <w:tcW w:type="dxa" w:w="1234"/>
          </w:tcPr>
          <w:p>
            <w:r>
              <w:t>2,342</w:t>
            </w:r>
          </w:p>
        </w:tc>
        <w:tc>
          <w:tcPr>
            <w:tcW w:type="dxa" w:w="1234"/>
          </w:tcPr>
          <w:p>
            <w:r>
              <w:t>6.1%</w:t>
            </w:r>
          </w:p>
        </w:tc>
        <w:tc>
          <w:tcPr>
            <w:tcW w:type="dxa" w:w="1234"/>
          </w:tcPr>
          <w:p>
            <w:r>
              <w:t>0.360</w:t>
            </w:r>
          </w:p>
        </w:tc>
        <w:tc>
          <w:tcPr>
            <w:tcW w:type="dxa" w:w="1234"/>
          </w:tcPr>
          <w:p>
            <w:r>
              <w:t>+4.3% (−1.1 to +9.7)</w:t>
            </w:r>
          </w:p>
        </w:tc>
        <w:tc>
          <w:tcPr>
            <w:tcW w:type="dxa" w:w="1234"/>
          </w:tcPr>
          <w:p>
            <w:r>
              <w:t>1,905</w:t>
            </w:r>
          </w:p>
        </w:tc>
        <w:tc>
          <w:tcPr>
            <w:tcW w:type="dxa" w:w="1234"/>
          </w:tcPr>
          <w:p>
            <w:r>
              <w:t>70%</w:t>
            </w:r>
          </w:p>
        </w:tc>
      </w:tr>
    </w:tbl>
    <w:p/>
    <w:p>
      <w:pPr>
        <w:pStyle w:val="BodyText"/>
      </w:pPr>
      <w:r>
        <w:t>ARD = weighted IPTW-adjusted absolute risk difference. In this table only, ARD is presented as benefit positive (positive = favors heparin) for the purpose of the illustrative power projection. This differs from Supplement S7, where ARD is defined as heparin mortality minus no-heparin mortality (negative favors heparin). Projection ARDs are pooled design-level estimates computed across each design’s INR range (see Methods) and therefore differ slightly from the stratum-specific ATT estimates in Table 3 of the main text; e.g., for INR ≥ 3.4, the projection ARD is +4.3% (benefit-positive here), whereas the stratum-specific ATT estimate is −5.0% (harm-positive convention, Table 3 of the main text). p0 = IPTW-standardized 28-day mortality in the no-heparin group; power computed at two-sided α=0.05, two-proportion test.</w:t>
      </w:r>
    </w:p>
    <w:p>
      <w:pPr>
        <w:pStyle w:val="BodyText"/>
      </w:pPr>
      <w:r>
        <w:rPr>
          <w:b/>
        </w:rPr>
        <w:t>⚠️ CRITICAL CAVEAT — DO NOT USE FOR ACTUAL SAMPLE SIZE CALCULATION:</w:t>
      </w:r>
      <w:r>
        <w:t xml:space="preserve"> These projections are derived from the same data that generated the hypothesis and are subject to overfitting (“winner’s curse”). Any actual trial sample size must be based on independent data or a conservative prior. These are post-hoc descriptive calculations for illustrative purposes only.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