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line="276" w:lineRule="auto"/>
      </w:pPr>
      <w:r>
        <w:rPr>
          <w:rFonts w:ascii="Times New Roman" w:hAnsi="Times New Roman"/>
        </w:rPr>
        <w:t>Additional file 1</w:t>
      </w:r>
    </w:p>
    <w:p>
      <w:pPr>
        <w:widowControl/>
        <w:spacing w:line="276" w:lineRule="auto"/>
      </w:pPr>
      <w:r>
        <w:rPr>
          <w:rFonts w:ascii="Times New Roman" w:hAnsi="Times New Roman"/>
          <w:sz w:val="24"/>
        </w:rPr>
        <w:t>Prognostic value of deep-learning computational pathology in colorectal cancer: a systematic review of haematoxylin and eosin whole-slide image studies</w:t>
      </w:r>
    </w:p>
    <w:p>
      <w:pPr>
        <w:pStyle w:val="Heading1"/>
        <w:widowControl/>
      </w:pPr>
      <w:r>
        <w:rPr>
          <w:rFonts w:ascii="Times New Roman" w:hAnsi="Times New Roman"/>
        </w:rPr>
        <w:t>S1. Reported database search strategies</w:t>
      </w:r>
    </w:p>
    <w:p>
      <w:pPr>
        <w:widowControl/>
        <w:spacing w:line="276" w:lineRule="auto"/>
      </w:pPr>
      <w:r>
        <w:rPr>
          <w:rFonts w:ascii="Times New Roman" w:hAnsi="Times New Roman"/>
          <w:sz w:val="24"/>
        </w:rPr>
        <w:t>The main manuscript reports that PubMed and Web of Science Core Collection were searched through 21 June 2026, yielding 473 and 643 records, respectively. Search strings below are transcribed from the search-strategy attachment in the original BJC submission. The original attachment was a strategy template and its “Date run” and “Run by” fields were blank; the execution log remains to be confirmed.</w:t>
      </w:r>
    </w:p>
    <w:p>
      <w:pPr>
        <w:pStyle w:val="Heading2"/>
        <w:widowControl/>
      </w:pPr>
      <w:r>
        <w:rPr>
          <w:rFonts w:ascii="Times New Roman" w:hAnsi="Times New Roman"/>
        </w:rPr>
        <w:t>PubMed (NLM)</w:t>
      </w:r>
    </w:p>
    <w:p>
      <w:pPr>
        <w:widowControl/>
        <w:spacing w:line="264" w:lineRule="auto" w:after="160"/>
      </w:pPr>
      <w:r>
        <w:rPr>
          <w:rFonts w:ascii="Times New Roman" w:hAnsi="Times New Roman"/>
          <w:sz w:val="22"/>
        </w:rPr>
        <w:t>#1 "Colorectal Neoplasms"[Mesh] OR "colorectal cancer"[tiab] OR "colorectal carcinoma"[tiab] OR "colorectal neoplasm*"[tiab] OR "colon cancer"[tiab] OR "colonic neoplasm*"[tiab] OR "rectal cancer"[tiab] OR "rectal neoplasm*"[tiab] OR CRC[tiab]</w:t>
      </w:r>
    </w:p>
    <w:p>
      <w:pPr>
        <w:widowControl/>
        <w:spacing w:line="264" w:lineRule="auto" w:after="160"/>
      </w:pPr>
      <w:r>
        <w:rPr>
          <w:rFonts w:ascii="Times New Roman" w:hAnsi="Times New Roman"/>
          <w:sz w:val="22"/>
        </w:rPr>
        <w:t>#2 "Deep Learning"[Mesh] OR "Artificial Intelligence"[Mesh] OR "Neural Networks, Computer"[Mesh] OR "deep learning"[tiab] OR "machine learning"[tiab] OR "artificial intelligence"[tiab] OR "convolutional neural network*"[tiab] OR "neural network*"[tiab] OR transformer*[tiab] OR "computational pathology"[tiab] OR "digital pathology"[tiab] OR pathomic*[tiab] OR "whole slide imag*"[tiab] OR "whole-slide"[tiab] OR "weakly supervised"[tiab] OR "multiple instance learning"[tiab] OR "foundation model*"[tiab]</w:t>
      </w:r>
    </w:p>
    <w:p>
      <w:pPr>
        <w:widowControl/>
        <w:spacing w:line="264" w:lineRule="auto" w:after="160"/>
      </w:pPr>
      <w:r>
        <w:rPr>
          <w:rFonts w:ascii="Times New Roman" w:hAnsi="Times New Roman"/>
          <w:sz w:val="22"/>
        </w:rPr>
        <w:t>#3 "Prognosis"[Mesh] OR "Survival Analysis"[Mesh] OR "Disease-Free Survival"[Mesh] OR prognos*[tiab] OR survival[tiab] OR "overall survival"[tiab] OR "disease-free survival"[tiab] OR "recurrence-free"[tiab] OR "relapse-free"[tiab] OR "progression-free"[tiab] OR "cancer-specific survival"[tiab] OR "hazard ratio*"[tiab] OR outcome*[tiab] OR recurrence[tiab] OR mortality[tiab]</w:t>
      </w:r>
    </w:p>
    <w:p>
      <w:pPr>
        <w:widowControl/>
        <w:spacing w:line="264" w:lineRule="auto" w:after="160"/>
      </w:pPr>
      <w:r>
        <w:rPr>
          <w:rFonts w:ascii="Times New Roman" w:hAnsi="Times New Roman"/>
          <w:sz w:val="22"/>
        </w:rPr>
        <w:t>SEARCH: #1 AND #2 AND #3</w:t>
      </w:r>
    </w:p>
    <w:p>
      <w:pPr>
        <w:pStyle w:val="Heading2"/>
        <w:widowControl/>
      </w:pPr>
      <w:r>
        <w:rPr>
          <w:rFonts w:ascii="Times New Roman" w:hAnsi="Times New Roman"/>
        </w:rPr>
        <w:t>Web of Science Core Collection</w:t>
      </w:r>
    </w:p>
    <w:p>
      <w:pPr>
        <w:widowControl/>
        <w:spacing w:line="264" w:lineRule="auto" w:after="160"/>
      </w:pPr>
      <w:r>
        <w:rPr>
          <w:rFonts w:ascii="Times New Roman" w:hAnsi="Times New Roman"/>
          <w:sz w:val="22"/>
        </w:rPr>
        <w:t>#1 TS=("colorectal cancer" OR "colorectal carcinoma" OR "colon cancer" OR "rectal cancer" OR "colorectal neoplasm*" OR CRC)</w:t>
      </w:r>
    </w:p>
    <w:p>
      <w:pPr>
        <w:widowControl/>
        <w:spacing w:line="264" w:lineRule="auto" w:after="160"/>
      </w:pPr>
      <w:r>
        <w:rPr>
          <w:rFonts w:ascii="Times New Roman" w:hAnsi="Times New Roman"/>
          <w:sz w:val="22"/>
        </w:rPr>
        <w:t>#2 TS=("deep learning" OR "machine learning" OR "computational pathology" OR "digital pathology" OR pathomic* OR "whole slide imag*" OR "whole-slide" OR "multiple instance learning" OR "neural network*" OR transformer* OR "foundation model*")</w:t>
      </w:r>
    </w:p>
    <w:p>
      <w:pPr>
        <w:widowControl/>
        <w:spacing w:line="264" w:lineRule="auto" w:after="160"/>
      </w:pPr>
      <w:r>
        <w:rPr>
          <w:rFonts w:ascii="Times New Roman" w:hAnsi="Times New Roman"/>
          <w:sz w:val="22"/>
        </w:rPr>
        <w:t>#3 TS=("prognos*" OR survival OR "overall survival" OR "disease-free survival" OR "recurrence-free" OR "relapse-free" OR "hazard ratio*" OR recurrence OR mortality OR outcome*)</w:t>
      </w:r>
    </w:p>
    <w:p>
      <w:pPr>
        <w:widowControl/>
        <w:spacing w:line="264" w:lineRule="auto" w:after="160"/>
      </w:pPr>
      <w:r>
        <w:rPr>
          <w:rFonts w:ascii="Times New Roman" w:hAnsi="Times New Roman"/>
          <w:sz w:val="22"/>
        </w:rPr>
        <w:t>COMBINE: #1 AND #2 AND #3</w:t>
      </w:r>
    </w:p>
    <w:p>
      <w:pPr>
        <w:widowControl/>
        <w:spacing w:line="276" w:lineRule="auto"/>
      </w:pPr>
      <w:r>
        <w:rPr>
          <w:rFonts w:ascii="Times New Roman" w:hAnsi="Times New Roman"/>
          <w:sz w:val="24"/>
        </w:rPr>
        <w:t>The main manuscript reports additional citation searching and states that Embase and Cochrane CENTRAL were inaccessible. Unexecuted strategy templates for other databases are not presented as completed searches.</w:t>
      </w:r>
    </w:p>
    <w:p>
      <w:pPr>
        <w:pStyle w:val="Heading1"/>
        <w:pageBreakBefore/>
        <w:widowControl/>
      </w:pPr>
      <w:r>
        <w:rPr>
          <w:rFonts w:ascii="Times New Roman" w:hAnsi="Times New Roman"/>
        </w:rPr>
        <w:t>S2. Study-level estimates recovered from the original submission</w:t>
      </w:r>
    </w:p>
    <w:p>
      <w:pPr>
        <w:widowControl/>
        <w:spacing w:line="276" w:lineRule="auto"/>
      </w:pPr>
      <w:r>
        <w:rPr>
          <w:rFonts w:ascii="Times New Roman" w:hAnsi="Times New Roman"/>
          <w:sz w:val="24"/>
        </w:rPr>
        <w:t>Table S1 reproduces the 27 estimates in the original BJC Data Set 3. These are aggregate published-study effect estimates, not individual patient data. Source-paper locations, cohort sizes, adjustment variables and extraction decisions were not included in that recovered table and remain to be supplied for a complete extraction record.</w:t>
      </w:r>
    </w:p>
    <w:tbl>
      <w:tblPr>
        <w:tblStyle w:val="TableGrid"/>
        <w:tblW w:type="auto" w:w="0"/>
        <w:tblLayout w:type="autofit"/>
        <w:tblLook w:firstColumn="1" w:firstRow="1" w:lastColumn="0" w:lastRow="0" w:noHBand="0" w:noVBand="1" w:val="04A0"/>
      </w:tblPr>
      <w:tblGrid>
        <w:gridCol w:w="1440"/>
        <w:gridCol w:w="1440"/>
        <w:gridCol w:w="1440"/>
        <w:gridCol w:w="1440"/>
        <w:gridCol w:w="1440"/>
        <w:gridCol w:w="1440"/>
      </w:tblGrid>
      <w:tr>
        <w:trPr>
          <w:cantSplit/>
          <w:tblHeader/>
        </w:trPr>
        <w:tc>
          <w:tcPr>
            <w:tcW w:type="dxa" w:w="1440"/>
            <w:shd w:fill="EDEDED"/>
          </w:tcPr>
          <w:p>
            <w:pPr>
              <w:spacing w:line="264" w:lineRule="auto" w:after="60"/>
              <w:jc w:val="left"/>
            </w:pPr>
            <w:r>
              <w:rPr>
                <w:rFonts w:ascii="Times New Roman" w:hAnsi="Times New Roman"/>
                <w:b/>
                <w:color w:val="000000"/>
                <w:sz w:val="20"/>
              </w:rPr>
              <w:t>Study</w:t>
            </w:r>
          </w:p>
        </w:tc>
        <w:tc>
          <w:tcPr>
            <w:tcW w:type="dxa" w:w="1440"/>
            <w:shd w:fill="EDEDED"/>
          </w:tcPr>
          <w:p>
            <w:pPr>
              <w:spacing w:line="264" w:lineRule="auto" w:after="60"/>
              <w:jc w:val="left"/>
            </w:pPr>
            <w:r>
              <w:rPr>
                <w:rFonts w:ascii="Times New Roman" w:hAnsi="Times New Roman"/>
                <w:b/>
                <w:color w:val="000000"/>
                <w:sz w:val="20"/>
              </w:rPr>
              <w:t>HR</w:t>
            </w:r>
          </w:p>
        </w:tc>
        <w:tc>
          <w:tcPr>
            <w:tcW w:type="dxa" w:w="1440"/>
            <w:shd w:fill="EDEDED"/>
          </w:tcPr>
          <w:p>
            <w:pPr>
              <w:spacing w:line="264" w:lineRule="auto" w:after="60"/>
              <w:jc w:val="left"/>
            </w:pPr>
            <w:r>
              <w:rPr>
                <w:rFonts w:ascii="Times New Roman" w:hAnsi="Times New Roman"/>
                <w:b/>
                <w:color w:val="000000"/>
                <w:sz w:val="20"/>
              </w:rPr>
              <w:t>CI lower</w:t>
            </w:r>
          </w:p>
        </w:tc>
        <w:tc>
          <w:tcPr>
            <w:tcW w:type="dxa" w:w="1440"/>
            <w:shd w:fill="EDEDED"/>
          </w:tcPr>
          <w:p>
            <w:pPr>
              <w:spacing w:line="264" w:lineRule="auto" w:after="60"/>
              <w:jc w:val="left"/>
            </w:pPr>
            <w:r>
              <w:rPr>
                <w:rFonts w:ascii="Times New Roman" w:hAnsi="Times New Roman"/>
                <w:b/>
                <w:color w:val="000000"/>
                <w:sz w:val="20"/>
              </w:rPr>
              <w:t>CI upper</w:t>
            </w:r>
          </w:p>
        </w:tc>
        <w:tc>
          <w:tcPr>
            <w:tcW w:type="dxa" w:w="1440"/>
            <w:shd w:fill="EDEDED"/>
          </w:tcPr>
          <w:p>
            <w:pPr>
              <w:spacing w:line="264" w:lineRule="auto" w:after="60"/>
              <w:jc w:val="left"/>
            </w:pPr>
            <w:r>
              <w:rPr>
                <w:rFonts w:ascii="Times New Roman" w:hAnsi="Times New Roman"/>
                <w:b/>
                <w:color w:val="000000"/>
                <w:sz w:val="20"/>
              </w:rPr>
              <w:t>Endpoint</w:t>
            </w:r>
          </w:p>
        </w:tc>
        <w:tc>
          <w:tcPr>
            <w:tcW w:type="dxa" w:w="1440"/>
            <w:shd w:fill="EDEDED"/>
          </w:tcPr>
          <w:p>
            <w:pPr>
              <w:spacing w:line="264" w:lineRule="auto" w:after="60"/>
              <w:jc w:val="left"/>
            </w:pPr>
            <w:r>
              <w:rPr>
                <w:rFonts w:ascii="Times New Roman" w:hAnsi="Times New Roman"/>
                <w:b/>
                <w:color w:val="000000"/>
                <w:sz w:val="20"/>
              </w:rPr>
              <w:t>Validation</w:t>
            </w:r>
          </w:p>
        </w:tc>
      </w:tr>
      <w:tr>
        <w:trPr>
          <w:cantSplit/>
        </w:trPr>
        <w:tc>
          <w:tcPr>
            <w:tcW w:type="dxa" w:w="1440"/>
          </w:tcPr>
          <w:p>
            <w:pPr>
              <w:spacing w:line="264" w:lineRule="auto" w:after="60"/>
              <w:jc w:val="left"/>
            </w:pPr>
            <w:r>
              <w:rPr>
                <w:rFonts w:ascii="Times New Roman" w:hAnsi="Times New Roman"/>
                <w:b w:val="0"/>
                <w:color w:val="000000"/>
                <w:sz w:val="20"/>
              </w:rPr>
              <w:t>Skrede, 2020</w:t>
            </w:r>
          </w:p>
        </w:tc>
        <w:tc>
          <w:tcPr>
            <w:tcW w:type="dxa" w:w="1440"/>
          </w:tcPr>
          <w:p>
            <w:pPr>
              <w:spacing w:line="264" w:lineRule="auto" w:after="60"/>
              <w:jc w:val="left"/>
            </w:pPr>
            <w:r>
              <w:rPr>
                <w:rFonts w:ascii="Times New Roman" w:hAnsi="Times New Roman"/>
                <w:b w:val="0"/>
                <w:color w:val="000000"/>
                <w:sz w:val="20"/>
              </w:rPr>
              <w:t>3.04</w:t>
            </w:r>
          </w:p>
        </w:tc>
        <w:tc>
          <w:tcPr>
            <w:tcW w:type="dxa" w:w="1440"/>
          </w:tcPr>
          <w:p>
            <w:pPr>
              <w:spacing w:line="264" w:lineRule="auto" w:after="60"/>
              <w:jc w:val="left"/>
            </w:pPr>
            <w:r>
              <w:rPr>
                <w:rFonts w:ascii="Times New Roman" w:hAnsi="Times New Roman"/>
                <w:b w:val="0"/>
                <w:color w:val="000000"/>
                <w:sz w:val="20"/>
              </w:rPr>
              <w:t>2.07</w:t>
            </w:r>
          </w:p>
        </w:tc>
        <w:tc>
          <w:tcPr>
            <w:tcW w:type="dxa" w:w="1440"/>
          </w:tcPr>
          <w:p>
            <w:pPr>
              <w:spacing w:line="264" w:lineRule="auto" w:after="60"/>
              <w:jc w:val="left"/>
            </w:pPr>
            <w:r>
              <w:rPr>
                <w:rFonts w:ascii="Times New Roman" w:hAnsi="Times New Roman"/>
                <w:b w:val="0"/>
                <w:color w:val="000000"/>
                <w:sz w:val="20"/>
              </w:rPr>
              <w:t>4.47</w:t>
            </w:r>
          </w:p>
        </w:tc>
        <w:tc>
          <w:tcPr>
            <w:tcW w:type="dxa" w:w="1440"/>
          </w:tcPr>
          <w:p>
            <w:pPr>
              <w:spacing w:line="264" w:lineRule="auto" w:after="60"/>
              <w:jc w:val="left"/>
            </w:pPr>
            <w:r>
              <w:rPr>
                <w:rFonts w:ascii="Times New Roman" w:hAnsi="Times New Roman"/>
                <w:b w:val="0"/>
                <w:color w:val="000000"/>
                <w:sz w:val="20"/>
              </w:rPr>
              <w:t>CSS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Kather, 2019</w:t>
            </w:r>
          </w:p>
        </w:tc>
        <w:tc>
          <w:tcPr>
            <w:tcW w:type="dxa" w:w="1440"/>
          </w:tcPr>
          <w:p>
            <w:pPr>
              <w:spacing w:line="264" w:lineRule="auto" w:after="60"/>
              <w:jc w:val="left"/>
            </w:pPr>
            <w:r>
              <w:rPr>
                <w:rFonts w:ascii="Times New Roman" w:hAnsi="Times New Roman"/>
                <w:b w:val="0"/>
                <w:color w:val="000000"/>
                <w:sz w:val="20"/>
              </w:rPr>
              <w:t>1.63</w:t>
            </w:r>
          </w:p>
        </w:tc>
        <w:tc>
          <w:tcPr>
            <w:tcW w:type="dxa" w:w="1440"/>
          </w:tcPr>
          <w:p>
            <w:pPr>
              <w:spacing w:line="264" w:lineRule="auto" w:after="60"/>
              <w:jc w:val="left"/>
            </w:pPr>
            <w:r>
              <w:rPr>
                <w:rFonts w:ascii="Times New Roman" w:hAnsi="Times New Roman"/>
                <w:b w:val="0"/>
                <w:color w:val="000000"/>
                <w:sz w:val="20"/>
              </w:rPr>
              <w:t>1.14</w:t>
            </w:r>
          </w:p>
        </w:tc>
        <w:tc>
          <w:tcPr>
            <w:tcW w:type="dxa" w:w="1440"/>
          </w:tcPr>
          <w:p>
            <w:pPr>
              <w:spacing w:line="264" w:lineRule="auto" w:after="60"/>
              <w:jc w:val="left"/>
            </w:pPr>
            <w:r>
              <w:rPr>
                <w:rFonts w:ascii="Times New Roman" w:hAnsi="Times New Roman"/>
                <w:b w:val="0"/>
                <w:color w:val="000000"/>
                <w:sz w:val="20"/>
              </w:rPr>
              <w:t>2.33</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Zhao K, 2020</w:t>
            </w:r>
          </w:p>
        </w:tc>
        <w:tc>
          <w:tcPr>
            <w:tcW w:type="dxa" w:w="1440"/>
          </w:tcPr>
          <w:p>
            <w:pPr>
              <w:spacing w:line="264" w:lineRule="auto" w:after="60"/>
              <w:jc w:val="left"/>
            </w:pPr>
            <w:r>
              <w:rPr>
                <w:rFonts w:ascii="Times New Roman" w:hAnsi="Times New Roman"/>
                <w:b w:val="0"/>
                <w:color w:val="000000"/>
                <w:sz w:val="20"/>
              </w:rPr>
              <w:t>2.08</w:t>
            </w:r>
          </w:p>
        </w:tc>
        <w:tc>
          <w:tcPr>
            <w:tcW w:type="dxa" w:w="1440"/>
          </w:tcPr>
          <w:p>
            <w:pPr>
              <w:spacing w:line="264" w:lineRule="auto" w:after="60"/>
              <w:jc w:val="left"/>
            </w:pPr>
            <w:r>
              <w:rPr>
                <w:rFonts w:ascii="Times New Roman" w:hAnsi="Times New Roman"/>
                <w:b w:val="0"/>
                <w:color w:val="000000"/>
                <w:sz w:val="20"/>
              </w:rPr>
              <w:t>1.26</w:t>
            </w:r>
          </w:p>
        </w:tc>
        <w:tc>
          <w:tcPr>
            <w:tcW w:type="dxa" w:w="1440"/>
          </w:tcPr>
          <w:p>
            <w:pPr>
              <w:spacing w:line="264" w:lineRule="auto" w:after="60"/>
              <w:jc w:val="left"/>
            </w:pPr>
            <w:r>
              <w:rPr>
                <w:rFonts w:ascii="Times New Roman" w:hAnsi="Times New Roman"/>
                <w:b w:val="0"/>
                <w:color w:val="000000"/>
                <w:sz w:val="20"/>
              </w:rPr>
              <w:t>3.42</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Bychkov, 2018</w:t>
            </w:r>
          </w:p>
        </w:tc>
        <w:tc>
          <w:tcPr>
            <w:tcW w:type="dxa" w:w="1440"/>
          </w:tcPr>
          <w:p>
            <w:pPr>
              <w:spacing w:line="264" w:lineRule="auto" w:after="60"/>
              <w:jc w:val="left"/>
            </w:pPr>
            <w:r>
              <w:rPr>
                <w:rFonts w:ascii="Times New Roman" w:hAnsi="Times New Roman"/>
                <w:b w:val="0"/>
                <w:color w:val="000000"/>
                <w:sz w:val="20"/>
              </w:rPr>
              <w:t>1.89</w:t>
            </w:r>
          </w:p>
        </w:tc>
        <w:tc>
          <w:tcPr>
            <w:tcW w:type="dxa" w:w="1440"/>
          </w:tcPr>
          <w:p>
            <w:pPr>
              <w:spacing w:line="264" w:lineRule="auto" w:after="60"/>
              <w:jc w:val="left"/>
            </w:pPr>
            <w:r>
              <w:rPr>
                <w:rFonts w:ascii="Times New Roman" w:hAnsi="Times New Roman"/>
                <w:b w:val="0"/>
                <w:color w:val="000000"/>
                <w:sz w:val="20"/>
              </w:rPr>
              <w:t>1.41</w:t>
            </w:r>
          </w:p>
        </w:tc>
        <w:tc>
          <w:tcPr>
            <w:tcW w:type="dxa" w:w="1440"/>
          </w:tcPr>
          <w:p>
            <w:pPr>
              <w:spacing w:line="264" w:lineRule="auto" w:after="60"/>
              <w:jc w:val="left"/>
            </w:pPr>
            <w:r>
              <w:rPr>
                <w:rFonts w:ascii="Times New Roman" w:hAnsi="Times New Roman"/>
                <w:b w:val="0"/>
                <w:color w:val="000000"/>
                <w:sz w:val="20"/>
              </w:rPr>
              <w:t>2.53</w:t>
            </w:r>
          </w:p>
        </w:tc>
        <w:tc>
          <w:tcPr>
            <w:tcW w:type="dxa" w:w="1440"/>
          </w:tcPr>
          <w:p>
            <w:pPr>
              <w:spacing w:line="264" w:lineRule="auto" w:after="60"/>
              <w:jc w:val="left"/>
            </w:pPr>
            <w:r>
              <w:rPr>
                <w:rFonts w:ascii="Times New Roman" w:hAnsi="Times New Roman"/>
                <w:b w:val="0"/>
                <w:color w:val="000000"/>
                <w:sz w:val="20"/>
              </w:rPr>
              <w:t>DSS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Jiang W, 2024</w:t>
            </w:r>
          </w:p>
        </w:tc>
        <w:tc>
          <w:tcPr>
            <w:tcW w:type="dxa" w:w="1440"/>
          </w:tcPr>
          <w:p>
            <w:pPr>
              <w:spacing w:line="264" w:lineRule="auto" w:after="60"/>
              <w:jc w:val="left"/>
            </w:pPr>
            <w:r>
              <w:rPr>
                <w:rFonts w:ascii="Times New Roman" w:hAnsi="Times New Roman"/>
                <w:b w:val="0"/>
                <w:color w:val="000000"/>
                <w:sz w:val="20"/>
              </w:rPr>
              <w:t>2.78</w:t>
            </w:r>
          </w:p>
        </w:tc>
        <w:tc>
          <w:tcPr>
            <w:tcW w:type="dxa" w:w="1440"/>
          </w:tcPr>
          <w:p>
            <w:pPr>
              <w:spacing w:line="264" w:lineRule="auto" w:after="60"/>
              <w:jc w:val="left"/>
            </w:pPr>
            <w:r>
              <w:rPr>
                <w:rFonts w:ascii="Times New Roman" w:hAnsi="Times New Roman"/>
                <w:b w:val="0"/>
                <w:color w:val="000000"/>
                <w:sz w:val="20"/>
              </w:rPr>
              <w:t>2.34</w:t>
            </w:r>
          </w:p>
        </w:tc>
        <w:tc>
          <w:tcPr>
            <w:tcW w:type="dxa" w:w="1440"/>
          </w:tcPr>
          <w:p>
            <w:pPr>
              <w:spacing w:line="264" w:lineRule="auto" w:after="60"/>
              <w:jc w:val="left"/>
            </w:pPr>
            <w:r>
              <w:rPr>
                <w:rFonts w:ascii="Times New Roman" w:hAnsi="Times New Roman"/>
                <w:b w:val="0"/>
                <w:color w:val="000000"/>
                <w:sz w:val="20"/>
              </w:rPr>
              <w:t>3.31</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Wei B, 2024</w:t>
            </w:r>
          </w:p>
        </w:tc>
        <w:tc>
          <w:tcPr>
            <w:tcW w:type="dxa" w:w="1440"/>
          </w:tcPr>
          <w:p>
            <w:pPr>
              <w:spacing w:line="264" w:lineRule="auto" w:after="60"/>
              <w:jc w:val="left"/>
            </w:pPr>
            <w:r>
              <w:rPr>
                <w:rFonts w:ascii="Times New Roman" w:hAnsi="Times New Roman"/>
                <w:b w:val="0"/>
                <w:color w:val="000000"/>
                <w:sz w:val="20"/>
              </w:rPr>
              <w:t>2.36</w:t>
            </w:r>
          </w:p>
        </w:tc>
        <w:tc>
          <w:tcPr>
            <w:tcW w:type="dxa" w:w="1440"/>
          </w:tcPr>
          <w:p>
            <w:pPr>
              <w:spacing w:line="264" w:lineRule="auto" w:after="60"/>
              <w:jc w:val="left"/>
            </w:pPr>
            <w:r>
              <w:rPr>
                <w:rFonts w:ascii="Times New Roman" w:hAnsi="Times New Roman"/>
                <w:b w:val="0"/>
                <w:color w:val="000000"/>
                <w:sz w:val="20"/>
              </w:rPr>
              <w:t>1.47</w:t>
            </w:r>
          </w:p>
        </w:tc>
        <w:tc>
          <w:tcPr>
            <w:tcW w:type="dxa" w:w="1440"/>
          </w:tcPr>
          <w:p>
            <w:pPr>
              <w:spacing w:line="264" w:lineRule="auto" w:after="60"/>
              <w:jc w:val="left"/>
            </w:pPr>
            <w:r>
              <w:rPr>
                <w:rFonts w:ascii="Times New Roman" w:hAnsi="Times New Roman"/>
                <w:b w:val="0"/>
                <w:color w:val="000000"/>
                <w:sz w:val="20"/>
              </w:rPr>
              <w:t>3.79</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Lou, 2025</w:t>
            </w:r>
          </w:p>
        </w:tc>
        <w:tc>
          <w:tcPr>
            <w:tcW w:type="dxa" w:w="1440"/>
          </w:tcPr>
          <w:p>
            <w:pPr>
              <w:spacing w:line="264" w:lineRule="auto" w:after="60"/>
              <w:jc w:val="left"/>
            </w:pPr>
            <w:r>
              <w:rPr>
                <w:rFonts w:ascii="Times New Roman" w:hAnsi="Times New Roman"/>
                <w:b w:val="0"/>
                <w:color w:val="000000"/>
                <w:sz w:val="20"/>
              </w:rPr>
              <w:t>3.264</w:t>
            </w:r>
          </w:p>
        </w:tc>
        <w:tc>
          <w:tcPr>
            <w:tcW w:type="dxa" w:w="1440"/>
          </w:tcPr>
          <w:p>
            <w:pPr>
              <w:spacing w:line="264" w:lineRule="auto" w:after="60"/>
              <w:jc w:val="left"/>
            </w:pPr>
            <w:r>
              <w:rPr>
                <w:rFonts w:ascii="Times New Roman" w:hAnsi="Times New Roman"/>
                <w:b w:val="0"/>
                <w:color w:val="000000"/>
                <w:sz w:val="20"/>
              </w:rPr>
              <w:t>2.36</w:t>
            </w:r>
          </w:p>
        </w:tc>
        <w:tc>
          <w:tcPr>
            <w:tcW w:type="dxa" w:w="1440"/>
          </w:tcPr>
          <w:p>
            <w:pPr>
              <w:spacing w:line="264" w:lineRule="auto" w:after="60"/>
              <w:jc w:val="left"/>
            </w:pPr>
            <w:r>
              <w:rPr>
                <w:rFonts w:ascii="Times New Roman" w:hAnsi="Times New Roman"/>
                <w:b w:val="0"/>
                <w:color w:val="000000"/>
                <w:sz w:val="20"/>
              </w:rPr>
              <w:t>4.514</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Millward, 2025</w:t>
            </w:r>
          </w:p>
        </w:tc>
        <w:tc>
          <w:tcPr>
            <w:tcW w:type="dxa" w:w="1440"/>
          </w:tcPr>
          <w:p>
            <w:pPr>
              <w:spacing w:line="264" w:lineRule="auto" w:after="60"/>
              <w:jc w:val="left"/>
            </w:pPr>
            <w:r>
              <w:rPr>
                <w:rFonts w:ascii="Times New Roman" w:hAnsi="Times New Roman"/>
                <w:b w:val="0"/>
                <w:color w:val="000000"/>
                <w:sz w:val="20"/>
              </w:rPr>
              <w:t>1.37</w:t>
            </w:r>
          </w:p>
        </w:tc>
        <w:tc>
          <w:tcPr>
            <w:tcW w:type="dxa" w:w="1440"/>
          </w:tcPr>
          <w:p>
            <w:pPr>
              <w:spacing w:line="264" w:lineRule="auto" w:after="60"/>
              <w:jc w:val="left"/>
            </w:pPr>
            <w:r>
              <w:rPr>
                <w:rFonts w:ascii="Times New Roman" w:hAnsi="Times New Roman"/>
                <w:b w:val="0"/>
                <w:color w:val="000000"/>
                <w:sz w:val="20"/>
              </w:rPr>
              <w:t>1.13</w:t>
            </w:r>
          </w:p>
        </w:tc>
        <w:tc>
          <w:tcPr>
            <w:tcW w:type="dxa" w:w="1440"/>
          </w:tcPr>
          <w:p>
            <w:pPr>
              <w:spacing w:line="264" w:lineRule="auto" w:after="60"/>
              <w:jc w:val="left"/>
            </w:pPr>
            <w:r>
              <w:rPr>
                <w:rFonts w:ascii="Times New Roman" w:hAnsi="Times New Roman"/>
                <w:b w:val="0"/>
                <w:color w:val="000000"/>
                <w:sz w:val="20"/>
              </w:rPr>
              <w:t>1.66</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Loeffler, 2025</w:t>
            </w:r>
          </w:p>
        </w:tc>
        <w:tc>
          <w:tcPr>
            <w:tcW w:type="dxa" w:w="1440"/>
          </w:tcPr>
          <w:p>
            <w:pPr>
              <w:spacing w:line="264" w:lineRule="auto" w:after="60"/>
              <w:jc w:val="left"/>
            </w:pPr>
            <w:r>
              <w:rPr>
                <w:rFonts w:ascii="Times New Roman" w:hAnsi="Times New Roman"/>
                <w:b w:val="0"/>
                <w:color w:val="000000"/>
                <w:sz w:val="20"/>
              </w:rPr>
              <w:t>2.31</w:t>
            </w:r>
          </w:p>
        </w:tc>
        <w:tc>
          <w:tcPr>
            <w:tcW w:type="dxa" w:w="1440"/>
          </w:tcPr>
          <w:p>
            <w:pPr>
              <w:spacing w:line="264" w:lineRule="auto" w:after="60"/>
              <w:jc w:val="left"/>
            </w:pPr>
            <w:r>
              <w:rPr>
                <w:rFonts w:ascii="Times New Roman" w:hAnsi="Times New Roman"/>
                <w:b w:val="0"/>
                <w:color w:val="000000"/>
                <w:sz w:val="20"/>
              </w:rPr>
              <w:t>1.86</w:t>
            </w:r>
          </w:p>
        </w:tc>
        <w:tc>
          <w:tcPr>
            <w:tcW w:type="dxa" w:w="1440"/>
          </w:tcPr>
          <w:p>
            <w:pPr>
              <w:spacing w:line="264" w:lineRule="auto" w:after="60"/>
              <w:jc w:val="left"/>
            </w:pPr>
            <w:r>
              <w:rPr>
                <w:rFonts w:ascii="Times New Roman" w:hAnsi="Times New Roman"/>
                <w:b w:val="0"/>
                <w:color w:val="000000"/>
                <w:sz w:val="20"/>
              </w:rPr>
              <w:t>2.86</w:t>
            </w:r>
          </w:p>
        </w:tc>
        <w:tc>
          <w:tcPr>
            <w:tcW w:type="dxa" w:w="1440"/>
          </w:tcPr>
          <w:p>
            <w:pPr>
              <w:spacing w:line="264" w:lineRule="auto" w:after="60"/>
              <w:jc w:val="left"/>
            </w:pPr>
            <w:r>
              <w:rPr>
                <w:rFonts w:ascii="Times New Roman" w:hAnsi="Times New Roman"/>
                <w:b w:val="0"/>
                <w:color w:val="000000"/>
                <w:sz w:val="20"/>
              </w:rPr>
              <w:t>DFS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Li X, 2022</w:t>
            </w:r>
          </w:p>
        </w:tc>
        <w:tc>
          <w:tcPr>
            <w:tcW w:type="dxa" w:w="1440"/>
          </w:tcPr>
          <w:p>
            <w:pPr>
              <w:spacing w:line="264" w:lineRule="auto" w:after="60"/>
              <w:jc w:val="left"/>
            </w:pPr>
            <w:r>
              <w:rPr>
                <w:rFonts w:ascii="Times New Roman" w:hAnsi="Times New Roman"/>
                <w:b w:val="0"/>
                <w:color w:val="000000"/>
                <w:sz w:val="20"/>
              </w:rPr>
              <w:t>2.76</w:t>
            </w:r>
          </w:p>
        </w:tc>
        <w:tc>
          <w:tcPr>
            <w:tcW w:type="dxa" w:w="1440"/>
          </w:tcPr>
          <w:p>
            <w:pPr>
              <w:spacing w:line="264" w:lineRule="auto" w:after="60"/>
              <w:jc w:val="left"/>
            </w:pPr>
            <w:r>
              <w:rPr>
                <w:rFonts w:ascii="Times New Roman" w:hAnsi="Times New Roman"/>
                <w:b w:val="0"/>
                <w:color w:val="000000"/>
                <w:sz w:val="20"/>
              </w:rPr>
              <w:t>1.17</w:t>
            </w:r>
          </w:p>
        </w:tc>
        <w:tc>
          <w:tcPr>
            <w:tcW w:type="dxa" w:w="1440"/>
          </w:tcPr>
          <w:p>
            <w:pPr>
              <w:spacing w:line="264" w:lineRule="auto" w:after="60"/>
              <w:jc w:val="left"/>
            </w:pPr>
            <w:r>
              <w:rPr>
                <w:rFonts w:ascii="Times New Roman" w:hAnsi="Times New Roman"/>
                <w:b w:val="0"/>
                <w:color w:val="000000"/>
                <w:sz w:val="20"/>
              </w:rPr>
              <w:t>6.5</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Jiang X, 2024</w:t>
            </w:r>
          </w:p>
        </w:tc>
        <w:tc>
          <w:tcPr>
            <w:tcW w:type="dxa" w:w="1440"/>
          </w:tcPr>
          <w:p>
            <w:pPr>
              <w:spacing w:line="264" w:lineRule="auto" w:after="60"/>
              <w:jc w:val="left"/>
            </w:pPr>
            <w:r>
              <w:rPr>
                <w:rFonts w:ascii="Times New Roman" w:hAnsi="Times New Roman"/>
                <w:b w:val="0"/>
                <w:color w:val="000000"/>
                <w:sz w:val="20"/>
              </w:rPr>
              <w:t>3.08</w:t>
            </w:r>
          </w:p>
        </w:tc>
        <w:tc>
          <w:tcPr>
            <w:tcW w:type="dxa" w:w="1440"/>
          </w:tcPr>
          <w:p>
            <w:pPr>
              <w:spacing w:line="264" w:lineRule="auto" w:after="60"/>
              <w:jc w:val="left"/>
            </w:pPr>
            <w:r>
              <w:rPr>
                <w:rFonts w:ascii="Times New Roman" w:hAnsi="Times New Roman"/>
                <w:b w:val="0"/>
                <w:color w:val="000000"/>
                <w:sz w:val="20"/>
              </w:rPr>
              <w:t>2.44</w:t>
            </w:r>
          </w:p>
        </w:tc>
        <w:tc>
          <w:tcPr>
            <w:tcW w:type="dxa" w:w="1440"/>
          </w:tcPr>
          <w:p>
            <w:pPr>
              <w:spacing w:line="264" w:lineRule="auto" w:after="60"/>
              <w:jc w:val="left"/>
            </w:pPr>
            <w:r>
              <w:rPr>
                <w:rFonts w:ascii="Times New Roman" w:hAnsi="Times New Roman"/>
                <w:b w:val="0"/>
                <w:color w:val="000000"/>
                <w:sz w:val="20"/>
              </w:rPr>
              <w:t>3.89</w:t>
            </w:r>
          </w:p>
        </w:tc>
        <w:tc>
          <w:tcPr>
            <w:tcW w:type="dxa" w:w="1440"/>
          </w:tcPr>
          <w:p>
            <w:pPr>
              <w:spacing w:line="264" w:lineRule="auto" w:after="60"/>
              <w:jc w:val="left"/>
            </w:pPr>
            <w:r>
              <w:rPr>
                <w:rFonts w:ascii="Times New Roman" w:hAnsi="Times New Roman"/>
                <w:b w:val="0"/>
                <w:color w:val="000000"/>
                <w:sz w:val="20"/>
              </w:rPr>
              <w:t>DSS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Zhao Z, 2026</w:t>
            </w:r>
          </w:p>
        </w:tc>
        <w:tc>
          <w:tcPr>
            <w:tcW w:type="dxa" w:w="1440"/>
          </w:tcPr>
          <w:p>
            <w:pPr>
              <w:spacing w:line="264" w:lineRule="auto" w:after="60"/>
              <w:jc w:val="left"/>
            </w:pPr>
            <w:r>
              <w:rPr>
                <w:rFonts w:ascii="Times New Roman" w:hAnsi="Times New Roman"/>
                <w:b w:val="0"/>
                <w:color w:val="000000"/>
                <w:sz w:val="20"/>
              </w:rPr>
              <w:t>8.23</w:t>
            </w:r>
          </w:p>
        </w:tc>
        <w:tc>
          <w:tcPr>
            <w:tcW w:type="dxa" w:w="1440"/>
          </w:tcPr>
          <w:p>
            <w:pPr>
              <w:spacing w:line="264" w:lineRule="auto" w:after="60"/>
              <w:jc w:val="left"/>
            </w:pPr>
            <w:r>
              <w:rPr>
                <w:rFonts w:ascii="Times New Roman" w:hAnsi="Times New Roman"/>
                <w:b w:val="0"/>
                <w:color w:val="000000"/>
                <w:sz w:val="20"/>
              </w:rPr>
              <w:t>5.43</w:t>
            </w:r>
          </w:p>
        </w:tc>
        <w:tc>
          <w:tcPr>
            <w:tcW w:type="dxa" w:w="1440"/>
          </w:tcPr>
          <w:p>
            <w:pPr>
              <w:spacing w:line="264" w:lineRule="auto" w:after="60"/>
              <w:jc w:val="left"/>
            </w:pPr>
            <w:r>
              <w:rPr>
                <w:rFonts w:ascii="Times New Roman" w:hAnsi="Times New Roman"/>
                <w:b w:val="0"/>
                <w:color w:val="000000"/>
                <w:sz w:val="20"/>
              </w:rPr>
              <w:t>12.47</w:t>
            </w:r>
          </w:p>
        </w:tc>
        <w:tc>
          <w:tcPr>
            <w:tcW w:type="dxa" w:w="1440"/>
          </w:tcPr>
          <w:p>
            <w:pPr>
              <w:spacing w:line="264" w:lineRule="auto" w:after="60"/>
              <w:jc w:val="left"/>
            </w:pPr>
            <w:r>
              <w:rPr>
                <w:rFonts w:ascii="Times New Roman" w:hAnsi="Times New Roman"/>
                <w:b w:val="0"/>
                <w:color w:val="000000"/>
                <w:sz w:val="20"/>
              </w:rPr>
              <w:t>RFS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Sajjad, 2026</w:t>
            </w:r>
          </w:p>
        </w:tc>
        <w:tc>
          <w:tcPr>
            <w:tcW w:type="dxa" w:w="1440"/>
          </w:tcPr>
          <w:p>
            <w:pPr>
              <w:spacing w:line="264" w:lineRule="auto" w:after="60"/>
              <w:jc w:val="left"/>
            </w:pPr>
            <w:r>
              <w:rPr>
                <w:rFonts w:ascii="Times New Roman" w:hAnsi="Times New Roman"/>
                <w:b w:val="0"/>
                <w:color w:val="000000"/>
                <w:sz w:val="20"/>
              </w:rPr>
              <w:t>3.21</w:t>
            </w:r>
          </w:p>
        </w:tc>
        <w:tc>
          <w:tcPr>
            <w:tcW w:type="dxa" w:w="1440"/>
          </w:tcPr>
          <w:p>
            <w:pPr>
              <w:spacing w:line="264" w:lineRule="auto" w:after="60"/>
              <w:jc w:val="left"/>
            </w:pPr>
            <w:r>
              <w:rPr>
                <w:rFonts w:ascii="Times New Roman" w:hAnsi="Times New Roman"/>
                <w:b w:val="0"/>
                <w:color w:val="000000"/>
                <w:sz w:val="20"/>
              </w:rPr>
              <w:t>2.18</w:t>
            </w:r>
          </w:p>
        </w:tc>
        <w:tc>
          <w:tcPr>
            <w:tcW w:type="dxa" w:w="1440"/>
          </w:tcPr>
          <w:p>
            <w:pPr>
              <w:spacing w:line="264" w:lineRule="auto" w:after="60"/>
              <w:jc w:val="left"/>
            </w:pPr>
            <w:r>
              <w:rPr>
                <w:rFonts w:ascii="Times New Roman" w:hAnsi="Times New Roman"/>
                <w:b w:val="0"/>
                <w:color w:val="000000"/>
                <w:sz w:val="20"/>
              </w:rPr>
              <w:t>4.72</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Xiao H, 2024</w:t>
            </w:r>
          </w:p>
        </w:tc>
        <w:tc>
          <w:tcPr>
            <w:tcW w:type="dxa" w:w="1440"/>
          </w:tcPr>
          <w:p>
            <w:pPr>
              <w:spacing w:line="264" w:lineRule="auto" w:after="60"/>
              <w:jc w:val="left"/>
            </w:pPr>
            <w:r>
              <w:rPr>
                <w:rFonts w:ascii="Times New Roman" w:hAnsi="Times New Roman"/>
                <w:b w:val="0"/>
                <w:color w:val="000000"/>
                <w:sz w:val="20"/>
              </w:rPr>
              <w:t>3.89</w:t>
            </w:r>
          </w:p>
        </w:tc>
        <w:tc>
          <w:tcPr>
            <w:tcW w:type="dxa" w:w="1440"/>
          </w:tcPr>
          <w:p>
            <w:pPr>
              <w:spacing w:line="264" w:lineRule="auto" w:after="60"/>
              <w:jc w:val="left"/>
            </w:pPr>
            <w:r>
              <w:rPr>
                <w:rFonts w:ascii="Times New Roman" w:hAnsi="Times New Roman"/>
                <w:b w:val="0"/>
                <w:color w:val="000000"/>
                <w:sz w:val="20"/>
              </w:rPr>
              <w:t>2.51</w:t>
            </w:r>
          </w:p>
        </w:tc>
        <w:tc>
          <w:tcPr>
            <w:tcW w:type="dxa" w:w="1440"/>
          </w:tcPr>
          <w:p>
            <w:pPr>
              <w:spacing w:line="264" w:lineRule="auto" w:after="60"/>
              <w:jc w:val="left"/>
            </w:pPr>
            <w:r>
              <w:rPr>
                <w:rFonts w:ascii="Times New Roman" w:hAnsi="Times New Roman"/>
                <w:b w:val="0"/>
                <w:color w:val="000000"/>
                <w:sz w:val="20"/>
              </w:rPr>
              <w:t>6.03</w:t>
            </w:r>
          </w:p>
        </w:tc>
        <w:tc>
          <w:tcPr>
            <w:tcW w:type="dxa" w:w="1440"/>
          </w:tcPr>
          <w:p>
            <w:pPr>
              <w:spacing w:line="264" w:lineRule="auto" w:after="60"/>
              <w:jc w:val="left"/>
            </w:pPr>
            <w:r>
              <w:rPr>
                <w:rFonts w:ascii="Times New Roman" w:hAnsi="Times New Roman"/>
                <w:b w:val="0"/>
                <w:color w:val="000000"/>
                <w:sz w:val="20"/>
              </w:rPr>
              <w:t>RFS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Zhao K, 2021</w:t>
            </w:r>
          </w:p>
        </w:tc>
        <w:tc>
          <w:tcPr>
            <w:tcW w:type="dxa" w:w="1440"/>
          </w:tcPr>
          <w:p>
            <w:pPr>
              <w:spacing w:line="264" w:lineRule="auto" w:after="60"/>
              <w:jc w:val="left"/>
            </w:pPr>
            <w:r>
              <w:rPr>
                <w:rFonts w:ascii="Times New Roman" w:hAnsi="Times New Roman"/>
                <w:b w:val="0"/>
                <w:color w:val="000000"/>
                <w:sz w:val="20"/>
              </w:rPr>
              <w:t>1.96</w:t>
            </w:r>
          </w:p>
        </w:tc>
        <w:tc>
          <w:tcPr>
            <w:tcW w:type="dxa" w:w="1440"/>
          </w:tcPr>
          <w:p>
            <w:pPr>
              <w:spacing w:line="264" w:lineRule="auto" w:after="60"/>
              <w:jc w:val="left"/>
            </w:pPr>
            <w:r>
              <w:rPr>
                <w:rFonts w:ascii="Times New Roman" w:hAnsi="Times New Roman"/>
                <w:b w:val="0"/>
                <w:color w:val="000000"/>
                <w:sz w:val="20"/>
              </w:rPr>
              <w:t>1.12</w:t>
            </w:r>
          </w:p>
        </w:tc>
        <w:tc>
          <w:tcPr>
            <w:tcW w:type="dxa" w:w="1440"/>
          </w:tcPr>
          <w:p>
            <w:pPr>
              <w:spacing w:line="264" w:lineRule="auto" w:after="60"/>
              <w:jc w:val="left"/>
            </w:pPr>
            <w:r>
              <w:rPr>
                <w:rFonts w:ascii="Times New Roman" w:hAnsi="Times New Roman"/>
                <w:b w:val="0"/>
                <w:color w:val="000000"/>
                <w:sz w:val="20"/>
              </w:rPr>
              <w:t>3.42</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Geessink, 2019</w:t>
            </w:r>
          </w:p>
        </w:tc>
        <w:tc>
          <w:tcPr>
            <w:tcW w:type="dxa" w:w="1440"/>
          </w:tcPr>
          <w:p>
            <w:pPr>
              <w:spacing w:line="264" w:lineRule="auto" w:after="60"/>
              <w:jc w:val="left"/>
            </w:pPr>
            <w:r>
              <w:rPr>
                <w:rFonts w:ascii="Times New Roman" w:hAnsi="Times New Roman"/>
                <w:b w:val="0"/>
                <w:color w:val="000000"/>
                <w:sz w:val="20"/>
              </w:rPr>
              <w:t>2.48</w:t>
            </w:r>
          </w:p>
        </w:tc>
        <w:tc>
          <w:tcPr>
            <w:tcW w:type="dxa" w:w="1440"/>
          </w:tcPr>
          <w:p>
            <w:pPr>
              <w:spacing w:line="264" w:lineRule="auto" w:after="60"/>
              <w:jc w:val="left"/>
            </w:pPr>
            <w:r>
              <w:rPr>
                <w:rFonts w:ascii="Times New Roman" w:hAnsi="Times New Roman"/>
                <w:b w:val="0"/>
                <w:color w:val="000000"/>
                <w:sz w:val="20"/>
              </w:rPr>
              <w:t>1.29</w:t>
            </w:r>
          </w:p>
        </w:tc>
        <w:tc>
          <w:tcPr>
            <w:tcW w:type="dxa" w:w="1440"/>
          </w:tcPr>
          <w:p>
            <w:pPr>
              <w:spacing w:line="264" w:lineRule="auto" w:after="60"/>
              <w:jc w:val="left"/>
            </w:pPr>
            <w:r>
              <w:rPr>
                <w:rFonts w:ascii="Times New Roman" w:hAnsi="Times New Roman"/>
                <w:b w:val="0"/>
                <w:color w:val="000000"/>
                <w:sz w:val="20"/>
              </w:rPr>
              <w:t>4.78</w:t>
            </w:r>
          </w:p>
        </w:tc>
        <w:tc>
          <w:tcPr>
            <w:tcW w:type="dxa" w:w="1440"/>
          </w:tcPr>
          <w:p>
            <w:pPr>
              <w:spacing w:line="264" w:lineRule="auto" w:after="60"/>
              <w:jc w:val="left"/>
            </w:pPr>
            <w:r>
              <w:rPr>
                <w:rFonts w:ascii="Times New Roman" w:hAnsi="Times New Roman"/>
                <w:b w:val="0"/>
                <w:color w:val="000000"/>
                <w:sz w:val="20"/>
              </w:rPr>
              <w:t>DSS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Zhou X, 2024</w:t>
            </w:r>
          </w:p>
        </w:tc>
        <w:tc>
          <w:tcPr>
            <w:tcW w:type="dxa" w:w="1440"/>
          </w:tcPr>
          <w:p>
            <w:pPr>
              <w:spacing w:line="264" w:lineRule="auto" w:after="60"/>
              <w:jc w:val="left"/>
            </w:pPr>
            <w:r>
              <w:rPr>
                <w:rFonts w:ascii="Times New Roman" w:hAnsi="Times New Roman"/>
                <w:b w:val="0"/>
                <w:color w:val="000000"/>
                <w:sz w:val="20"/>
              </w:rPr>
              <w:t>3.63</w:t>
            </w:r>
          </w:p>
        </w:tc>
        <w:tc>
          <w:tcPr>
            <w:tcW w:type="dxa" w:w="1440"/>
          </w:tcPr>
          <w:p>
            <w:pPr>
              <w:spacing w:line="264" w:lineRule="auto" w:after="60"/>
              <w:jc w:val="left"/>
            </w:pPr>
            <w:r>
              <w:rPr>
                <w:rFonts w:ascii="Times New Roman" w:hAnsi="Times New Roman"/>
                <w:b w:val="0"/>
                <w:color w:val="000000"/>
                <w:sz w:val="20"/>
              </w:rPr>
              <w:t>1.13</w:t>
            </w:r>
          </w:p>
        </w:tc>
        <w:tc>
          <w:tcPr>
            <w:tcW w:type="dxa" w:w="1440"/>
          </w:tcPr>
          <w:p>
            <w:pPr>
              <w:spacing w:line="264" w:lineRule="auto" w:after="60"/>
              <w:jc w:val="left"/>
            </w:pPr>
            <w:r>
              <w:rPr>
                <w:rFonts w:ascii="Times New Roman" w:hAnsi="Times New Roman"/>
                <w:b w:val="0"/>
                <w:color w:val="000000"/>
                <w:sz w:val="20"/>
              </w:rPr>
              <w:t>11.66</w:t>
            </w:r>
          </w:p>
        </w:tc>
        <w:tc>
          <w:tcPr>
            <w:tcW w:type="dxa" w:w="1440"/>
          </w:tcPr>
          <w:p>
            <w:pPr>
              <w:spacing w:line="264" w:lineRule="auto" w:after="60"/>
              <w:jc w:val="left"/>
            </w:pPr>
            <w:r>
              <w:rPr>
                <w:rFonts w:ascii="Times New Roman" w:hAnsi="Times New Roman"/>
                <w:b w:val="0"/>
                <w:color w:val="000000"/>
                <w:sz w:val="20"/>
              </w:rPr>
              <w:t>PFS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Jakab, 2022</w:t>
            </w:r>
          </w:p>
        </w:tc>
        <w:tc>
          <w:tcPr>
            <w:tcW w:type="dxa" w:w="1440"/>
          </w:tcPr>
          <w:p>
            <w:pPr>
              <w:spacing w:line="264" w:lineRule="auto" w:after="60"/>
              <w:jc w:val="left"/>
            </w:pPr>
            <w:r>
              <w:rPr>
                <w:rFonts w:ascii="Times New Roman" w:hAnsi="Times New Roman"/>
                <w:b w:val="0"/>
                <w:color w:val="000000"/>
                <w:sz w:val="20"/>
              </w:rPr>
              <w:t>2.0</w:t>
            </w:r>
          </w:p>
        </w:tc>
        <w:tc>
          <w:tcPr>
            <w:tcW w:type="dxa" w:w="1440"/>
          </w:tcPr>
          <w:p>
            <w:pPr>
              <w:spacing w:line="264" w:lineRule="auto" w:after="60"/>
              <w:jc w:val="left"/>
            </w:pPr>
            <w:r>
              <w:rPr>
                <w:rFonts w:ascii="Times New Roman" w:hAnsi="Times New Roman"/>
                <w:b w:val="0"/>
                <w:color w:val="000000"/>
                <w:sz w:val="20"/>
              </w:rPr>
              <w:t>1.15</w:t>
            </w:r>
          </w:p>
        </w:tc>
        <w:tc>
          <w:tcPr>
            <w:tcW w:type="dxa" w:w="1440"/>
          </w:tcPr>
          <w:p>
            <w:pPr>
              <w:spacing w:line="264" w:lineRule="auto" w:after="60"/>
              <w:jc w:val="left"/>
            </w:pPr>
            <w:r>
              <w:rPr>
                <w:rFonts w:ascii="Times New Roman" w:hAnsi="Times New Roman"/>
                <w:b w:val="0"/>
                <w:color w:val="000000"/>
                <w:sz w:val="20"/>
              </w:rPr>
              <w:t>3.51</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Ji M, 2020</w:t>
            </w:r>
          </w:p>
        </w:tc>
        <w:tc>
          <w:tcPr>
            <w:tcW w:type="dxa" w:w="1440"/>
          </w:tcPr>
          <w:p>
            <w:pPr>
              <w:spacing w:line="264" w:lineRule="auto" w:after="60"/>
              <w:jc w:val="left"/>
            </w:pPr>
            <w:r>
              <w:rPr>
                <w:rFonts w:ascii="Times New Roman" w:hAnsi="Times New Roman"/>
                <w:b w:val="0"/>
                <w:color w:val="000000"/>
                <w:sz w:val="20"/>
              </w:rPr>
              <w:t>9.65</w:t>
            </w:r>
          </w:p>
        </w:tc>
        <w:tc>
          <w:tcPr>
            <w:tcW w:type="dxa" w:w="1440"/>
          </w:tcPr>
          <w:p>
            <w:pPr>
              <w:spacing w:line="264" w:lineRule="auto" w:after="60"/>
              <w:jc w:val="left"/>
            </w:pPr>
            <w:r>
              <w:rPr>
                <w:rFonts w:ascii="Times New Roman" w:hAnsi="Times New Roman"/>
                <w:b w:val="0"/>
                <w:color w:val="000000"/>
                <w:sz w:val="20"/>
              </w:rPr>
              <w:t>2.15</w:t>
            </w:r>
          </w:p>
        </w:tc>
        <w:tc>
          <w:tcPr>
            <w:tcW w:type="dxa" w:w="1440"/>
          </w:tcPr>
          <w:p>
            <w:pPr>
              <w:spacing w:line="264" w:lineRule="auto" w:after="60"/>
              <w:jc w:val="left"/>
            </w:pPr>
            <w:r>
              <w:rPr>
                <w:rFonts w:ascii="Times New Roman" w:hAnsi="Times New Roman"/>
                <w:b w:val="0"/>
                <w:color w:val="000000"/>
                <w:sz w:val="20"/>
              </w:rPr>
              <w:t>43.12</w:t>
            </w:r>
          </w:p>
        </w:tc>
        <w:tc>
          <w:tcPr>
            <w:tcW w:type="dxa" w:w="1440"/>
          </w:tcPr>
          <w:p>
            <w:pPr>
              <w:spacing w:line="264" w:lineRule="auto" w:after="60"/>
              <w:jc w:val="left"/>
            </w:pPr>
            <w:r>
              <w:rPr>
                <w:rFonts w:ascii="Times New Roman" w:hAnsi="Times New Roman"/>
                <w:b w:val="0"/>
                <w:color w:val="000000"/>
                <w:sz w:val="20"/>
              </w:rPr>
              <w:t>DSS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Ye H, 2026</w:t>
            </w:r>
          </w:p>
        </w:tc>
        <w:tc>
          <w:tcPr>
            <w:tcW w:type="dxa" w:w="1440"/>
          </w:tcPr>
          <w:p>
            <w:pPr>
              <w:spacing w:line="264" w:lineRule="auto" w:after="60"/>
              <w:jc w:val="left"/>
            </w:pPr>
            <w:r>
              <w:rPr>
                <w:rFonts w:ascii="Times New Roman" w:hAnsi="Times New Roman"/>
                <w:b w:val="0"/>
                <w:color w:val="000000"/>
                <w:sz w:val="20"/>
              </w:rPr>
              <w:t>2.27</w:t>
            </w:r>
          </w:p>
        </w:tc>
        <w:tc>
          <w:tcPr>
            <w:tcW w:type="dxa" w:w="1440"/>
          </w:tcPr>
          <w:p>
            <w:pPr>
              <w:spacing w:line="264" w:lineRule="auto" w:after="60"/>
              <w:jc w:val="left"/>
            </w:pPr>
            <w:r>
              <w:rPr>
                <w:rFonts w:ascii="Times New Roman" w:hAnsi="Times New Roman"/>
                <w:b w:val="0"/>
                <w:color w:val="000000"/>
                <w:sz w:val="20"/>
              </w:rPr>
              <w:t>1.57</w:t>
            </w:r>
          </w:p>
        </w:tc>
        <w:tc>
          <w:tcPr>
            <w:tcW w:type="dxa" w:w="1440"/>
          </w:tcPr>
          <w:p>
            <w:pPr>
              <w:spacing w:line="264" w:lineRule="auto" w:after="60"/>
              <w:jc w:val="left"/>
            </w:pPr>
            <w:r>
              <w:rPr>
                <w:rFonts w:ascii="Times New Roman" w:hAnsi="Times New Roman"/>
                <w:b w:val="0"/>
                <w:color w:val="000000"/>
                <w:sz w:val="20"/>
              </w:rPr>
              <w:t>3.28</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Jiao Y, 2021</w:t>
            </w:r>
          </w:p>
        </w:tc>
        <w:tc>
          <w:tcPr>
            <w:tcW w:type="dxa" w:w="1440"/>
          </w:tcPr>
          <w:p>
            <w:pPr>
              <w:spacing w:line="264" w:lineRule="auto" w:after="60"/>
              <w:jc w:val="left"/>
            </w:pPr>
            <w:r>
              <w:rPr>
                <w:rFonts w:ascii="Times New Roman" w:hAnsi="Times New Roman"/>
                <w:b w:val="0"/>
                <w:color w:val="000000"/>
                <w:sz w:val="20"/>
              </w:rPr>
              <w:t>1.67</w:t>
            </w:r>
          </w:p>
        </w:tc>
        <w:tc>
          <w:tcPr>
            <w:tcW w:type="dxa" w:w="1440"/>
          </w:tcPr>
          <w:p>
            <w:pPr>
              <w:spacing w:line="264" w:lineRule="auto" w:after="60"/>
              <w:jc w:val="left"/>
            </w:pPr>
            <w:r>
              <w:rPr>
                <w:rFonts w:ascii="Times New Roman" w:hAnsi="Times New Roman"/>
                <w:b w:val="0"/>
                <w:color w:val="000000"/>
                <w:sz w:val="20"/>
              </w:rPr>
              <w:t>1.11</w:t>
            </w:r>
          </w:p>
        </w:tc>
        <w:tc>
          <w:tcPr>
            <w:tcW w:type="dxa" w:w="1440"/>
          </w:tcPr>
          <w:p>
            <w:pPr>
              <w:spacing w:line="264" w:lineRule="auto" w:after="60"/>
              <w:jc w:val="left"/>
            </w:pPr>
            <w:r>
              <w:rPr>
                <w:rFonts w:ascii="Times New Roman" w:hAnsi="Times New Roman"/>
                <w:b w:val="0"/>
                <w:color w:val="000000"/>
                <w:sz w:val="20"/>
              </w:rPr>
              <w:t>2.5</w:t>
            </w:r>
          </w:p>
        </w:tc>
        <w:tc>
          <w:tcPr>
            <w:tcW w:type="dxa" w:w="1440"/>
          </w:tcPr>
          <w:p>
            <w:pPr>
              <w:spacing w:line="264" w:lineRule="auto" w:after="60"/>
              <w:jc w:val="left"/>
            </w:pPr>
            <w:r>
              <w:rPr>
                <w:rFonts w:ascii="Times New Roman" w:hAnsi="Times New Roman"/>
                <w:b w:val="0"/>
                <w:color w:val="000000"/>
                <w:sz w:val="20"/>
              </w:rPr>
              <w:t>PFS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Öztürk, 2025</w:t>
            </w:r>
          </w:p>
        </w:tc>
        <w:tc>
          <w:tcPr>
            <w:tcW w:type="dxa" w:w="1440"/>
          </w:tcPr>
          <w:p>
            <w:pPr>
              <w:spacing w:line="264" w:lineRule="auto" w:after="60"/>
              <w:jc w:val="left"/>
            </w:pPr>
            <w:r>
              <w:rPr>
                <w:rFonts w:ascii="Times New Roman" w:hAnsi="Times New Roman"/>
                <w:b w:val="0"/>
                <w:color w:val="000000"/>
                <w:sz w:val="20"/>
              </w:rPr>
              <w:t>3.5</w:t>
            </w:r>
          </w:p>
        </w:tc>
        <w:tc>
          <w:tcPr>
            <w:tcW w:type="dxa" w:w="1440"/>
          </w:tcPr>
          <w:p>
            <w:pPr>
              <w:spacing w:line="264" w:lineRule="auto" w:after="60"/>
              <w:jc w:val="left"/>
            </w:pPr>
            <w:r>
              <w:rPr>
                <w:rFonts w:ascii="Times New Roman" w:hAnsi="Times New Roman"/>
                <w:b w:val="0"/>
                <w:color w:val="000000"/>
                <w:sz w:val="20"/>
              </w:rPr>
              <w:t>1.1</w:t>
            </w:r>
          </w:p>
        </w:tc>
        <w:tc>
          <w:tcPr>
            <w:tcW w:type="dxa" w:w="1440"/>
          </w:tcPr>
          <w:p>
            <w:pPr>
              <w:spacing w:line="264" w:lineRule="auto" w:after="60"/>
              <w:jc w:val="left"/>
            </w:pPr>
            <w:r>
              <w:rPr>
                <w:rFonts w:ascii="Times New Roman" w:hAnsi="Times New Roman"/>
                <w:b w:val="0"/>
                <w:color w:val="000000"/>
                <w:sz w:val="20"/>
              </w:rPr>
              <w:t>10.8</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Carvalho, 2025</w:t>
            </w:r>
          </w:p>
        </w:tc>
        <w:tc>
          <w:tcPr>
            <w:tcW w:type="dxa" w:w="1440"/>
          </w:tcPr>
          <w:p>
            <w:pPr>
              <w:spacing w:line="264" w:lineRule="auto" w:after="60"/>
              <w:jc w:val="left"/>
            </w:pPr>
            <w:r>
              <w:rPr>
                <w:rFonts w:ascii="Times New Roman" w:hAnsi="Times New Roman"/>
                <w:b w:val="0"/>
                <w:color w:val="000000"/>
                <w:sz w:val="20"/>
              </w:rPr>
              <w:t>2.3</w:t>
            </w:r>
          </w:p>
        </w:tc>
        <w:tc>
          <w:tcPr>
            <w:tcW w:type="dxa" w:w="1440"/>
          </w:tcPr>
          <w:p>
            <w:pPr>
              <w:spacing w:line="264" w:lineRule="auto" w:after="60"/>
              <w:jc w:val="left"/>
            </w:pPr>
            <w:r>
              <w:rPr>
                <w:rFonts w:ascii="Times New Roman" w:hAnsi="Times New Roman"/>
                <w:b w:val="0"/>
                <w:color w:val="000000"/>
                <w:sz w:val="20"/>
              </w:rPr>
              <w:t>1.1</w:t>
            </w:r>
          </w:p>
        </w:tc>
        <w:tc>
          <w:tcPr>
            <w:tcW w:type="dxa" w:w="1440"/>
          </w:tcPr>
          <w:p>
            <w:pPr>
              <w:spacing w:line="264" w:lineRule="auto" w:after="60"/>
              <w:jc w:val="left"/>
            </w:pPr>
            <w:r>
              <w:rPr>
                <w:rFonts w:ascii="Times New Roman" w:hAnsi="Times New Roman"/>
                <w:b w:val="0"/>
                <w:color w:val="000000"/>
                <w:sz w:val="20"/>
              </w:rPr>
              <w:t>5.1</w:t>
            </w:r>
          </w:p>
        </w:tc>
        <w:tc>
          <w:tcPr>
            <w:tcW w:type="dxa" w:w="1440"/>
          </w:tcPr>
          <w:p>
            <w:pPr>
              <w:spacing w:line="264" w:lineRule="auto" w:after="60"/>
              <w:jc w:val="left"/>
            </w:pPr>
            <w:r>
              <w:rPr>
                <w:rFonts w:ascii="Times New Roman" w:hAnsi="Times New Roman"/>
                <w:b w:val="0"/>
                <w:color w:val="000000"/>
                <w:sz w:val="20"/>
              </w:rPr>
              <w:t>OS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Heilijgers, 2025</w:t>
            </w:r>
          </w:p>
        </w:tc>
        <w:tc>
          <w:tcPr>
            <w:tcW w:type="dxa" w:w="1440"/>
          </w:tcPr>
          <w:p>
            <w:pPr>
              <w:spacing w:line="264" w:lineRule="auto" w:after="60"/>
              <w:jc w:val="left"/>
            </w:pPr>
            <w:r>
              <w:rPr>
                <w:rFonts w:ascii="Times New Roman" w:hAnsi="Times New Roman"/>
                <w:b w:val="0"/>
                <w:color w:val="000000"/>
                <w:sz w:val="20"/>
              </w:rPr>
              <w:t>1.45</w:t>
            </w:r>
          </w:p>
        </w:tc>
        <w:tc>
          <w:tcPr>
            <w:tcW w:type="dxa" w:w="1440"/>
          </w:tcPr>
          <w:p>
            <w:pPr>
              <w:spacing w:line="264" w:lineRule="auto" w:after="60"/>
              <w:jc w:val="left"/>
            </w:pPr>
            <w:r>
              <w:rPr>
                <w:rFonts w:ascii="Times New Roman" w:hAnsi="Times New Roman"/>
                <w:b w:val="0"/>
                <w:color w:val="000000"/>
                <w:sz w:val="20"/>
              </w:rPr>
              <w:t>1.07</w:t>
            </w:r>
          </w:p>
        </w:tc>
        <w:tc>
          <w:tcPr>
            <w:tcW w:type="dxa" w:w="1440"/>
          </w:tcPr>
          <w:p>
            <w:pPr>
              <w:spacing w:line="264" w:lineRule="auto" w:after="60"/>
              <w:jc w:val="left"/>
            </w:pPr>
            <w:r>
              <w:rPr>
                <w:rFonts w:ascii="Times New Roman" w:hAnsi="Times New Roman"/>
                <w:b w:val="0"/>
                <w:color w:val="000000"/>
                <w:sz w:val="20"/>
              </w:rPr>
              <w:t>1.95</w:t>
            </w:r>
          </w:p>
        </w:tc>
        <w:tc>
          <w:tcPr>
            <w:tcW w:type="dxa" w:w="1440"/>
          </w:tcPr>
          <w:p>
            <w:pPr>
              <w:spacing w:line="264" w:lineRule="auto" w:after="60"/>
              <w:jc w:val="left"/>
            </w:pPr>
            <w:r>
              <w:rPr>
                <w:rFonts w:ascii="Times New Roman" w:hAnsi="Times New Roman"/>
                <w:b w:val="0"/>
                <w:color w:val="000000"/>
                <w:sz w:val="20"/>
              </w:rPr>
              <w:t>DFS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Wu, 2024</w:t>
            </w:r>
          </w:p>
        </w:tc>
        <w:tc>
          <w:tcPr>
            <w:tcW w:type="dxa" w:w="1440"/>
          </w:tcPr>
          <w:p>
            <w:pPr>
              <w:spacing w:line="264" w:lineRule="auto" w:after="60"/>
              <w:jc w:val="left"/>
            </w:pPr>
            <w:r>
              <w:rPr>
                <w:rFonts w:ascii="Times New Roman" w:hAnsi="Times New Roman"/>
                <w:b w:val="0"/>
                <w:color w:val="000000"/>
                <w:sz w:val="20"/>
              </w:rPr>
              <w:t>2.35</w:t>
            </w:r>
          </w:p>
        </w:tc>
        <w:tc>
          <w:tcPr>
            <w:tcW w:type="dxa" w:w="1440"/>
          </w:tcPr>
          <w:p>
            <w:pPr>
              <w:spacing w:line="264" w:lineRule="auto" w:after="60"/>
              <w:jc w:val="left"/>
            </w:pPr>
            <w:r>
              <w:rPr>
                <w:rFonts w:ascii="Times New Roman" w:hAnsi="Times New Roman"/>
                <w:b w:val="0"/>
                <w:color w:val="000000"/>
                <w:sz w:val="20"/>
              </w:rPr>
              <w:t>1.15</w:t>
            </w:r>
          </w:p>
        </w:tc>
        <w:tc>
          <w:tcPr>
            <w:tcW w:type="dxa" w:w="1440"/>
          </w:tcPr>
          <w:p>
            <w:pPr>
              <w:spacing w:line="264" w:lineRule="auto" w:after="60"/>
              <w:jc w:val="left"/>
            </w:pPr>
            <w:r>
              <w:rPr>
                <w:rFonts w:ascii="Times New Roman" w:hAnsi="Times New Roman"/>
                <w:b w:val="0"/>
                <w:color w:val="000000"/>
                <w:sz w:val="20"/>
              </w:rPr>
              <w:t>4.82</w:t>
            </w:r>
          </w:p>
        </w:tc>
        <w:tc>
          <w:tcPr>
            <w:tcW w:type="dxa" w:w="1440"/>
          </w:tcPr>
          <w:p>
            <w:pPr>
              <w:spacing w:line="264" w:lineRule="auto" w:after="60"/>
              <w:jc w:val="left"/>
            </w:pPr>
            <w:r>
              <w:rPr>
                <w:rFonts w:ascii="Times New Roman" w:hAnsi="Times New Roman"/>
                <w:b w:val="0"/>
                <w:color w:val="000000"/>
                <w:sz w:val="20"/>
              </w:rPr>
              <w:t>RFS</w:t>
            </w:r>
          </w:p>
        </w:tc>
        <w:tc>
          <w:tcPr>
            <w:tcW w:type="dxa" w:w="1440"/>
          </w:tcPr>
          <w:p>
            <w:pPr>
              <w:spacing w:line="264" w:lineRule="auto" w:after="60"/>
              <w:jc w:val="left"/>
            </w:pPr>
            <w:r>
              <w:rPr>
                <w:rFonts w:ascii="Times New Roman" w:hAnsi="Times New Roman"/>
                <w:b w:val="0"/>
                <w:color w:val="000000"/>
                <w:sz w:val="20"/>
              </w:rPr>
              <w:t>External</w:t>
            </w:r>
          </w:p>
        </w:tc>
      </w:tr>
      <w:tr>
        <w:trPr>
          <w:cantSplit/>
        </w:trPr>
        <w:tc>
          <w:tcPr>
            <w:tcW w:type="dxa" w:w="1440"/>
          </w:tcPr>
          <w:p>
            <w:pPr>
              <w:spacing w:line="264" w:lineRule="auto" w:after="60"/>
              <w:jc w:val="left"/>
            </w:pPr>
            <w:r>
              <w:rPr>
                <w:rFonts w:ascii="Times New Roman" w:hAnsi="Times New Roman"/>
                <w:b w:val="0"/>
                <w:color w:val="000000"/>
                <w:sz w:val="20"/>
              </w:rPr>
              <w:t>Sinicrope, 2024</w:t>
            </w:r>
          </w:p>
        </w:tc>
        <w:tc>
          <w:tcPr>
            <w:tcW w:type="dxa" w:w="1440"/>
          </w:tcPr>
          <w:p>
            <w:pPr>
              <w:spacing w:line="264" w:lineRule="auto" w:after="60"/>
              <w:jc w:val="left"/>
            </w:pPr>
            <w:r>
              <w:rPr>
                <w:rFonts w:ascii="Times New Roman" w:hAnsi="Times New Roman"/>
                <w:b w:val="0"/>
                <w:color w:val="000000"/>
                <w:sz w:val="20"/>
              </w:rPr>
              <w:t>2.02</w:t>
            </w:r>
          </w:p>
        </w:tc>
        <w:tc>
          <w:tcPr>
            <w:tcW w:type="dxa" w:w="1440"/>
          </w:tcPr>
          <w:p>
            <w:pPr>
              <w:spacing w:line="264" w:lineRule="auto" w:after="60"/>
              <w:jc w:val="left"/>
            </w:pPr>
            <w:r>
              <w:rPr>
                <w:rFonts w:ascii="Times New Roman" w:hAnsi="Times New Roman"/>
                <w:b w:val="0"/>
                <w:color w:val="000000"/>
                <w:sz w:val="20"/>
              </w:rPr>
              <w:t>1.14</w:t>
            </w:r>
          </w:p>
        </w:tc>
        <w:tc>
          <w:tcPr>
            <w:tcW w:type="dxa" w:w="1440"/>
          </w:tcPr>
          <w:p>
            <w:pPr>
              <w:spacing w:line="264" w:lineRule="auto" w:after="60"/>
              <w:jc w:val="left"/>
            </w:pPr>
            <w:r>
              <w:rPr>
                <w:rFonts w:ascii="Times New Roman" w:hAnsi="Times New Roman"/>
                <w:b w:val="0"/>
                <w:color w:val="000000"/>
                <w:sz w:val="20"/>
              </w:rPr>
              <w:t>3.57</w:t>
            </w:r>
          </w:p>
        </w:tc>
        <w:tc>
          <w:tcPr>
            <w:tcW w:type="dxa" w:w="1440"/>
          </w:tcPr>
          <w:p>
            <w:pPr>
              <w:spacing w:line="264" w:lineRule="auto" w:after="60"/>
              <w:jc w:val="left"/>
            </w:pPr>
            <w:r>
              <w:rPr>
                <w:rFonts w:ascii="Times New Roman" w:hAnsi="Times New Roman"/>
                <w:b w:val="0"/>
                <w:color w:val="000000"/>
                <w:sz w:val="20"/>
              </w:rPr>
              <w:t>RFS</w:t>
            </w:r>
          </w:p>
        </w:tc>
        <w:tc>
          <w:tcPr>
            <w:tcW w:type="dxa" w:w="1440"/>
          </w:tcPr>
          <w:p>
            <w:pPr>
              <w:spacing w:line="264" w:lineRule="auto" w:after="60"/>
              <w:jc w:val="left"/>
            </w:pPr>
            <w:r>
              <w:rPr>
                <w:rFonts w:ascii="Times New Roman" w:hAnsi="Times New Roman"/>
                <w:b w:val="0"/>
                <w:color w:val="000000"/>
                <w:sz w:val="20"/>
              </w:rPr>
              <w:t>Internal</w:t>
            </w:r>
          </w:p>
        </w:tc>
      </w:tr>
      <w:tr>
        <w:trPr>
          <w:cantSplit/>
        </w:trPr>
        <w:tc>
          <w:tcPr>
            <w:tcW w:type="dxa" w:w="1440"/>
          </w:tcPr>
          <w:p>
            <w:pPr>
              <w:spacing w:line="264" w:lineRule="auto" w:after="60"/>
              <w:jc w:val="left"/>
            </w:pPr>
            <w:r>
              <w:rPr>
                <w:rFonts w:ascii="Times New Roman" w:hAnsi="Times New Roman"/>
                <w:b w:val="0"/>
                <w:color w:val="000000"/>
                <w:sz w:val="20"/>
              </w:rPr>
              <w:t>Jiang, 2025</w:t>
            </w:r>
          </w:p>
        </w:tc>
        <w:tc>
          <w:tcPr>
            <w:tcW w:type="dxa" w:w="1440"/>
          </w:tcPr>
          <w:p>
            <w:pPr>
              <w:spacing w:line="264" w:lineRule="auto" w:after="60"/>
              <w:jc w:val="left"/>
            </w:pPr>
            <w:r>
              <w:rPr>
                <w:rFonts w:ascii="Times New Roman" w:hAnsi="Times New Roman"/>
                <w:b w:val="0"/>
                <w:color w:val="000000"/>
                <w:sz w:val="20"/>
              </w:rPr>
              <w:t>3.15</w:t>
            </w:r>
          </w:p>
        </w:tc>
        <w:tc>
          <w:tcPr>
            <w:tcW w:type="dxa" w:w="1440"/>
          </w:tcPr>
          <w:p>
            <w:pPr>
              <w:spacing w:line="264" w:lineRule="auto" w:after="60"/>
              <w:jc w:val="left"/>
            </w:pPr>
            <w:r>
              <w:rPr>
                <w:rFonts w:ascii="Times New Roman" w:hAnsi="Times New Roman"/>
                <w:b w:val="0"/>
                <w:color w:val="000000"/>
                <w:sz w:val="20"/>
              </w:rPr>
              <w:t>1.91</w:t>
            </w:r>
          </w:p>
        </w:tc>
        <w:tc>
          <w:tcPr>
            <w:tcW w:type="dxa" w:w="1440"/>
          </w:tcPr>
          <w:p>
            <w:pPr>
              <w:spacing w:line="264" w:lineRule="auto" w:after="60"/>
              <w:jc w:val="left"/>
            </w:pPr>
            <w:r>
              <w:rPr>
                <w:rFonts w:ascii="Times New Roman" w:hAnsi="Times New Roman"/>
                <w:b w:val="0"/>
                <w:color w:val="000000"/>
                <w:sz w:val="20"/>
              </w:rPr>
              <w:t>5.21</w:t>
            </w:r>
          </w:p>
        </w:tc>
        <w:tc>
          <w:tcPr>
            <w:tcW w:type="dxa" w:w="1440"/>
          </w:tcPr>
          <w:p>
            <w:pPr>
              <w:spacing w:line="264" w:lineRule="auto" w:after="60"/>
              <w:jc w:val="left"/>
            </w:pPr>
            <w:r>
              <w:rPr>
                <w:rFonts w:ascii="Times New Roman" w:hAnsi="Times New Roman"/>
                <w:b w:val="0"/>
                <w:color w:val="000000"/>
                <w:sz w:val="20"/>
              </w:rPr>
              <w:t>DSS</w:t>
            </w:r>
          </w:p>
        </w:tc>
        <w:tc>
          <w:tcPr>
            <w:tcW w:type="dxa" w:w="1440"/>
          </w:tcPr>
          <w:p>
            <w:pPr>
              <w:spacing w:line="264" w:lineRule="auto" w:after="60"/>
              <w:jc w:val="left"/>
            </w:pPr>
            <w:r>
              <w:rPr>
                <w:rFonts w:ascii="Times New Roman" w:hAnsi="Times New Roman"/>
                <w:b w:val="0"/>
                <w:color w:val="000000"/>
                <w:sz w:val="20"/>
              </w:rPr>
              <w:t>External</w:t>
            </w:r>
          </w:p>
        </w:tc>
      </w:tr>
    </w:tbl>
    <w:sectPr w:rsidR="00FC693F" w:rsidRPr="0006063C" w:rsidSect="00034616">
      <w:headerReference w:type="default" r:id="rId9"/>
      <w:footerReference w:type="default" r:id="rId10"/>
      <w:pgSz w:w="11909" w:h="16834"/>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olor w:val="777777"/>
        <w:sz w:val="18"/>
      </w:rPr>
      <w:t>AUTHOR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120"/>
      <w:ind w:left="720"/>
      <w:contextualSpacing/>
    </w:pPr>
    <w:rPr>
      <w:rFonts w:ascii="Times New Roman" w:hAnsi="Times New Roman"/>
      <w:sz w:val="24"/>
    </w:rPr>
  </w:style>
  <w:style w:type="paragraph" w:styleId="BodyText">
    <w:name w:val="Body Text"/>
    <w:basedOn w:val="Normal"/>
    <w:link w:val="BodyTextChar"/>
    <w:uiPriority w:val="99"/>
    <w:unhideWhenUsed/>
    <w:rsid w:val="00AA1D8D"/>
    <w:pPr>
      <w:spacing w:after="120" w:line="480"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Prognostic value of deep-learning computational pathology in colorectal cancer: a systematic review of haematoxylin and eosin whole-slide image studies</dc:title>
  <dc:subject/>
  <dc:creator>Wen Gu and co-authors</dc:creator>
  <cp:keywords/>
  <dc:description>generated by python-docx</dc:description>
  <cp:lastModifiedBy/>
  <cp:revision>1</cp:revision>
  <dcterms:created xsi:type="dcterms:W3CDTF">2013-12-23T23:15:00Z</dcterms:created>
  <dcterms:modified xsi:type="dcterms:W3CDTF">2013-12-23T23:15:00Z</dcterms:modified>
  <cp:category/>
</cp:coreProperties>
</file>