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FB2AD40" w14:textId="77777777" w:rsidR="00AC22BE" w:rsidRDefault="00E855DC">
      <w:pPr>
        <w:pStyle w:val="Heading2"/>
        <w:spacing w:before="0" w:after="60"/>
      </w:pPr>
      <w:bookmarkStart w:id="0" w:name="_rb4cr063g8qi" w:colFirst="0" w:colLast="0"/>
      <w:bookmarkEnd w:id="0"/>
      <w:r>
        <w:t>SUPPLEMENTARY INFORMATION</w:t>
      </w:r>
    </w:p>
    <w:p w14:paraId="1FB2AD41" w14:textId="77777777" w:rsidR="00AC22BE" w:rsidRDefault="00E855DC">
      <w:pPr>
        <w:pStyle w:val="Heading2"/>
      </w:pPr>
      <w:bookmarkStart w:id="1" w:name="_1v777z3nqlip" w:colFirst="0" w:colLast="0"/>
      <w:bookmarkEnd w:id="1"/>
      <w:r>
        <w:t>Supplementary Notes</w:t>
      </w:r>
    </w:p>
    <w:p w14:paraId="1FB2AD42" w14:textId="77777777" w:rsidR="00AC22BE" w:rsidRDefault="00E855DC">
      <w:pPr>
        <w:pStyle w:val="Heading3"/>
        <w:rPr>
          <w:b/>
          <w:bCs/>
          <w:color w:val="000000"/>
          <w:sz w:val="24"/>
          <w:szCs w:val="24"/>
        </w:rPr>
      </w:pPr>
      <w:bookmarkStart w:id="2" w:name="_gyf9u32fncis" w:colFirst="0" w:colLast="0"/>
      <w:bookmarkEnd w:id="2"/>
      <w:r>
        <w:rPr>
          <w:b/>
          <w:bCs/>
          <w:color w:val="000000"/>
          <w:sz w:val="24"/>
          <w:szCs w:val="24"/>
        </w:rPr>
        <w:t>Exclusion of rare ependymal-like nuclei</w:t>
      </w:r>
    </w:p>
    <w:p w14:paraId="1FB2AD43" w14:textId="77777777" w:rsidR="00AC22BE" w:rsidRDefault="00E855DC">
      <w:r>
        <w:t>During Astro subclustering, we identified a small population of 738 ependymal-like nuclei marked by cilia- and ependymal-associated genes (</w:t>
      </w:r>
      <w:r>
        <w:rPr>
          <w:b/>
          <w:bCs/>
        </w:rPr>
        <w:t>Extended Data Fig. 4a–c</w:t>
      </w:r>
      <w:r>
        <w:t xml:space="preserve">). Ependymal-like nuclei were also unevenly distributed across samples: more than half of these nuclei were recovered from 27 samples, 17 of which were PHG/BA36 samples. Given their rarity, sample-restricted distribution, enrichment in PHG/BA36 dissections, and expected absence from the targeted cortical parenchyma, this population likely reflected inclusion of adjacent tissue during dissection rather than a broadly represented cortical cell population. Therefore, ependymal-like nuclei were retained in the </w:t>
      </w:r>
      <w:r>
        <w:t>final annotation metadata but excluded from main atlas visualizations and all downstream disease-state analyses.</w:t>
      </w:r>
    </w:p>
    <w:p w14:paraId="1FB2AD44" w14:textId="77777777" w:rsidR="00AC22BE" w:rsidRDefault="00E855DC">
      <w:pPr>
        <w:pStyle w:val="Heading3"/>
        <w:rPr>
          <w:b/>
          <w:bCs/>
          <w:color w:val="000000"/>
          <w:sz w:val="24"/>
          <w:szCs w:val="24"/>
        </w:rPr>
      </w:pPr>
      <w:bookmarkStart w:id="3" w:name="_sxz98en27a8g" w:colFirst="0" w:colLast="0"/>
      <w:bookmarkEnd w:id="3"/>
      <w:r>
        <w:rPr>
          <w:b/>
          <w:bCs/>
          <w:color w:val="000000"/>
          <w:sz w:val="24"/>
          <w:szCs w:val="24"/>
        </w:rPr>
        <w:t>Spatial domain and rough cortical-layer annotation</w:t>
      </w:r>
    </w:p>
    <w:p w14:paraId="1FB2AD45" w14:textId="77777777" w:rsidR="00AC22BE" w:rsidRDefault="00E855DC">
      <w:r>
        <w:t>Following subclass annotation of Xenium nuclei, broad spatial and cortical laminar domains were identified from local cell-type composition using an extension of our previously described approach</w:t>
      </w:r>
      <w:hyperlink r:id="rId6">
        <w:r>
          <w:rPr>
            <w:vertAlign w:val="superscript"/>
          </w:rPr>
          <w:t>1</w:t>
        </w:r>
      </w:hyperlink>
      <w:r>
        <w:t>. For each tissue section, the 30 nearest spatial neighbors of each nucleus were identified using squidpy.gr.spatial_neighbors from squidpy v1.6.1</w:t>
      </w:r>
      <w:hyperlink r:id="rId7">
        <w:r>
          <w:rPr>
            <w:vertAlign w:val="superscript"/>
          </w:rPr>
          <w:t>2</w:t>
        </w:r>
      </w:hyperlink>
      <w:r>
        <w:t xml:space="preserve"> with generic coordinates and without Delaunay triangulation. A neighborhood composition vector was then constructed for each nucleus by counting the subclass identities among its 30 nearest neighbors.</w:t>
      </w:r>
    </w:p>
    <w:p w14:paraId="1FB2AD46" w14:textId="77777777" w:rsidR="00AC22BE" w:rsidRDefault="00E855DC">
      <w:r>
        <w:t>Five broad spatial domains were defined using subclasses characteristic of white matter or cortical laminar compartments: white matter, represented by oligodendrocytes; layer 1, represented by IN_ADARB2; layers 2–3, represented by EN_L2_3_IT; layers 3–5, represented by EN_L3_5_IT subclasses and EN_L5_ET; and layers 5–6, represented by EN_L6_IT subclasses, EN_L6_CT, EN_L6B, and EN_L5_6_NP. The use of IN_ADARB2 as the layer 1 anchor was supported by its superficial-layer localization in our previous PsychAD s</w:t>
      </w:r>
      <w:r>
        <w:t>patial study and by its enrichment in layer 1 in the layer-resolved SMART-seq reference (</w:t>
      </w:r>
      <w:r>
        <w:rPr>
          <w:b/>
          <w:bCs/>
        </w:rPr>
        <w:t>Extended Data Fig. 8c</w:t>
      </w:r>
      <w:r>
        <w:t>). Neighborhood counts were summed across subclasses contributing to each domain, and the five domains were called independently using the resulting raw neighborhood counts. The final analysis used count-based rather than renormalized neighborhood abundance.</w:t>
      </w:r>
    </w:p>
    <w:p w14:paraId="1FB2AD47" w14:textId="77777777" w:rsidR="00AC22BE" w:rsidRDefault="00E855DC">
      <w:r>
        <w:t>For each spatial domain and tissue section, neighborhood-abundance values were represented on a pseudo-image with a pixel size of 25 µm. When multiple nuclei occupied the same pixel, their neighborhood-abundance values were averaged, and empty pixels were assigned the value of the nearest non-empty pixel. The resulting image was smoothed with a Gaussian filter using σ = 100 µm (4 pixels), and the smoothed values were mapped back to individual nuclei. An initial binary domain mask was then generated by apply</w:t>
      </w:r>
      <w:r>
        <w:t>ing Otsu thresholding independently for each domain and tissue section.</w:t>
      </w:r>
    </w:p>
    <w:p w14:paraId="1FB2AD48" w14:textId="77777777" w:rsidR="00AC22BE" w:rsidRDefault="00E855DC">
      <w:r>
        <w:t>To generate spatially continuous domain boundaries, the initial binary masks were subsequently represented on a coarser 50-µm grid. Pixels containing one or more domain-positive nuclei were considered positive, empty pixels were assigned values according to the nearest non-empty pixel, and internal holes were filled using scipy.ndimage.binary_fill_holes. The resulting masks were mapped back to individual nuclei to obtain final domain assignments.</w:t>
      </w:r>
    </w:p>
    <w:p w14:paraId="1FB2AD49" w14:textId="77777777" w:rsidR="00AC22BE" w:rsidRDefault="00E855DC">
      <w:r>
        <w:lastRenderedPageBreak/>
        <w:t>Because each domain was identified independently, nuclei could be assigned to zero, one, or multiple domains. Approximately 85.7% of nuclei were uniquely assigned to a single domain, 3.5% were unassigned, and 10.8% were assigned to two or more domains. Downstream domain-based analyses were restricted to nuclei uniquely assigned to a single spatial domain.</w:t>
      </w:r>
    </w:p>
    <w:p w14:paraId="1FB2AD4A" w14:textId="77777777" w:rsidR="00AC22BE" w:rsidRDefault="00E855DC">
      <w:pPr>
        <w:pStyle w:val="Heading2"/>
      </w:pPr>
      <w:bookmarkStart w:id="4" w:name="_mgatkp3na3lb" w:colFirst="0" w:colLast="0"/>
      <w:bookmarkEnd w:id="4"/>
      <w:r>
        <w:t xml:space="preserve">Supplementary Tables </w:t>
      </w:r>
    </w:p>
    <w:p w14:paraId="1FB2AD4B" w14:textId="77777777" w:rsidR="00AC22BE" w:rsidRDefault="00E855DC">
      <w:pPr>
        <w:spacing w:before="300" w:after="300"/>
      </w:pPr>
      <w:r>
        <w:t>Supplementary Table 1. Clinical and technical metadata for 576 brain specimens.</w:t>
      </w:r>
    </w:p>
    <w:p w14:paraId="1FB2AD4C" w14:textId="77777777" w:rsidR="00AC22BE" w:rsidRDefault="00E855DC">
      <w:pPr>
        <w:spacing w:before="300" w:after="300"/>
      </w:pPr>
      <w:r>
        <w:t>Supplementary Table 2. Cell type-specific quality-control thresholds and filtering summary.</w:t>
      </w:r>
    </w:p>
    <w:p w14:paraId="1FB2AD4D" w14:textId="77777777" w:rsidR="00AC22BE" w:rsidRDefault="00E855DC">
      <w:pPr>
        <w:spacing w:before="300" w:after="300"/>
      </w:pPr>
      <w:r>
        <w:t>Supplementary Table 3. Accuracy of single-modality snATAC-seq annotation imputation assessed by adjusted Rand index and classification accuracy.</w:t>
      </w:r>
    </w:p>
    <w:p w14:paraId="1FB2AD4E" w14:textId="77777777" w:rsidR="00AC22BE" w:rsidRDefault="00E855DC">
      <w:pPr>
        <w:spacing w:before="300" w:after="300"/>
      </w:pPr>
      <w:r>
        <w:t>Supplementary Table 4. Final cell-type taxonomy and annotation summary.</w:t>
      </w:r>
    </w:p>
    <w:p w14:paraId="1FB2AD4F" w14:textId="77777777" w:rsidR="00AC22BE" w:rsidRDefault="00E855DC">
      <w:pPr>
        <w:spacing w:before="300" w:after="300"/>
      </w:pPr>
      <w:r>
        <w:t>Supplementary Table 5. Dx_dev across cell types and brain regions.</w:t>
      </w:r>
    </w:p>
    <w:p w14:paraId="1FB2AD50" w14:textId="77777777" w:rsidR="00AC22BE" w:rsidRDefault="00E855DC">
      <w:pPr>
        <w:spacing w:before="300" w:after="300"/>
      </w:pPr>
      <w:r>
        <w:t>Supplementary Table 6. Summary statistics for cell-composition associations with Dx_donor, Dx_dev, and Dx_cell.</w:t>
      </w:r>
    </w:p>
    <w:p w14:paraId="1FB2AD51" w14:textId="77777777" w:rsidR="00AC22BE" w:rsidRDefault="00E855DC">
      <w:pPr>
        <w:spacing w:before="300" w:after="300"/>
      </w:pPr>
      <w:r>
        <w:t>Supplementary Table 7. Summary statistics for TF-expression and motif-activity associations.</w:t>
      </w:r>
    </w:p>
    <w:p w14:paraId="1FB2AD52" w14:textId="77777777" w:rsidR="00AC22BE" w:rsidRDefault="00E855DC">
      <w:pPr>
        <w:spacing w:before="300" w:after="300"/>
      </w:pPr>
      <w:r>
        <w:t xml:space="preserve">Supplementary Table 8. eRegulon TF–target gene relationships and within-cell-class TF–target co-expression filtering. </w:t>
      </w:r>
    </w:p>
    <w:p w14:paraId="1FB2AD53" w14:textId="77777777" w:rsidR="00AC22BE" w:rsidRDefault="00E855DC">
      <w:pPr>
        <w:spacing w:before="300" w:after="300"/>
      </w:pPr>
      <w:r>
        <w:t>Supplementary Table 9. Donor-axis and MOFA factor loadings.</w:t>
      </w:r>
    </w:p>
    <w:p w14:paraId="1FB2AD54" w14:textId="77777777" w:rsidR="00AC22BE" w:rsidRDefault="00E855DC">
      <w:pPr>
        <w:spacing w:before="300" w:after="300"/>
      </w:pPr>
      <w:r>
        <w:t xml:space="preserve">Supplementary Table 10. External dataset characteristics, donor and tissue-sample counts, nuclei across six major cell classes, and pathology measures. </w:t>
      </w:r>
    </w:p>
    <w:p w14:paraId="2DA555EE" w14:textId="26EE9FDB" w:rsidR="00DD176F" w:rsidRDefault="00DD176F" w:rsidP="00DD176F">
      <w:pPr>
        <w:pStyle w:val="Heading2"/>
      </w:pPr>
      <w:r>
        <w:t>Reference</w:t>
      </w:r>
      <w:r w:rsidR="00C97487">
        <w:t>s</w:t>
      </w:r>
    </w:p>
    <w:p w14:paraId="1FB2AD55" w14:textId="77777777" w:rsidR="00AC22BE" w:rsidRDefault="00E855DC">
      <w:pPr>
        <w:spacing w:before="220" w:after="0" w:line="480" w:lineRule="auto"/>
        <w:ind w:left="440" w:hanging="440"/>
      </w:pPr>
      <w:hyperlink r:id="rId8">
        <w:r>
          <w:t xml:space="preserve">1. </w:t>
        </w:r>
        <w:r>
          <w:tab/>
          <w:t xml:space="preserve">Lee, D. </w:t>
        </w:r>
      </w:hyperlink>
      <w:hyperlink r:id="rId9">
        <w:r>
          <w:rPr>
            <w:i/>
            <w:iCs/>
          </w:rPr>
          <w:t>et al.</w:t>
        </w:r>
      </w:hyperlink>
      <w:hyperlink r:id="rId10">
        <w:r>
          <w:t xml:space="preserve"> Single-cell atlas of transcriptomic vulnerability across brain disorders. </w:t>
        </w:r>
      </w:hyperlink>
      <w:hyperlink r:id="rId11">
        <w:r>
          <w:rPr>
            <w:i/>
            <w:iCs/>
          </w:rPr>
          <w:t>Nature</w:t>
        </w:r>
      </w:hyperlink>
      <w:hyperlink r:id="rId12">
        <w:r>
          <w:t xml:space="preserve"> </w:t>
        </w:r>
      </w:hyperlink>
      <w:hyperlink r:id="rId13">
        <w:r>
          <w:rPr>
            <w:b/>
            <w:bCs/>
          </w:rPr>
          <w:t>657</w:t>
        </w:r>
      </w:hyperlink>
      <w:hyperlink r:id="rId14">
        <w:r>
          <w:t>, 988–1002 (2026).</w:t>
        </w:r>
      </w:hyperlink>
    </w:p>
    <w:p w14:paraId="1FB2AD56" w14:textId="77777777" w:rsidR="00AC22BE" w:rsidRDefault="00E855DC">
      <w:pPr>
        <w:spacing w:after="220" w:line="480" w:lineRule="auto"/>
        <w:ind w:left="440" w:hanging="440"/>
      </w:pPr>
      <w:hyperlink r:id="rId15">
        <w:r>
          <w:t xml:space="preserve">2. </w:t>
        </w:r>
        <w:r>
          <w:tab/>
        </w:r>
        <w:r>
          <w:t xml:space="preserve">Palla, G. </w:t>
        </w:r>
      </w:hyperlink>
      <w:hyperlink r:id="rId16">
        <w:r>
          <w:rPr>
            <w:i/>
            <w:iCs/>
          </w:rPr>
          <w:t>et al.</w:t>
        </w:r>
      </w:hyperlink>
      <w:hyperlink r:id="rId17">
        <w:r>
          <w:t xml:space="preserve"> Squidpy: a scalable framework for spatial omics analysis. </w:t>
        </w:r>
      </w:hyperlink>
      <w:hyperlink r:id="rId18">
        <w:r>
          <w:rPr>
            <w:i/>
            <w:iCs/>
          </w:rPr>
          <w:t>Nat. Methods</w:t>
        </w:r>
      </w:hyperlink>
      <w:hyperlink r:id="rId19">
        <w:r>
          <w:t xml:space="preserve"> </w:t>
        </w:r>
      </w:hyperlink>
      <w:hyperlink r:id="rId20">
        <w:r>
          <w:rPr>
            <w:b/>
            <w:bCs/>
          </w:rPr>
          <w:t>19</w:t>
        </w:r>
      </w:hyperlink>
      <w:hyperlink r:id="rId21">
        <w:r>
          <w:t>, 171–178 (2022).</w:t>
        </w:r>
      </w:hyperlink>
    </w:p>
    <w:p w14:paraId="1FB2AD57" w14:textId="77777777" w:rsidR="00AC22BE" w:rsidRDefault="00AC22BE">
      <w:pPr>
        <w:spacing w:before="300" w:after="300"/>
      </w:pPr>
    </w:p>
    <w:sectPr w:rsidR="00AC22BE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DA3E5" w14:textId="77777777" w:rsidR="00E855DC" w:rsidRDefault="00E855DC" w:rsidP="00DD176F">
      <w:pPr>
        <w:spacing w:after="0" w:line="240" w:lineRule="auto"/>
      </w:pPr>
      <w:r>
        <w:separator/>
      </w:r>
    </w:p>
  </w:endnote>
  <w:endnote w:type="continuationSeparator" w:id="0">
    <w:p w14:paraId="35533A0D" w14:textId="77777777" w:rsidR="00E855DC" w:rsidRDefault="00E855DC" w:rsidP="00DD1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C1DA0E9-1DBD-8C49-8FF6-1B1DDA12AE06}"/>
    <w:embedBold r:id="rId2" w:fontKey="{08093185-FFED-EB4E-B960-66D7D8C7A507}"/>
    <w:embedItalic r:id="rId3" w:fontKey="{1D6C8D96-6893-8040-A214-4C10A708DF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AAA73A4-B7D3-7E43-9D1B-2756823CD90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A58F10B-3F07-724B-A630-8FCA9BEE6AE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CC5EEBAA-013E-1646-9F53-3AF54EB377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3FED3" w14:textId="77777777" w:rsidR="00DD176F" w:rsidRDefault="00DD17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3A6588" w14:textId="77777777" w:rsidR="00DD176F" w:rsidRDefault="00DD17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0173F" w14:textId="77777777" w:rsidR="00DD176F" w:rsidRDefault="00DD1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438D75" w14:textId="77777777" w:rsidR="00E855DC" w:rsidRDefault="00E855DC" w:rsidP="00DD176F">
      <w:pPr>
        <w:spacing w:after="0" w:line="240" w:lineRule="auto"/>
      </w:pPr>
      <w:r>
        <w:separator/>
      </w:r>
    </w:p>
  </w:footnote>
  <w:footnote w:type="continuationSeparator" w:id="0">
    <w:p w14:paraId="48E97B1E" w14:textId="77777777" w:rsidR="00E855DC" w:rsidRDefault="00E855DC" w:rsidP="00DD1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909FC" w14:textId="77777777" w:rsidR="00DD176F" w:rsidRDefault="00DD17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109F91" w14:textId="77777777" w:rsidR="00DD176F" w:rsidRDefault="00DD17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24A349" w14:textId="77777777" w:rsidR="00DD176F" w:rsidRDefault="00DD176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BE"/>
    <w:rsid w:val="00AC22BE"/>
    <w:rsid w:val="00C97487"/>
    <w:rsid w:val="00DD176F"/>
    <w:rsid w:val="00DE0554"/>
    <w:rsid w:val="00E8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2AD40"/>
  <w15:docId w15:val="{32AF522C-8500-1D4D-93C1-EA6E863C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D1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76F"/>
  </w:style>
  <w:style w:type="paragraph" w:styleId="Footer">
    <w:name w:val="footer"/>
    <w:basedOn w:val="Normal"/>
    <w:link w:val="FooterChar"/>
    <w:uiPriority w:val="99"/>
    <w:unhideWhenUsed/>
    <w:rsid w:val="00DD1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pile.com/b/AHiFk1Fe/TMB1" TargetMode="External"/><Relationship Id="rId13" Type="http://schemas.openxmlformats.org/officeDocument/2006/relationships/hyperlink" Target="https://paperpile.com/b/AHiFk1Fe/TMB1" TargetMode="External"/><Relationship Id="rId18" Type="http://schemas.openxmlformats.org/officeDocument/2006/relationships/hyperlink" Target="https://paperpile.com/b/AHiFk1Fe/wGpF" TargetMode="External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yperlink" Target="https://paperpile.com/b/AHiFk1Fe/wGpF" TargetMode="External"/><Relationship Id="rId7" Type="http://schemas.openxmlformats.org/officeDocument/2006/relationships/hyperlink" Target="https://paperpile.com/c/AHiFk1Fe/wGpF" TargetMode="External"/><Relationship Id="rId12" Type="http://schemas.openxmlformats.org/officeDocument/2006/relationships/hyperlink" Target="https://paperpile.com/b/AHiFk1Fe/TMB1" TargetMode="External"/><Relationship Id="rId17" Type="http://schemas.openxmlformats.org/officeDocument/2006/relationships/hyperlink" Target="https://paperpile.com/b/AHiFk1Fe/wGpF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paperpile.com/b/AHiFk1Fe/wGpF" TargetMode="External"/><Relationship Id="rId20" Type="http://schemas.openxmlformats.org/officeDocument/2006/relationships/hyperlink" Target="https://paperpile.com/b/AHiFk1Fe/wGpF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aperpile.com/c/AHiFk1Fe/TMB1" TargetMode="External"/><Relationship Id="rId11" Type="http://schemas.openxmlformats.org/officeDocument/2006/relationships/hyperlink" Target="https://paperpile.com/b/AHiFk1Fe/TMB1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paperpile.com/b/AHiFk1Fe/wGp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aperpile.com/b/AHiFk1Fe/TMB1" TargetMode="External"/><Relationship Id="rId19" Type="http://schemas.openxmlformats.org/officeDocument/2006/relationships/hyperlink" Target="https://paperpile.com/b/AHiFk1Fe/wGp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aperpile.com/b/AHiFk1Fe/TMB1" TargetMode="External"/><Relationship Id="rId14" Type="http://schemas.openxmlformats.org/officeDocument/2006/relationships/hyperlink" Target="https://paperpile.com/b/AHiFk1Fe/TMB1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Dong, Pengfei</cp:lastModifiedBy>
  <cp:revision>3</cp:revision>
  <dcterms:created xsi:type="dcterms:W3CDTF">2026-10-07T21:28:00Z</dcterms:created>
  <dcterms:modified xsi:type="dcterms:W3CDTF">2026-10-07T21:29:00Z</dcterms:modified>
</cp:coreProperties>
</file>