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D4202" w14:textId="475D913E" w:rsidR="002C3CE5" w:rsidRPr="00EB4BEA" w:rsidRDefault="002C3CE5" w:rsidP="002C3CE5">
      <w:pPr>
        <w:spacing w:after="0" w:line="240" w:lineRule="auto"/>
        <w:ind w:firstLine="900"/>
        <w:jc w:val="center"/>
        <w:rPr>
          <w:rFonts w:cs="Times New Roman"/>
          <w:color w:val="000000" w:themeColor="text1"/>
          <w:sz w:val="44"/>
          <w:szCs w:val="44"/>
        </w:rPr>
      </w:pPr>
      <w:r w:rsidRPr="00EB4BEA">
        <w:rPr>
          <w:rFonts w:cs="Times New Roman"/>
          <w:color w:val="000000" w:themeColor="text1"/>
          <w:sz w:val="44"/>
          <w:szCs w:val="44"/>
        </w:rPr>
        <w:t>Supporting Information</w:t>
      </w:r>
    </w:p>
    <w:p w14:paraId="05190472" w14:textId="77777777" w:rsidR="002C3CE5" w:rsidRPr="003D56FA" w:rsidRDefault="002C3CE5" w:rsidP="002C3CE5">
      <w:pPr>
        <w:spacing w:after="0" w:line="240" w:lineRule="auto"/>
        <w:ind w:firstLine="900"/>
        <w:jc w:val="center"/>
        <w:rPr>
          <w:rFonts w:ascii="Times New Roman" w:hAnsi="Times New Roman" w:cs="Times New Roman"/>
          <w:color w:val="000000" w:themeColor="text1"/>
          <w:sz w:val="44"/>
          <w:szCs w:val="44"/>
        </w:rPr>
      </w:pPr>
    </w:p>
    <w:p w14:paraId="4C55F2E2" w14:textId="77777777" w:rsidR="00EB4BEA" w:rsidRPr="00237039" w:rsidRDefault="00EB4BEA" w:rsidP="00EB4BEA">
      <w:pPr>
        <w:spacing w:after="0" w:line="240" w:lineRule="auto"/>
        <w:jc w:val="center"/>
        <w:rPr>
          <w:color w:val="000000" w:themeColor="text1"/>
          <w:sz w:val="44"/>
          <w:szCs w:val="44"/>
        </w:rPr>
      </w:pPr>
      <w:r w:rsidRPr="00237039">
        <w:rPr>
          <w:color w:val="000000" w:themeColor="text1"/>
          <w:sz w:val="44"/>
          <w:szCs w:val="44"/>
        </w:rPr>
        <w:t>Dynamic Ferroelectricity in Antiferroelectric Hafnia-Zirconia Thin Films at Cryogenic Temperatures</w:t>
      </w:r>
    </w:p>
    <w:p w14:paraId="1853937B" w14:textId="77777777" w:rsidR="00EB4BEA" w:rsidRDefault="00EB4BEA" w:rsidP="00EB4BEA">
      <w:pPr>
        <w:spacing w:after="0" w:line="240" w:lineRule="auto"/>
        <w:ind w:firstLine="900"/>
        <w:jc w:val="center"/>
        <w:rPr>
          <w:rFonts w:ascii="Times New Roman" w:hAnsi="Times New Roman" w:cs="Times New Roman"/>
          <w:color w:val="000000" w:themeColor="text1"/>
        </w:rPr>
      </w:pPr>
    </w:p>
    <w:p w14:paraId="594DA52E" w14:textId="77777777" w:rsidR="00EB4BEA" w:rsidRPr="009116C9" w:rsidRDefault="00EB4BEA" w:rsidP="00EB4BEA">
      <w:pPr>
        <w:pStyle w:val="BBAuthorName"/>
        <w:spacing w:line="360" w:lineRule="auto"/>
        <w:rPr>
          <w:rFonts w:ascii="Times New Roman" w:eastAsia="DFPOP-SB" w:hAnsi="Times New Roman"/>
        </w:rPr>
      </w:pPr>
      <w:bookmarkStart w:id="0" w:name="_Hlk132809617"/>
      <w:r>
        <w:rPr>
          <w:rFonts w:ascii="Times New Roman" w:eastAsia="DFPOP-SB" w:hAnsi="Times New Roman"/>
        </w:rPr>
        <w:t>Radha Rathod</w:t>
      </w:r>
      <w:r w:rsidRPr="009116C9">
        <w:rPr>
          <w:rFonts w:ascii="Times New Roman" w:eastAsia="DFPOP-SB" w:hAnsi="Times New Roman"/>
          <w:vertAlign w:val="superscript"/>
        </w:rPr>
        <w:t>†</w:t>
      </w:r>
      <w:r>
        <w:rPr>
          <w:rFonts w:ascii="Times New Roman" w:eastAsia="DFPOP-SB" w:hAnsi="Times New Roman"/>
          <w:vertAlign w:val="superscript"/>
        </w:rPr>
        <w:t>,*</w:t>
      </w:r>
      <w:r>
        <w:rPr>
          <w:rStyle w:val="FootnoteReference"/>
          <w:rFonts w:ascii="Times New Roman" w:eastAsia="DFPOP-SB" w:hAnsi="Times New Roman"/>
        </w:rPr>
        <w:footnoteReference w:id="1"/>
      </w:r>
      <w:r>
        <w:rPr>
          <w:rFonts w:ascii="Times New Roman" w:eastAsia="DFPOP-SB" w:hAnsi="Times New Roman"/>
        </w:rPr>
        <w:t xml:space="preserve">, </w:t>
      </w:r>
      <w:r w:rsidRPr="009116C9">
        <w:rPr>
          <w:rFonts w:ascii="Times New Roman" w:eastAsia="DFPOP-SB" w:hAnsi="Times New Roman"/>
        </w:rPr>
        <w:t>Balreen Saini</w:t>
      </w:r>
      <w:r w:rsidRPr="009116C9">
        <w:rPr>
          <w:rFonts w:ascii="Times New Roman" w:eastAsia="DFPOP-SB" w:hAnsi="Times New Roman"/>
          <w:vertAlign w:val="superscript"/>
        </w:rPr>
        <w:t>†</w:t>
      </w:r>
      <w:r>
        <w:rPr>
          <w:rFonts w:ascii="Times New Roman" w:eastAsia="DFPOP-SB" w:hAnsi="Times New Roman"/>
          <w:vertAlign w:val="superscript"/>
        </w:rPr>
        <w:t>,1</w:t>
      </w:r>
      <w:r w:rsidRPr="009116C9">
        <w:rPr>
          <w:rFonts w:ascii="Times New Roman" w:eastAsia="DFPOP-SB" w:hAnsi="Times New Roman"/>
        </w:rPr>
        <w:t xml:space="preserve">, </w:t>
      </w:r>
      <w:r w:rsidRPr="00E80E3C">
        <w:rPr>
          <w:rFonts w:ascii="Times New Roman" w:eastAsia="DFPOP-SB" w:hAnsi="Times New Roman"/>
        </w:rPr>
        <w:t>Cristian E. Ruano Arens</w:t>
      </w:r>
      <w:r w:rsidRPr="009116C9">
        <w:rPr>
          <w:rFonts w:ascii="Times New Roman" w:eastAsia="DFPOP-SB" w:hAnsi="Times New Roman"/>
          <w:vertAlign w:val="superscript"/>
        </w:rPr>
        <w:t>†</w:t>
      </w:r>
      <w:r w:rsidRPr="009116C9">
        <w:rPr>
          <w:rFonts w:ascii="Times New Roman" w:eastAsia="DFPOP-SB" w:hAnsi="Times New Roman"/>
        </w:rPr>
        <w:t>, Vivek Thampy</w:t>
      </w:r>
      <w:r w:rsidRPr="009116C9">
        <w:rPr>
          <w:rFonts w:ascii="Times New Roman" w:eastAsia="DFPOP-SB" w:hAnsi="Times New Roman"/>
          <w:vertAlign w:val="superscript"/>
        </w:rPr>
        <w:t>#</w:t>
      </w:r>
      <w:r w:rsidRPr="009116C9">
        <w:rPr>
          <w:rFonts w:ascii="Times New Roman" w:eastAsia="DFPOP-SB" w:hAnsi="Times New Roman"/>
        </w:rPr>
        <w:t>, Wilman Tsai</w:t>
      </w:r>
      <w:r w:rsidRPr="009116C9">
        <w:rPr>
          <w:rFonts w:ascii="Times New Roman" w:eastAsia="DFPOP-SB" w:hAnsi="Times New Roman"/>
          <w:vertAlign w:val="superscript"/>
        </w:rPr>
        <w:t>†</w:t>
      </w:r>
      <w:r w:rsidRPr="009116C9">
        <w:rPr>
          <w:rFonts w:ascii="Times New Roman" w:eastAsia="DFPOP-SB" w:hAnsi="Times New Roman"/>
        </w:rPr>
        <w:t>, John D. Baniecki</w:t>
      </w:r>
      <w:r w:rsidRPr="009116C9">
        <w:rPr>
          <w:rFonts w:ascii="Times New Roman" w:eastAsia="DFPOP-SB" w:hAnsi="Times New Roman"/>
          <w:vertAlign w:val="superscript"/>
        </w:rPr>
        <w:t>#</w:t>
      </w:r>
      <w:r w:rsidRPr="009116C9">
        <w:rPr>
          <w:rFonts w:ascii="Times New Roman" w:eastAsia="DFPOP-SB" w:hAnsi="Times New Roman"/>
        </w:rPr>
        <w:t xml:space="preserve">, </w:t>
      </w:r>
      <w:r>
        <w:rPr>
          <w:rFonts w:ascii="Times New Roman" w:eastAsia="DFPOP-SB" w:hAnsi="Times New Roman"/>
        </w:rPr>
        <w:t xml:space="preserve">and </w:t>
      </w:r>
      <w:r w:rsidRPr="009116C9">
        <w:rPr>
          <w:rFonts w:ascii="Times New Roman" w:eastAsia="DFPOP-SB" w:hAnsi="Times New Roman"/>
        </w:rPr>
        <w:t>Paul C. McIntyre</w:t>
      </w:r>
      <w:r w:rsidRPr="009116C9">
        <w:rPr>
          <w:rFonts w:ascii="Times New Roman" w:eastAsia="DFPOP-SB" w:hAnsi="Times New Roman"/>
          <w:vertAlign w:val="superscript"/>
        </w:rPr>
        <w:t>†,#,</w:t>
      </w:r>
      <w:bookmarkEnd w:id="0"/>
      <w:r>
        <w:rPr>
          <w:rFonts w:ascii="Times New Roman" w:eastAsia="DFPOP-SB" w:hAnsi="Times New Roman"/>
        </w:rPr>
        <w:t>*</w:t>
      </w:r>
    </w:p>
    <w:p w14:paraId="12C6CB34" w14:textId="77777777" w:rsidR="00EB4BEA" w:rsidRPr="009116C9" w:rsidRDefault="00EB4BEA" w:rsidP="00EB4BEA">
      <w:pPr>
        <w:spacing w:line="360" w:lineRule="auto"/>
        <w:rPr>
          <w:rFonts w:ascii="Times New Roman" w:hAnsi="Times New Roman" w:cs="Times New Roman"/>
          <w:i/>
          <w:iCs/>
        </w:rPr>
      </w:pPr>
    </w:p>
    <w:p w14:paraId="6F6E362C" w14:textId="77777777" w:rsidR="00EB4BEA" w:rsidRPr="009116C9" w:rsidRDefault="00EB4BEA" w:rsidP="00EB4BEA">
      <w:pPr>
        <w:pStyle w:val="BCAuthorAddress"/>
        <w:spacing w:line="360" w:lineRule="auto"/>
        <w:rPr>
          <w:rFonts w:ascii="Times New Roman" w:hAnsi="Times New Roman"/>
        </w:rPr>
      </w:pPr>
      <w:bookmarkStart w:id="1" w:name="_Hlk132809741"/>
      <w:r w:rsidRPr="009116C9">
        <w:rPr>
          <w:rFonts w:ascii="Times New Roman" w:hAnsi="Times New Roman"/>
          <w:vertAlign w:val="superscript"/>
        </w:rPr>
        <w:t>†</w:t>
      </w:r>
      <w:bookmarkEnd w:id="1"/>
      <w:r w:rsidRPr="009116C9">
        <w:rPr>
          <w:rFonts w:ascii="Times New Roman" w:hAnsi="Times New Roman"/>
        </w:rPr>
        <w:t>Department of Materials Science and Engineering, Stanford University, CA 94305, USA</w:t>
      </w:r>
    </w:p>
    <w:p w14:paraId="72211D3C" w14:textId="77777777" w:rsidR="00EB4BEA" w:rsidRPr="009116C9" w:rsidRDefault="00EB4BEA" w:rsidP="00EB4BEA">
      <w:pPr>
        <w:pStyle w:val="BCAuthorAddress"/>
        <w:spacing w:line="360" w:lineRule="auto"/>
        <w:rPr>
          <w:rFonts w:ascii="Times New Roman" w:eastAsia="DFPOP-SB" w:hAnsi="Times New Roman"/>
        </w:rPr>
      </w:pPr>
      <w:bookmarkStart w:id="2" w:name="_Hlk156647631"/>
      <w:r w:rsidRPr="009116C9">
        <w:rPr>
          <w:rFonts w:ascii="Times New Roman" w:eastAsia="DFPOP-SB" w:hAnsi="Times New Roman"/>
          <w:vertAlign w:val="superscript"/>
        </w:rPr>
        <w:t>#</w:t>
      </w:r>
      <w:r w:rsidRPr="009116C9">
        <w:rPr>
          <w:rFonts w:ascii="Times New Roman" w:eastAsia="DFPOP-SB" w:hAnsi="Times New Roman"/>
        </w:rPr>
        <w:t>SLAC National Accelerator Laboratory, Menlo Park, CA 94025, USA</w:t>
      </w:r>
    </w:p>
    <w:bookmarkEnd w:id="2"/>
    <w:p w14:paraId="7B6B6C52" w14:textId="77777777" w:rsidR="00EB4BEA" w:rsidRPr="009116C9" w:rsidRDefault="00EB4BEA" w:rsidP="00EB4BEA">
      <w:pPr>
        <w:spacing w:line="360" w:lineRule="auto"/>
        <w:jc w:val="center"/>
        <w:rPr>
          <w:rFonts w:ascii="Times New Roman" w:hAnsi="Times New Roman" w:cs="Times New Roman"/>
        </w:rPr>
      </w:pPr>
      <w:r>
        <w:rPr>
          <w:rFonts w:ascii="Times New Roman" w:hAnsi="Times New Roman" w:cs="Times New Roman"/>
        </w:rPr>
        <w:t>*</w:t>
      </w:r>
      <w:r w:rsidRPr="009116C9">
        <w:rPr>
          <w:rFonts w:ascii="Times New Roman" w:hAnsi="Times New Roman" w:cs="Times New Roman"/>
        </w:rPr>
        <w:t>Corresponding Author; email: pcm1@stanford.edu</w:t>
      </w:r>
    </w:p>
    <w:p w14:paraId="0A7FB067" w14:textId="77777777" w:rsidR="00E231CC" w:rsidRPr="003D56FA" w:rsidRDefault="00E231CC">
      <w:pPr>
        <w:rPr>
          <w:rFonts w:ascii="Times New Roman" w:hAnsi="Times New Roman" w:cs="Times New Roman"/>
        </w:rPr>
      </w:pPr>
    </w:p>
    <w:p w14:paraId="73D8960B" w14:textId="77777777" w:rsidR="00E231CC" w:rsidRPr="003D56FA" w:rsidRDefault="00E231CC">
      <w:pPr>
        <w:rPr>
          <w:rFonts w:ascii="Times New Roman" w:hAnsi="Times New Roman" w:cs="Times New Roman"/>
        </w:rPr>
      </w:pPr>
    </w:p>
    <w:p w14:paraId="5FA043D3" w14:textId="77777777" w:rsidR="00E231CC" w:rsidRPr="003D56FA" w:rsidRDefault="00E231CC">
      <w:pPr>
        <w:rPr>
          <w:rFonts w:ascii="Times New Roman" w:hAnsi="Times New Roman" w:cs="Times New Roman"/>
        </w:rPr>
      </w:pPr>
    </w:p>
    <w:p w14:paraId="7A56E46E" w14:textId="77777777" w:rsidR="00E231CC" w:rsidRPr="003D56FA" w:rsidRDefault="00E231CC">
      <w:pPr>
        <w:rPr>
          <w:rFonts w:ascii="Times New Roman" w:hAnsi="Times New Roman" w:cs="Times New Roman"/>
        </w:rPr>
      </w:pPr>
    </w:p>
    <w:p w14:paraId="243A1E64" w14:textId="77777777" w:rsidR="00E231CC" w:rsidRPr="003D56FA" w:rsidRDefault="00E231CC">
      <w:pPr>
        <w:rPr>
          <w:rFonts w:ascii="Times New Roman" w:hAnsi="Times New Roman" w:cs="Times New Roman"/>
        </w:rPr>
      </w:pPr>
    </w:p>
    <w:p w14:paraId="4ED030EB" w14:textId="77777777" w:rsidR="00E231CC" w:rsidRPr="003D56FA" w:rsidRDefault="00E231CC">
      <w:pPr>
        <w:rPr>
          <w:rFonts w:ascii="Times New Roman" w:hAnsi="Times New Roman" w:cs="Times New Roman"/>
        </w:rPr>
      </w:pPr>
    </w:p>
    <w:p w14:paraId="027E0BBA" w14:textId="77777777" w:rsidR="00E231CC" w:rsidRPr="003D56FA" w:rsidRDefault="00E231CC">
      <w:pPr>
        <w:rPr>
          <w:rFonts w:ascii="Times New Roman" w:hAnsi="Times New Roman" w:cs="Times New Roman"/>
        </w:rPr>
      </w:pPr>
    </w:p>
    <w:p w14:paraId="33D3C924" w14:textId="77777777" w:rsidR="00E231CC" w:rsidRPr="003D56FA" w:rsidRDefault="00E231CC">
      <w:pPr>
        <w:rPr>
          <w:rFonts w:ascii="Times New Roman" w:hAnsi="Times New Roman" w:cs="Times New Roman"/>
        </w:rPr>
      </w:pPr>
    </w:p>
    <w:p w14:paraId="2A33BA3A" w14:textId="77777777" w:rsidR="00E231CC" w:rsidRPr="003D56FA" w:rsidRDefault="00E231CC">
      <w:pPr>
        <w:rPr>
          <w:rFonts w:ascii="Times New Roman" w:hAnsi="Times New Roman" w:cs="Times New Roman"/>
        </w:rPr>
      </w:pPr>
    </w:p>
    <w:p w14:paraId="38914051" w14:textId="77777777" w:rsidR="00E231CC" w:rsidRPr="003D56FA" w:rsidRDefault="00E231CC">
      <w:pPr>
        <w:rPr>
          <w:rFonts w:ascii="Times New Roman" w:hAnsi="Times New Roman" w:cs="Times New Roman"/>
        </w:rPr>
      </w:pPr>
    </w:p>
    <w:p w14:paraId="021DFF32" w14:textId="77777777" w:rsidR="00E231CC" w:rsidRPr="003D56FA" w:rsidRDefault="00E231CC">
      <w:pPr>
        <w:rPr>
          <w:rFonts w:ascii="Times New Roman" w:hAnsi="Times New Roman" w:cs="Times New Roman"/>
        </w:rPr>
      </w:pPr>
    </w:p>
    <w:p w14:paraId="4758CBBD" w14:textId="77777777" w:rsidR="00FB1867" w:rsidRDefault="00FB1867" w:rsidP="00FB1867">
      <w:pPr>
        <w:spacing w:line="360" w:lineRule="auto"/>
        <w:jc w:val="both"/>
        <w:rPr>
          <w:rFonts w:ascii="Times New Roman" w:hAnsi="Times New Roman" w:cs="Times New Roman"/>
        </w:rPr>
      </w:pPr>
    </w:p>
    <w:p w14:paraId="67163B7C" w14:textId="77777777" w:rsidR="00EC7A43" w:rsidRPr="00A5254E" w:rsidRDefault="00EC7A43" w:rsidP="00EC7A43">
      <w:pPr>
        <w:pStyle w:val="Heading24"/>
        <w:numPr>
          <w:ilvl w:val="0"/>
          <w:numId w:val="0"/>
        </w:numPr>
        <w:spacing w:line="360" w:lineRule="auto"/>
        <w:rPr>
          <w:color w:val="000000" w:themeColor="text1"/>
        </w:rPr>
      </w:pPr>
      <w:r w:rsidRPr="00A5254E">
        <w:rPr>
          <w:color w:val="000000" w:themeColor="text1"/>
          <w:sz w:val="32"/>
          <w:szCs w:val="32"/>
        </w:rPr>
        <w:lastRenderedPageBreak/>
        <w:t>Methods</w:t>
      </w:r>
    </w:p>
    <w:p w14:paraId="5AF4F5DD" w14:textId="77777777" w:rsidR="00EC7A43" w:rsidRPr="00D363EE" w:rsidRDefault="00EC7A43" w:rsidP="00EC7A43">
      <w:pPr>
        <w:widowControl w:val="0"/>
        <w:tabs>
          <w:tab w:val="left" w:pos="866"/>
        </w:tabs>
        <w:autoSpaceDE w:val="0"/>
        <w:autoSpaceDN w:val="0"/>
        <w:spacing w:after="0" w:line="360" w:lineRule="auto"/>
        <w:jc w:val="both"/>
        <w:outlineLvl w:val="1"/>
        <w:rPr>
          <w:rFonts w:ascii="Times New Roman" w:hAnsi="Times New Roman" w:cs="Times New Roman"/>
          <w:b/>
          <w:bCs/>
          <w:color w:val="000000" w:themeColor="text1"/>
        </w:rPr>
      </w:pPr>
      <w:r w:rsidRPr="00D363EE">
        <w:rPr>
          <w:rFonts w:ascii="Times New Roman" w:hAnsi="Times New Roman" w:cs="Times New Roman"/>
          <w:b/>
          <w:bCs/>
          <w:color w:val="000000" w:themeColor="text1"/>
        </w:rPr>
        <w:t>Device fabrication</w:t>
      </w:r>
    </w:p>
    <w:p w14:paraId="0288F5C2" w14:textId="3A347190" w:rsidR="00EC7A43" w:rsidRDefault="00EC7A43" w:rsidP="00EC7A43">
      <w:pPr>
        <w:widowControl w:val="0"/>
        <w:tabs>
          <w:tab w:val="left" w:pos="866"/>
          <w:tab w:val="left" w:pos="2070"/>
        </w:tabs>
        <w:autoSpaceDE w:val="0"/>
        <w:autoSpaceDN w:val="0"/>
        <w:spacing w:after="0" w:line="360" w:lineRule="auto"/>
        <w:jc w:val="both"/>
        <w:outlineLvl w:val="1"/>
        <w:rPr>
          <w:rFonts w:ascii="Times New Roman" w:hAnsi="Times New Roman" w:cs="Times New Roman"/>
          <w:color w:val="000000" w:themeColor="text1"/>
        </w:rPr>
      </w:pPr>
      <w:r w:rsidRPr="003B1AF0">
        <w:rPr>
          <w:rFonts w:ascii="Times New Roman" w:hAnsi="Times New Roman" w:cs="Times New Roman"/>
          <w:color w:val="000000" w:themeColor="text1"/>
        </w:rPr>
        <w:t>Metal–ferroelectric–metal (MFM) capacitor structures were fabricated to investigate the temperature-dependent structural and polarization-switching characteristics of</w:t>
      </w:r>
      <w:r>
        <w:rPr>
          <w:rFonts w:ascii="Times New Roman" w:hAnsi="Times New Roman" w:cs="Times New Roman"/>
          <w:color w:val="000000" w:themeColor="text1"/>
        </w:rPr>
        <w:t xml:space="preserve"> HZO thin films.</w:t>
      </w:r>
      <w:r w:rsidRPr="003727CC">
        <w:rPr>
          <w:rFonts w:ascii="Times New Roman" w:hAnsi="Times New Roman" w:cs="Times New Roman"/>
          <w:color w:val="000000" w:themeColor="text1"/>
        </w:rPr>
        <w:t xml:space="preserve"> </w:t>
      </w:r>
      <w:r w:rsidRPr="003B1AF0">
        <w:rPr>
          <w:rFonts w:ascii="Times New Roman" w:hAnsi="Times New Roman" w:cs="Times New Roman"/>
          <w:color w:val="000000" w:themeColor="text1"/>
        </w:rPr>
        <w:t xml:space="preserve">A 10-nm-thick </w:t>
      </w:r>
      <w:proofErr w:type="spellStart"/>
      <w:r w:rsidRPr="003B1AF0">
        <w:rPr>
          <w:rFonts w:ascii="Times New Roman" w:hAnsi="Times New Roman" w:cs="Times New Roman"/>
          <w:color w:val="000000" w:themeColor="text1"/>
        </w:rPr>
        <w:t>TiN</w:t>
      </w:r>
      <w:proofErr w:type="spellEnd"/>
      <w:r w:rsidRPr="003B1AF0">
        <w:rPr>
          <w:rFonts w:ascii="Times New Roman" w:hAnsi="Times New Roman" w:cs="Times New Roman"/>
          <w:color w:val="000000" w:themeColor="text1"/>
        </w:rPr>
        <w:t xml:space="preserve"> bottom electrode was deposited on Si substrates by </w:t>
      </w:r>
      <w:proofErr w:type="gramStart"/>
      <w:r w:rsidRPr="003B1AF0">
        <w:rPr>
          <w:rFonts w:ascii="Times New Roman" w:hAnsi="Times New Roman" w:cs="Times New Roman"/>
          <w:color w:val="000000" w:themeColor="text1"/>
        </w:rPr>
        <w:t>radio-frequency</w:t>
      </w:r>
      <w:proofErr w:type="gramEnd"/>
      <w:r w:rsidRPr="003B1AF0">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(RF) </w:t>
      </w:r>
      <w:r w:rsidRPr="003B1AF0">
        <w:rPr>
          <w:rFonts w:ascii="Times New Roman" w:hAnsi="Times New Roman" w:cs="Times New Roman"/>
          <w:color w:val="000000" w:themeColor="text1"/>
        </w:rPr>
        <w:t>reactive sputtering of a Ti target in an N</w:t>
      </w:r>
      <w:r w:rsidR="00F964F9" w:rsidRPr="00F964F9">
        <w:rPr>
          <w:rFonts w:ascii="Times New Roman" w:hAnsi="Times New Roman" w:cs="Times New Roman"/>
          <w:color w:val="000000" w:themeColor="text1"/>
          <w:vertAlign w:val="subscript"/>
        </w:rPr>
        <w:t>2</w:t>
      </w:r>
      <w:r w:rsidRPr="003B1AF0">
        <w:rPr>
          <w:rFonts w:ascii="Times New Roman" w:hAnsi="Times New Roman" w:cs="Times New Roman"/>
          <w:color w:val="000000" w:themeColor="text1"/>
        </w:rPr>
        <w:t xml:space="preserve"> </w:t>
      </w:r>
      <w:proofErr w:type="gramStart"/>
      <w:r w:rsidRPr="003B1AF0">
        <w:rPr>
          <w:rFonts w:ascii="Times New Roman" w:hAnsi="Times New Roman" w:cs="Times New Roman"/>
          <w:color w:val="000000" w:themeColor="text1"/>
        </w:rPr>
        <w:t>ambient</w:t>
      </w:r>
      <w:proofErr w:type="gramEnd"/>
      <w:r w:rsidRPr="003B1AF0">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9116C9">
        <w:rPr>
          <w:rFonts w:ascii="Times New Roman" w:hAnsi="Times New Roman" w:cs="Times New Roman"/>
          <w:color w:val="000000" w:themeColor="text1"/>
        </w:rPr>
        <w:t xml:space="preserve">The HZO thin films </w:t>
      </w:r>
      <w:r w:rsidRPr="009116C9">
        <w:rPr>
          <w:rFonts w:ascii="Times New Roman" w:eastAsia="Times New Roman" w:hAnsi="Times New Roman" w:cs="Times New Roman"/>
          <w:color w:val="000000" w:themeColor="text1"/>
          <w:kern w:val="0"/>
          <w14:ligatures w14:val="none"/>
        </w:rPr>
        <w:t>(10 nm thick)</w:t>
      </w:r>
      <w:r w:rsidRPr="009116C9">
        <w:rPr>
          <w:rFonts w:ascii="Times New Roman" w:hAnsi="Times New Roman" w:cs="Times New Roman"/>
          <w:color w:val="000000" w:themeColor="text1"/>
        </w:rPr>
        <w:t xml:space="preserve"> are grown using plasma enhanced atomic layer deposition (ALD) at temperatures of 200°C </w:t>
      </w:r>
      <w:r>
        <w:rPr>
          <w:rFonts w:ascii="Times New Roman" w:hAnsi="Times New Roman" w:cs="Times New Roman"/>
          <w:color w:val="000000" w:themeColor="text1"/>
        </w:rPr>
        <w:t>or</w:t>
      </w:r>
      <w:r w:rsidRPr="009116C9">
        <w:rPr>
          <w:rFonts w:ascii="Times New Roman" w:hAnsi="Times New Roman" w:cs="Times New Roman"/>
          <w:color w:val="000000" w:themeColor="text1"/>
        </w:rPr>
        <w:t xml:space="preserve"> 250°C with</w:t>
      </w:r>
      <w:r w:rsidRPr="003727CC">
        <w:rPr>
          <w:rFonts w:ascii="Times New Roman" w:hAnsi="Times New Roman" w:cs="Times New Roman"/>
          <w:color w:val="000000" w:themeColor="text1"/>
        </w:rPr>
        <w:t xml:space="preserve"> intermittent pulses of</w:t>
      </w:r>
      <w:r>
        <w:rPr>
          <w:rFonts w:ascii="Times New Roman" w:hAnsi="Times New Roman" w:cs="Times New Roman"/>
          <w:color w:val="000000" w:themeColor="text1"/>
        </w:rPr>
        <w:t xml:space="preserve"> </w:t>
      </w:r>
      <w:r w:rsidRPr="009116C9">
        <w:rPr>
          <w:rFonts w:ascii="Times New Roman" w:hAnsi="Times New Roman" w:cs="Times New Roman"/>
          <w:color w:val="000000" w:themeColor="text1"/>
        </w:rPr>
        <w:t>TDMA-Hf ([(CH</w:t>
      </w:r>
      <w:r w:rsidRPr="009116C9">
        <w:rPr>
          <w:rFonts w:ascii="Times New Roman" w:hAnsi="Times New Roman" w:cs="Times New Roman"/>
          <w:color w:val="000000" w:themeColor="text1"/>
          <w:vertAlign w:val="subscript"/>
        </w:rPr>
        <w:t>3</w:t>
      </w:r>
      <w:r w:rsidRPr="009116C9">
        <w:rPr>
          <w:rFonts w:ascii="Times New Roman" w:hAnsi="Times New Roman" w:cs="Times New Roman"/>
          <w:color w:val="000000" w:themeColor="text1"/>
        </w:rPr>
        <w:t>)</w:t>
      </w:r>
      <w:r w:rsidRPr="009116C9">
        <w:rPr>
          <w:rFonts w:ascii="Times New Roman" w:hAnsi="Times New Roman" w:cs="Times New Roman"/>
          <w:color w:val="000000" w:themeColor="text1"/>
          <w:vertAlign w:val="subscript"/>
        </w:rPr>
        <w:t>2</w:t>
      </w:r>
      <w:r w:rsidRPr="009116C9">
        <w:rPr>
          <w:rFonts w:ascii="Times New Roman" w:hAnsi="Times New Roman" w:cs="Times New Roman"/>
          <w:color w:val="000000" w:themeColor="text1"/>
        </w:rPr>
        <w:t>N]</w:t>
      </w:r>
      <w:r w:rsidRPr="009116C9">
        <w:rPr>
          <w:rFonts w:ascii="Times New Roman" w:hAnsi="Times New Roman" w:cs="Times New Roman"/>
          <w:color w:val="000000" w:themeColor="text1"/>
          <w:vertAlign w:val="subscript"/>
        </w:rPr>
        <w:t>4</w:t>
      </w:r>
      <w:r w:rsidRPr="009116C9">
        <w:rPr>
          <w:rFonts w:ascii="Times New Roman" w:hAnsi="Times New Roman" w:cs="Times New Roman"/>
          <w:color w:val="000000" w:themeColor="text1"/>
        </w:rPr>
        <w:t>Hf) and TDMA-Zr ([(CH</w:t>
      </w:r>
      <w:r w:rsidRPr="009116C9">
        <w:rPr>
          <w:rFonts w:ascii="Times New Roman" w:hAnsi="Times New Roman" w:cs="Times New Roman"/>
          <w:color w:val="000000" w:themeColor="text1"/>
          <w:vertAlign w:val="subscript"/>
        </w:rPr>
        <w:t>3</w:t>
      </w:r>
      <w:r w:rsidRPr="009116C9">
        <w:rPr>
          <w:rFonts w:ascii="Times New Roman" w:hAnsi="Times New Roman" w:cs="Times New Roman"/>
          <w:color w:val="000000" w:themeColor="text1"/>
        </w:rPr>
        <w:t>)</w:t>
      </w:r>
      <w:r w:rsidRPr="009116C9">
        <w:rPr>
          <w:rFonts w:ascii="Times New Roman" w:hAnsi="Times New Roman" w:cs="Times New Roman"/>
          <w:color w:val="000000" w:themeColor="text1"/>
          <w:vertAlign w:val="subscript"/>
        </w:rPr>
        <w:t>2</w:t>
      </w:r>
      <w:r w:rsidRPr="009116C9">
        <w:rPr>
          <w:rFonts w:ascii="Times New Roman" w:hAnsi="Times New Roman" w:cs="Times New Roman"/>
          <w:color w:val="000000" w:themeColor="text1"/>
        </w:rPr>
        <w:t>N]</w:t>
      </w:r>
      <w:r w:rsidRPr="009116C9">
        <w:rPr>
          <w:rFonts w:ascii="Times New Roman" w:hAnsi="Times New Roman" w:cs="Times New Roman"/>
          <w:color w:val="000000" w:themeColor="text1"/>
          <w:vertAlign w:val="subscript"/>
        </w:rPr>
        <w:t>4</w:t>
      </w:r>
      <w:r w:rsidRPr="009116C9">
        <w:rPr>
          <w:rFonts w:ascii="Times New Roman" w:hAnsi="Times New Roman" w:cs="Times New Roman"/>
          <w:color w:val="000000" w:themeColor="text1"/>
        </w:rPr>
        <w:t xml:space="preserve">Zr) </w:t>
      </w:r>
      <w:r>
        <w:rPr>
          <w:rFonts w:ascii="Times New Roman" w:hAnsi="Times New Roman" w:cs="Times New Roman"/>
          <w:color w:val="000000" w:themeColor="text1"/>
        </w:rPr>
        <w:t xml:space="preserve">as </w:t>
      </w:r>
      <w:r w:rsidRPr="003B1AF0">
        <w:rPr>
          <w:rFonts w:ascii="Times New Roman" w:hAnsi="Times New Roman" w:cs="Times New Roman"/>
          <w:color w:val="000000" w:themeColor="text1"/>
        </w:rPr>
        <w:t>the Hf and Zr precursors</w:t>
      </w:r>
      <w:r>
        <w:rPr>
          <w:rFonts w:ascii="Times New Roman" w:hAnsi="Times New Roman" w:cs="Times New Roman"/>
          <w:color w:val="000000" w:themeColor="text1"/>
        </w:rPr>
        <w:t xml:space="preserve"> respectively,</w:t>
      </w:r>
      <w:r w:rsidRPr="009116C9">
        <w:rPr>
          <w:rFonts w:ascii="Times New Roman" w:hAnsi="Times New Roman" w:cs="Times New Roman"/>
          <w:color w:val="000000" w:themeColor="text1"/>
        </w:rPr>
        <w:t xml:space="preserve"> </w:t>
      </w:r>
      <w:r>
        <w:rPr>
          <w:rFonts w:ascii="Times New Roman" w:hAnsi="Times New Roman" w:cs="Times New Roman"/>
          <w:color w:val="000000" w:themeColor="text1"/>
        </w:rPr>
        <w:t>with</w:t>
      </w:r>
      <w:r w:rsidRPr="009116C9">
        <w:rPr>
          <w:rFonts w:ascii="Times New Roman" w:hAnsi="Times New Roman" w:cs="Times New Roman"/>
          <w:color w:val="000000" w:themeColor="text1"/>
        </w:rPr>
        <w:t xml:space="preserve"> oxygen plasma as the co-reactant</w:t>
      </w:r>
      <w:r w:rsidRPr="009116C9">
        <w:rPr>
          <w:rFonts w:ascii="Times New Roman" w:eastAsia="Times New Roman" w:hAnsi="Times New Roman" w:cs="Times New Roman"/>
          <w:color w:val="000000" w:themeColor="text1"/>
          <w:kern w:val="0"/>
          <w14:ligatures w14:val="none"/>
        </w:rPr>
        <w:t>.</w:t>
      </w:r>
      <w:r>
        <w:rPr>
          <w:rFonts w:ascii="Times New Roman" w:eastAsia="Times New Roman" w:hAnsi="Times New Roman" w:cs="Times New Roman"/>
          <w:color w:val="000000" w:themeColor="text1"/>
          <w:kern w:val="0"/>
          <w14:ligatures w14:val="none"/>
        </w:rPr>
        <w:t xml:space="preserve"> </w:t>
      </w:r>
      <w:r w:rsidRPr="003B1AF0">
        <w:rPr>
          <w:rFonts w:ascii="Times New Roman" w:hAnsi="Times New Roman" w:cs="Times New Roman"/>
          <w:color w:val="000000" w:themeColor="text1"/>
        </w:rPr>
        <w:t xml:space="preserve">A 10-nm-thick </w:t>
      </w:r>
      <w:proofErr w:type="spellStart"/>
      <w:r w:rsidRPr="003B1AF0">
        <w:rPr>
          <w:rFonts w:ascii="Times New Roman" w:hAnsi="Times New Roman" w:cs="Times New Roman"/>
          <w:color w:val="000000" w:themeColor="text1"/>
        </w:rPr>
        <w:t>TiN</w:t>
      </w:r>
      <w:proofErr w:type="spellEnd"/>
      <w:r w:rsidRPr="003B1AF0">
        <w:rPr>
          <w:rFonts w:ascii="Times New Roman" w:hAnsi="Times New Roman" w:cs="Times New Roman"/>
          <w:color w:val="000000" w:themeColor="text1"/>
        </w:rPr>
        <w:t xml:space="preserve"> top electrode was subsequently deposited by RF reactive sputtering.</w:t>
      </w:r>
      <w:r>
        <w:rPr>
          <w:rFonts w:ascii="Times New Roman" w:hAnsi="Times New Roman" w:cs="Times New Roman"/>
          <w:color w:val="000000" w:themeColor="text1"/>
        </w:rPr>
        <w:t xml:space="preserve"> </w:t>
      </w:r>
      <w:r w:rsidRPr="003B1AF0">
        <w:rPr>
          <w:rFonts w:ascii="Times New Roman" w:hAnsi="Times New Roman" w:cs="Times New Roman"/>
          <w:color w:val="000000" w:themeColor="text1"/>
        </w:rPr>
        <w:t xml:space="preserve">Capacitor structures with an area of 50 × 50 μm² were defined by photolithography. A 40-nm-thick Pt layer was deposited by electron-beam evaporation and patterned by photolithography and lift-off to form the electrical contact pads. The </w:t>
      </w:r>
      <w:proofErr w:type="spellStart"/>
      <w:r w:rsidRPr="003B1AF0">
        <w:rPr>
          <w:rFonts w:ascii="Times New Roman" w:hAnsi="Times New Roman" w:cs="Times New Roman"/>
          <w:color w:val="000000" w:themeColor="text1"/>
        </w:rPr>
        <w:t>TiN</w:t>
      </w:r>
      <w:proofErr w:type="spellEnd"/>
      <w:r w:rsidRPr="003B1AF0">
        <w:rPr>
          <w:rFonts w:ascii="Times New Roman" w:hAnsi="Times New Roman" w:cs="Times New Roman"/>
          <w:color w:val="000000" w:themeColor="text1"/>
        </w:rPr>
        <w:t xml:space="preserve"> top electrode was then selectively removed using an SC-1 solution consisting of</w:t>
      </w:r>
      <w:r>
        <w:rPr>
          <w:rFonts w:ascii="Times New Roman" w:hAnsi="Times New Roman" w:cs="Times New Roman"/>
          <w:color w:val="000000" w:themeColor="text1"/>
        </w:rPr>
        <w:t xml:space="preserve"> </w:t>
      </w:r>
      <w:r w:rsidRPr="003727CC">
        <w:rPr>
          <w:rFonts w:ascii="Times New Roman" w:hAnsi="Times New Roman" w:cs="Times New Roman"/>
          <w:color w:val="000000" w:themeColor="text1"/>
        </w:rPr>
        <w:t>H</w:t>
      </w:r>
      <w:r w:rsidRPr="00423210">
        <w:rPr>
          <w:rFonts w:ascii="Times New Roman" w:hAnsi="Times New Roman" w:cs="Times New Roman"/>
          <w:color w:val="000000" w:themeColor="text1"/>
          <w:vertAlign w:val="subscript"/>
        </w:rPr>
        <w:t>2</w:t>
      </w:r>
      <w:r w:rsidRPr="003727CC">
        <w:rPr>
          <w:rFonts w:ascii="Times New Roman" w:hAnsi="Times New Roman" w:cs="Times New Roman"/>
          <w:color w:val="000000" w:themeColor="text1"/>
        </w:rPr>
        <w:t>O/H</w:t>
      </w:r>
      <w:r w:rsidRPr="00423210">
        <w:rPr>
          <w:rFonts w:ascii="Times New Roman" w:hAnsi="Times New Roman" w:cs="Times New Roman"/>
          <w:color w:val="000000" w:themeColor="text1"/>
          <w:vertAlign w:val="subscript"/>
        </w:rPr>
        <w:t>2</w:t>
      </w:r>
      <w:r w:rsidRPr="003727CC">
        <w:rPr>
          <w:rFonts w:ascii="Times New Roman" w:hAnsi="Times New Roman" w:cs="Times New Roman"/>
          <w:color w:val="000000" w:themeColor="text1"/>
        </w:rPr>
        <w:t>O</w:t>
      </w:r>
      <w:r w:rsidRPr="00423210">
        <w:rPr>
          <w:rFonts w:ascii="Times New Roman" w:hAnsi="Times New Roman" w:cs="Times New Roman"/>
          <w:color w:val="000000" w:themeColor="text1"/>
          <w:vertAlign w:val="subscript"/>
        </w:rPr>
        <w:t>2</w:t>
      </w:r>
      <w:r w:rsidRPr="003727CC">
        <w:rPr>
          <w:rFonts w:ascii="Times New Roman" w:hAnsi="Times New Roman" w:cs="Times New Roman"/>
          <w:color w:val="000000" w:themeColor="text1"/>
        </w:rPr>
        <w:t>/NH</w:t>
      </w:r>
      <w:r w:rsidRPr="00423210">
        <w:rPr>
          <w:rFonts w:ascii="Times New Roman" w:hAnsi="Times New Roman" w:cs="Times New Roman"/>
          <w:color w:val="000000" w:themeColor="text1"/>
          <w:vertAlign w:val="subscript"/>
        </w:rPr>
        <w:t>4</w:t>
      </w:r>
      <w:r w:rsidRPr="003727CC">
        <w:rPr>
          <w:rFonts w:ascii="Times New Roman" w:hAnsi="Times New Roman" w:cs="Times New Roman"/>
          <w:color w:val="000000" w:themeColor="text1"/>
        </w:rPr>
        <w:t>OH = 5:1:1</w:t>
      </w:r>
      <w:r>
        <w:rPr>
          <w:rFonts w:ascii="Times New Roman" w:hAnsi="Times New Roman" w:cs="Times New Roman"/>
          <w:color w:val="000000" w:themeColor="text1"/>
        </w:rPr>
        <w:t xml:space="preserve"> </w:t>
      </w:r>
      <w:r w:rsidRPr="003B1AF0">
        <w:rPr>
          <w:rFonts w:ascii="Times New Roman" w:hAnsi="Times New Roman" w:cs="Times New Roman"/>
          <w:color w:val="000000" w:themeColor="text1"/>
        </w:rPr>
        <w:t>volume ratio, with the Pt pads serving as an etch mask.</w:t>
      </w:r>
      <w:r w:rsidRPr="003727CC">
        <w:rPr>
          <w:rFonts w:ascii="Times New Roman" w:hAnsi="Times New Roman" w:cs="Times New Roman"/>
          <w:color w:val="000000" w:themeColor="text1"/>
        </w:rPr>
        <w:t xml:space="preserve"> with Pt pads as masks.</w:t>
      </w:r>
      <w:r>
        <w:rPr>
          <w:rFonts w:ascii="Times New Roman" w:hAnsi="Times New Roman" w:cs="Times New Roman"/>
          <w:color w:val="000000" w:themeColor="text1"/>
        </w:rPr>
        <w:t xml:space="preserve"> </w:t>
      </w:r>
      <w:r w:rsidRPr="003B1AF0">
        <w:rPr>
          <w:rFonts w:ascii="Times New Roman" w:hAnsi="Times New Roman" w:cs="Times New Roman"/>
          <w:color w:val="000000" w:themeColor="text1"/>
        </w:rPr>
        <w:t>The HZO films were crystallized by rapid thermal annealing at 500 °C for 30 s in an N₂ ambient. Film thicknesses were determined by spectroscopic ellipsometry.</w:t>
      </w:r>
    </w:p>
    <w:p w14:paraId="5B48B81D" w14:textId="77777777" w:rsidR="00EC7A43" w:rsidRPr="00D363EE" w:rsidRDefault="00EC7A43" w:rsidP="00EC7A43">
      <w:pPr>
        <w:widowControl w:val="0"/>
        <w:tabs>
          <w:tab w:val="left" w:pos="866"/>
        </w:tabs>
        <w:autoSpaceDE w:val="0"/>
        <w:autoSpaceDN w:val="0"/>
        <w:spacing w:after="0" w:line="360" w:lineRule="auto"/>
        <w:jc w:val="both"/>
        <w:outlineLvl w:val="1"/>
        <w:rPr>
          <w:rFonts w:ascii="Times New Roman" w:hAnsi="Times New Roman" w:cs="Times New Roman"/>
          <w:b/>
          <w:bCs/>
          <w:color w:val="000000" w:themeColor="text1"/>
        </w:rPr>
      </w:pPr>
      <w:r w:rsidRPr="00D363EE">
        <w:rPr>
          <w:rFonts w:ascii="Times New Roman" w:hAnsi="Times New Roman" w:cs="Times New Roman"/>
          <w:b/>
          <w:bCs/>
          <w:color w:val="000000" w:themeColor="text1"/>
        </w:rPr>
        <w:t>Electrical Characterization</w:t>
      </w:r>
    </w:p>
    <w:p w14:paraId="0FCC29ED" w14:textId="7C53541B" w:rsidR="00EC7A43" w:rsidRDefault="00EC7A43" w:rsidP="00EC7A43">
      <w:pPr>
        <w:pStyle w:val="ListParagraph"/>
        <w:widowControl w:val="0"/>
        <w:tabs>
          <w:tab w:val="left" w:pos="866"/>
        </w:tabs>
        <w:autoSpaceDE w:val="0"/>
        <w:autoSpaceDN w:val="0"/>
        <w:spacing w:after="0" w:line="360" w:lineRule="auto"/>
        <w:ind w:left="0" w:firstLine="900"/>
        <w:jc w:val="both"/>
        <w:outlineLvl w:val="1"/>
        <w:rPr>
          <w:rFonts w:ascii="Times New Roman" w:eastAsia="Times New Roman" w:hAnsi="Times New Roman" w:cs="Times New Roman"/>
          <w:color w:val="000000" w:themeColor="text1"/>
          <w:kern w:val="0"/>
          <w14:ligatures w14:val="none"/>
        </w:rPr>
      </w:pPr>
      <w:r w:rsidRPr="00E259EB">
        <w:rPr>
          <w:rFonts w:ascii="Times New Roman" w:eastAsia="Times New Roman" w:hAnsi="Times New Roman" w:cs="Times New Roman"/>
          <w:color w:val="000000" w:themeColor="text1"/>
          <w:kern w:val="0"/>
          <w14:ligatures w14:val="none"/>
        </w:rPr>
        <w:t xml:space="preserve">Room-temperature electrical measurements were performed using a Cascade </w:t>
      </w:r>
      <w:proofErr w:type="spellStart"/>
      <w:r w:rsidRPr="00E259EB">
        <w:rPr>
          <w:rFonts w:ascii="Times New Roman" w:eastAsia="Times New Roman" w:hAnsi="Times New Roman" w:cs="Times New Roman"/>
          <w:color w:val="000000" w:themeColor="text1"/>
          <w:kern w:val="0"/>
          <w14:ligatures w14:val="none"/>
        </w:rPr>
        <w:t>Microtech</w:t>
      </w:r>
      <w:proofErr w:type="spellEnd"/>
      <w:r w:rsidRPr="00E259EB">
        <w:rPr>
          <w:rFonts w:ascii="Times New Roman" w:eastAsia="Times New Roman" w:hAnsi="Times New Roman" w:cs="Times New Roman"/>
          <w:color w:val="000000" w:themeColor="text1"/>
          <w:kern w:val="0"/>
          <w14:ligatures w14:val="none"/>
        </w:rPr>
        <w:t xml:space="preserve"> Summit 12000 probe station. Polarization</w:t>
      </w:r>
      <w:r w:rsidR="00F964F9">
        <w:rPr>
          <w:rFonts w:ascii="Times New Roman" w:eastAsia="Times New Roman" w:hAnsi="Times New Roman" w:cs="Times New Roman"/>
          <w:color w:val="000000" w:themeColor="text1"/>
          <w:kern w:val="0"/>
          <w14:ligatures w14:val="none"/>
        </w:rPr>
        <w:t>-</w:t>
      </w:r>
      <w:r w:rsidRPr="00E259EB">
        <w:rPr>
          <w:rFonts w:ascii="Times New Roman" w:eastAsia="Times New Roman" w:hAnsi="Times New Roman" w:cs="Times New Roman"/>
          <w:color w:val="000000" w:themeColor="text1"/>
          <w:kern w:val="0"/>
          <w14:ligatures w14:val="none"/>
        </w:rPr>
        <w:t>voltage (P</w:t>
      </w:r>
      <w:r w:rsidR="00F964F9">
        <w:rPr>
          <w:rFonts w:ascii="Times New Roman" w:eastAsia="Times New Roman" w:hAnsi="Times New Roman" w:cs="Times New Roman"/>
          <w:color w:val="000000" w:themeColor="text1"/>
          <w:kern w:val="0"/>
          <w14:ligatures w14:val="none"/>
        </w:rPr>
        <w:t>-</w:t>
      </w:r>
      <w:r w:rsidRPr="00E259EB">
        <w:rPr>
          <w:rFonts w:ascii="Times New Roman" w:eastAsia="Times New Roman" w:hAnsi="Times New Roman" w:cs="Times New Roman"/>
          <w:color w:val="000000" w:themeColor="text1"/>
          <w:kern w:val="0"/>
          <w14:ligatures w14:val="none"/>
        </w:rPr>
        <w:t>V) hysteresis, capacitance–voltage (C</w:t>
      </w:r>
      <w:r w:rsidR="00F964F9">
        <w:rPr>
          <w:rFonts w:ascii="Times New Roman" w:eastAsia="Times New Roman" w:hAnsi="Times New Roman" w:cs="Times New Roman"/>
          <w:color w:val="000000" w:themeColor="text1"/>
          <w:kern w:val="0"/>
          <w14:ligatures w14:val="none"/>
        </w:rPr>
        <w:t>-</w:t>
      </w:r>
      <w:r w:rsidRPr="00E259EB">
        <w:rPr>
          <w:rFonts w:ascii="Times New Roman" w:eastAsia="Times New Roman" w:hAnsi="Times New Roman" w:cs="Times New Roman"/>
          <w:color w:val="000000" w:themeColor="text1"/>
          <w:kern w:val="0"/>
          <w14:ligatures w14:val="none"/>
        </w:rPr>
        <w:t>V), and electrical cycling measurements were performed using a Keithley 4200-SCS semiconductor parameter analyzer and an HP 4156C parameter analyzer. Unless otherwise specified, P</w:t>
      </w:r>
      <w:r w:rsidR="00F964F9">
        <w:rPr>
          <w:rFonts w:ascii="Times New Roman" w:eastAsia="Times New Roman" w:hAnsi="Times New Roman" w:cs="Times New Roman"/>
          <w:color w:val="000000" w:themeColor="text1"/>
          <w:kern w:val="0"/>
          <w14:ligatures w14:val="none"/>
        </w:rPr>
        <w:t>-</w:t>
      </w:r>
      <w:r w:rsidRPr="00E259EB">
        <w:rPr>
          <w:rFonts w:ascii="Times New Roman" w:eastAsia="Times New Roman" w:hAnsi="Times New Roman" w:cs="Times New Roman"/>
          <w:color w:val="000000" w:themeColor="text1"/>
          <w:kern w:val="0"/>
          <w14:ligatures w14:val="none"/>
        </w:rPr>
        <w:t xml:space="preserve">V measurements and voltage cycling were performed using triangular waveforms with a maximum voltage of 3 V </w:t>
      </w:r>
      <w:r>
        <w:rPr>
          <w:rFonts w:ascii="Times New Roman" w:eastAsia="Times New Roman" w:hAnsi="Times New Roman" w:cs="Times New Roman"/>
          <w:color w:val="000000" w:themeColor="text1"/>
          <w:kern w:val="0"/>
          <w14:ligatures w14:val="none"/>
        </w:rPr>
        <w:t xml:space="preserve">(voltage sweep : 0 V to +3 V to -3 V) </w:t>
      </w:r>
      <w:r w:rsidRPr="00E259EB">
        <w:rPr>
          <w:rFonts w:ascii="Times New Roman" w:eastAsia="Times New Roman" w:hAnsi="Times New Roman" w:cs="Times New Roman"/>
          <w:color w:val="000000" w:themeColor="text1"/>
          <w:kern w:val="0"/>
          <w14:ligatures w14:val="none"/>
        </w:rPr>
        <w:t>and a frequency of 100 kHz</w:t>
      </w:r>
      <w:r>
        <w:rPr>
          <w:rFonts w:ascii="Times New Roman" w:eastAsia="Times New Roman" w:hAnsi="Times New Roman" w:cs="Times New Roman"/>
          <w:color w:val="000000" w:themeColor="text1"/>
          <w:kern w:val="0"/>
          <w14:ligatures w14:val="none"/>
        </w:rPr>
        <w:t>.</w:t>
      </w:r>
      <w:r>
        <w:rPr>
          <w:rFonts w:ascii="Times New Roman" w:eastAsia="Times New Roman" w:hAnsi="Times New Roman" w:cs="Times New Roman"/>
          <w:color w:val="808080" w:themeColor="background1" w:themeShade="80"/>
          <w:kern w:val="0"/>
          <w14:ligatures w14:val="none"/>
        </w:rPr>
        <w:t xml:space="preserve"> </w:t>
      </w:r>
      <w:r w:rsidRPr="005F66C5">
        <w:rPr>
          <w:rFonts w:ascii="Times New Roman" w:eastAsia="Times New Roman" w:hAnsi="Times New Roman" w:cs="Times New Roman"/>
          <w:color w:val="000000" w:themeColor="text1"/>
          <w:kern w:val="0"/>
          <w14:ligatures w14:val="none"/>
        </w:rPr>
        <w:t>The field cycling endurance measurements showed in Fig</w:t>
      </w:r>
      <w:r>
        <w:rPr>
          <w:rFonts w:ascii="Times New Roman" w:eastAsia="Times New Roman" w:hAnsi="Times New Roman" w:cs="Times New Roman"/>
          <w:color w:val="000000" w:themeColor="text1"/>
          <w:kern w:val="0"/>
          <w14:ligatures w14:val="none"/>
        </w:rPr>
        <w:t>.</w:t>
      </w:r>
      <w:r w:rsidRPr="005F66C5">
        <w:rPr>
          <w:rFonts w:ascii="Times New Roman" w:eastAsia="Times New Roman" w:hAnsi="Times New Roman" w:cs="Times New Roman"/>
          <w:color w:val="000000" w:themeColor="text1"/>
          <w:kern w:val="0"/>
          <w14:ligatures w14:val="none"/>
        </w:rPr>
        <w:t xml:space="preserve"> 6(c) up to 10</w:t>
      </w:r>
      <w:r w:rsidRPr="005F66C5">
        <w:rPr>
          <w:rFonts w:ascii="Times New Roman" w:eastAsia="Times New Roman" w:hAnsi="Times New Roman" w:cs="Times New Roman"/>
          <w:color w:val="000000" w:themeColor="text1"/>
          <w:kern w:val="0"/>
          <w:vertAlign w:val="superscript"/>
          <w14:ligatures w14:val="none"/>
        </w:rPr>
        <w:t>10</w:t>
      </w:r>
      <w:r w:rsidRPr="005F66C5">
        <w:rPr>
          <w:rFonts w:ascii="Times New Roman" w:eastAsia="Times New Roman" w:hAnsi="Times New Roman" w:cs="Times New Roman"/>
          <w:color w:val="000000" w:themeColor="text1"/>
          <w:kern w:val="0"/>
          <w14:ligatures w14:val="none"/>
        </w:rPr>
        <w:t xml:space="preserve"> cycles are performed at 200 kHz frequency to limit the measurement time. All measurements were performed on multiple capacitors (3</w:t>
      </w:r>
      <w:r w:rsidR="00F964F9">
        <w:rPr>
          <w:rFonts w:ascii="Times New Roman" w:eastAsia="Times New Roman" w:hAnsi="Times New Roman" w:cs="Times New Roman"/>
          <w:color w:val="000000" w:themeColor="text1"/>
          <w:kern w:val="0"/>
          <w14:ligatures w14:val="none"/>
        </w:rPr>
        <w:t>-</w:t>
      </w:r>
      <w:r w:rsidRPr="005F66C5">
        <w:rPr>
          <w:rFonts w:ascii="Times New Roman" w:eastAsia="Times New Roman" w:hAnsi="Times New Roman" w:cs="Times New Roman"/>
          <w:color w:val="000000" w:themeColor="text1"/>
          <w:kern w:val="0"/>
          <w14:ligatures w14:val="none"/>
        </w:rPr>
        <w:t xml:space="preserve">5 individual capacitors) fabricated </w:t>
      </w:r>
      <w:r w:rsidRPr="00B86FFD">
        <w:rPr>
          <w:rFonts w:ascii="Times New Roman" w:eastAsia="Times New Roman" w:hAnsi="Times New Roman" w:cs="Times New Roman"/>
          <w:color w:val="000000" w:themeColor="text1"/>
          <w:kern w:val="0"/>
          <w14:ligatures w14:val="none"/>
        </w:rPr>
        <w:t>on the same film, with a characteristic device-to-device reproducibility yield of approximately 90–95% for each film.</w:t>
      </w:r>
      <w:r>
        <w:rPr>
          <w:rFonts w:ascii="Times New Roman" w:eastAsia="Times New Roman" w:hAnsi="Times New Roman" w:cs="Times New Roman"/>
          <w:color w:val="000000" w:themeColor="text1"/>
          <w:kern w:val="0"/>
          <w14:ligatures w14:val="none"/>
        </w:rPr>
        <w:t xml:space="preserve"> </w:t>
      </w:r>
      <w:r w:rsidRPr="00E259EB">
        <w:rPr>
          <w:rFonts w:ascii="Times New Roman" w:eastAsia="Times New Roman" w:hAnsi="Times New Roman" w:cs="Times New Roman"/>
          <w:color w:val="000000" w:themeColor="text1"/>
          <w:kern w:val="0"/>
          <w14:ligatures w14:val="none"/>
        </w:rPr>
        <w:t>Positive-up–negative-down (PUND) measurements were used to determine the switchable polarization by separating the switching contribution from non-switching currents. PUND measurements were performed using trapezoidal voltage pulses with a maximum amplitude of 3 V, 100 ns rise and fall times, a 500 ns pulse width, and a 100 ns delay between pulses. C</w:t>
      </w:r>
      <w:r w:rsidR="00F964F9">
        <w:rPr>
          <w:rFonts w:ascii="Times New Roman" w:eastAsia="Times New Roman" w:hAnsi="Times New Roman" w:cs="Times New Roman"/>
          <w:color w:val="000000" w:themeColor="text1"/>
          <w:kern w:val="0"/>
          <w14:ligatures w14:val="none"/>
        </w:rPr>
        <w:t>-</w:t>
      </w:r>
      <w:r w:rsidRPr="00E259EB">
        <w:rPr>
          <w:rFonts w:ascii="Times New Roman" w:eastAsia="Times New Roman" w:hAnsi="Times New Roman" w:cs="Times New Roman"/>
          <w:color w:val="000000" w:themeColor="text1"/>
          <w:kern w:val="0"/>
          <w14:ligatures w14:val="none"/>
        </w:rPr>
        <w:t xml:space="preserve">V measurements were performed by sweeping the DC bias </w:t>
      </w:r>
      <w:r>
        <w:rPr>
          <w:rFonts w:ascii="Times New Roman" w:eastAsia="Times New Roman" w:hAnsi="Times New Roman" w:cs="Times New Roman"/>
          <w:color w:val="000000" w:themeColor="text1"/>
          <w:kern w:val="0"/>
          <w14:ligatures w14:val="none"/>
        </w:rPr>
        <w:lastRenderedPageBreak/>
        <w:t>from</w:t>
      </w:r>
      <w:r w:rsidRPr="00E259EB">
        <w:rPr>
          <w:rFonts w:ascii="Times New Roman" w:eastAsia="Times New Roman" w:hAnsi="Times New Roman" w:cs="Times New Roman"/>
          <w:color w:val="000000" w:themeColor="text1"/>
          <w:kern w:val="0"/>
          <w14:ligatures w14:val="none"/>
        </w:rPr>
        <w:t xml:space="preserve"> −3 </w:t>
      </w:r>
      <w:r>
        <w:rPr>
          <w:rFonts w:ascii="Times New Roman" w:eastAsia="Times New Roman" w:hAnsi="Times New Roman" w:cs="Times New Roman"/>
          <w:color w:val="000000" w:themeColor="text1"/>
          <w:kern w:val="0"/>
          <w14:ligatures w14:val="none"/>
        </w:rPr>
        <w:t>V to</w:t>
      </w:r>
      <w:r w:rsidRPr="00E259EB">
        <w:rPr>
          <w:rFonts w:ascii="Times New Roman" w:eastAsia="Times New Roman" w:hAnsi="Times New Roman" w:cs="Times New Roman"/>
          <w:color w:val="000000" w:themeColor="text1"/>
          <w:kern w:val="0"/>
          <w14:ligatures w14:val="none"/>
        </w:rPr>
        <w:t xml:space="preserve"> +3 V </w:t>
      </w:r>
      <w:r>
        <w:rPr>
          <w:rFonts w:ascii="Times New Roman" w:eastAsia="Times New Roman" w:hAnsi="Times New Roman" w:cs="Times New Roman"/>
          <w:color w:val="000000" w:themeColor="text1"/>
          <w:kern w:val="0"/>
          <w14:ligatures w14:val="none"/>
        </w:rPr>
        <w:t xml:space="preserve">and </w:t>
      </w:r>
      <w:r w:rsidRPr="0078306B">
        <w:rPr>
          <w:rFonts w:ascii="Times New Roman" w:eastAsia="Times New Roman" w:hAnsi="Times New Roman" w:cs="Times New Roman"/>
          <w:color w:val="000000" w:themeColor="text1"/>
          <w:kern w:val="0"/>
          <w14:ligatures w14:val="none"/>
        </w:rPr>
        <w:t>back</w:t>
      </w:r>
      <w:r>
        <w:rPr>
          <w:rFonts w:ascii="Times New Roman" w:eastAsia="Times New Roman" w:hAnsi="Times New Roman" w:cs="Times New Roman"/>
          <w:color w:val="000000" w:themeColor="text1"/>
          <w:kern w:val="0"/>
          <w14:ligatures w14:val="none"/>
        </w:rPr>
        <w:t>,</w:t>
      </w:r>
      <w:r w:rsidRPr="0078306B">
        <w:rPr>
          <w:rFonts w:ascii="Times New Roman" w:eastAsia="Times New Roman" w:hAnsi="Times New Roman" w:cs="Times New Roman"/>
          <w:color w:val="000000" w:themeColor="text1"/>
          <w:kern w:val="0"/>
          <w14:ligatures w14:val="none"/>
        </w:rPr>
        <w:t xml:space="preserve"> at an average rate of ~0.20 V s⁻¹ (0.06 V voltage step), </w:t>
      </w:r>
      <w:r w:rsidRPr="00E259EB">
        <w:rPr>
          <w:rFonts w:ascii="Times New Roman" w:eastAsia="Times New Roman" w:hAnsi="Times New Roman" w:cs="Times New Roman"/>
          <w:color w:val="000000" w:themeColor="text1"/>
          <w:kern w:val="0"/>
          <w14:ligatures w14:val="none"/>
        </w:rPr>
        <w:t xml:space="preserve">while applying a 30 mV-amplitude sinusoidal signal at 50 kHz. </w:t>
      </w:r>
      <w:r w:rsidRPr="00E04303">
        <w:rPr>
          <w:rFonts w:ascii="Times New Roman" w:eastAsia="Times New Roman" w:hAnsi="Times New Roman" w:cs="Times New Roman"/>
          <w:color w:val="000000" w:themeColor="text1"/>
          <w:kern w:val="0"/>
          <w14:ligatures w14:val="none"/>
        </w:rPr>
        <w:t>Temperature-dependent electrical measurements were performed using a Lakeshore Model CPX cryogenic probe station integrated with a Keithley 4200-SCS parameter analyzer. Measurements were conducted between 12.5 and 296 K under a base pressure of approximately 1 × 10</w:t>
      </w:r>
      <w:r w:rsidR="00F964F9" w:rsidRPr="00F964F9">
        <w:rPr>
          <w:rFonts w:ascii="Times New Roman" w:eastAsia="Times New Roman" w:hAnsi="Times New Roman" w:cs="Times New Roman"/>
          <w:color w:val="000000" w:themeColor="text1"/>
          <w:kern w:val="0"/>
          <w:vertAlign w:val="superscript"/>
          <w14:ligatures w14:val="none"/>
        </w:rPr>
        <w:t>-6</w:t>
      </w:r>
      <w:r w:rsidRPr="00E04303">
        <w:rPr>
          <w:rFonts w:ascii="Times New Roman" w:eastAsia="Times New Roman" w:hAnsi="Times New Roman" w:cs="Times New Roman"/>
          <w:color w:val="000000" w:themeColor="text1"/>
          <w:kern w:val="0"/>
          <w14:ligatures w14:val="none"/>
        </w:rPr>
        <w:t xml:space="preserve"> Torr. The system was initially cooled to 12.5 K and allowed to stabilize before electrical measurements were performed. Measurements at higher temperatures were subsequently acquired while warming the samples from 12.5 to 296 K, with a stabilization period of 1 h</w:t>
      </w:r>
      <w:r>
        <w:rPr>
          <w:rFonts w:ascii="Times New Roman" w:eastAsia="Times New Roman" w:hAnsi="Times New Roman" w:cs="Times New Roman"/>
          <w:color w:val="000000" w:themeColor="text1"/>
          <w:kern w:val="0"/>
          <w14:ligatures w14:val="none"/>
        </w:rPr>
        <w:t>our</w:t>
      </w:r>
      <w:r w:rsidRPr="00E04303">
        <w:rPr>
          <w:rFonts w:ascii="Times New Roman" w:eastAsia="Times New Roman" w:hAnsi="Times New Roman" w:cs="Times New Roman"/>
          <w:color w:val="000000" w:themeColor="text1"/>
          <w:kern w:val="0"/>
          <w14:ligatures w14:val="none"/>
        </w:rPr>
        <w:t xml:space="preserve"> at each temperature.</w:t>
      </w:r>
      <w:r>
        <w:rPr>
          <w:rFonts w:ascii="Times New Roman" w:eastAsia="Times New Roman" w:hAnsi="Times New Roman" w:cs="Times New Roman"/>
          <w:color w:val="000000" w:themeColor="text1"/>
          <w:kern w:val="0"/>
          <w14:ligatures w14:val="none"/>
        </w:rPr>
        <w:t xml:space="preserve"> </w:t>
      </w:r>
      <w:r w:rsidRPr="00E04303">
        <w:rPr>
          <w:rFonts w:ascii="Times New Roman" w:eastAsia="Times New Roman" w:hAnsi="Times New Roman" w:cs="Times New Roman"/>
          <w:color w:val="000000" w:themeColor="text1"/>
          <w:kern w:val="0"/>
          <w14:ligatures w14:val="none"/>
        </w:rPr>
        <w:t>P</w:t>
      </w:r>
      <w:r w:rsidR="00F964F9">
        <w:rPr>
          <w:rFonts w:ascii="Times New Roman" w:eastAsia="Times New Roman" w:hAnsi="Times New Roman" w:cs="Times New Roman"/>
          <w:color w:val="000000" w:themeColor="text1"/>
          <w:kern w:val="0"/>
          <w14:ligatures w14:val="none"/>
        </w:rPr>
        <w:t>-</w:t>
      </w:r>
      <w:r w:rsidRPr="00E04303">
        <w:rPr>
          <w:rFonts w:ascii="Times New Roman" w:eastAsia="Times New Roman" w:hAnsi="Times New Roman" w:cs="Times New Roman"/>
          <w:color w:val="000000" w:themeColor="text1"/>
          <w:kern w:val="0"/>
          <w14:ligatures w14:val="none"/>
        </w:rPr>
        <w:t>V hysteresis and electrical cycling measurements at different temperatures were performed using the measurement parameters described above, unless otherwise specified. The same capacitor devices were monitored during the temperature-dependent measurements to minimize variations associated with device-to-device differences.</w:t>
      </w:r>
    </w:p>
    <w:p w14:paraId="2671171B" w14:textId="77777777" w:rsidR="00EC7A43" w:rsidRPr="00D363EE" w:rsidRDefault="00EC7A43" w:rsidP="00EC7A43">
      <w:pPr>
        <w:widowControl w:val="0"/>
        <w:tabs>
          <w:tab w:val="left" w:pos="866"/>
        </w:tabs>
        <w:autoSpaceDE w:val="0"/>
        <w:autoSpaceDN w:val="0"/>
        <w:spacing w:after="0" w:line="360" w:lineRule="auto"/>
        <w:jc w:val="both"/>
        <w:outlineLvl w:val="1"/>
        <w:rPr>
          <w:rFonts w:ascii="Times New Roman" w:eastAsia="Times New Roman" w:hAnsi="Times New Roman" w:cs="Times New Roman"/>
          <w:b/>
          <w:bCs/>
          <w:color w:val="808080" w:themeColor="background1" w:themeShade="80"/>
          <w:kern w:val="0"/>
          <w14:ligatures w14:val="none"/>
        </w:rPr>
      </w:pPr>
      <w:r w:rsidRPr="00D363EE">
        <w:rPr>
          <w:rFonts w:ascii="Times New Roman" w:hAnsi="Times New Roman" w:cs="Times New Roman"/>
          <w:b/>
          <w:bCs/>
          <w:color w:val="000000" w:themeColor="text1"/>
        </w:rPr>
        <w:t>Synchrotron X-ray diffraction measurements</w:t>
      </w:r>
    </w:p>
    <w:p w14:paraId="5B902E83" w14:textId="6954B609" w:rsidR="00EC7A43" w:rsidRPr="00553468" w:rsidRDefault="00EC7A43" w:rsidP="002D30FE">
      <w:pPr>
        <w:widowControl w:val="0"/>
        <w:tabs>
          <w:tab w:val="left" w:pos="866"/>
        </w:tabs>
        <w:autoSpaceDE w:val="0"/>
        <w:autoSpaceDN w:val="0"/>
        <w:spacing w:after="0" w:line="360" w:lineRule="auto"/>
        <w:jc w:val="both"/>
        <w:outlineLvl w:val="1"/>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ab/>
      </w:r>
      <w:r w:rsidRPr="00431ABF">
        <w:rPr>
          <w:rFonts w:ascii="Times New Roman" w:eastAsia="Times New Roman" w:hAnsi="Times New Roman" w:cs="Times New Roman"/>
          <w:color w:val="000000" w:themeColor="text1"/>
          <w:kern w:val="0"/>
          <w14:ligatures w14:val="none"/>
        </w:rPr>
        <w:t>Synchrotron X-ray diffraction measurements were performed at beamline 17-2 of the Stanford Synchrotron Radiation Lightsource (SSRL). Measurements were conducted in grazing-incidence geometry using an incident X-ray energy of 7.6 keV</w:t>
      </w:r>
      <w:r w:rsidR="00431ABF" w:rsidRPr="00431ABF">
        <w:rPr>
          <w:rFonts w:ascii="Times New Roman" w:eastAsia="Times New Roman" w:hAnsi="Times New Roman" w:cs="Times New Roman"/>
          <w:color w:val="000000" w:themeColor="text1"/>
          <w:kern w:val="0"/>
          <w14:ligatures w14:val="none"/>
        </w:rPr>
        <w:t xml:space="preserve"> (λ = 1.630 Å)</w:t>
      </w:r>
      <w:r w:rsidRPr="00431ABF">
        <w:rPr>
          <w:rFonts w:ascii="Times New Roman" w:eastAsia="Times New Roman" w:hAnsi="Times New Roman" w:cs="Times New Roman"/>
          <w:color w:val="000000" w:themeColor="text1"/>
          <w:kern w:val="0"/>
          <w14:ligatures w14:val="none"/>
        </w:rPr>
        <w:t xml:space="preserve"> and an incidence angle of 1.75°. High-resolution diffraction patterns were collected using a </w:t>
      </w:r>
      <w:proofErr w:type="spellStart"/>
      <w:r w:rsidR="00431ABF" w:rsidRPr="00431ABF">
        <w:rPr>
          <w:rFonts w:ascii="Times New Roman" w:eastAsia="Times New Roman" w:hAnsi="Times New Roman" w:cs="Times New Roman"/>
          <w:color w:val="000000" w:themeColor="text1"/>
          <w:kern w:val="0"/>
          <w14:ligatures w14:val="none"/>
        </w:rPr>
        <w:t>a</w:t>
      </w:r>
      <w:proofErr w:type="spellEnd"/>
      <w:r w:rsidR="00431ABF" w:rsidRPr="00431ABF">
        <w:rPr>
          <w:rFonts w:ascii="Times New Roman" w:eastAsia="Times New Roman" w:hAnsi="Times New Roman" w:cs="Times New Roman"/>
          <w:color w:val="000000" w:themeColor="text1"/>
          <w:kern w:val="0"/>
          <w14:ligatures w14:val="none"/>
        </w:rPr>
        <w:t xml:space="preserve"> Pilatus 100k detector (195 × 487 pixels, 172 µm pitch) on the 2θ detector arm </w:t>
      </w:r>
      <w:r w:rsidRPr="00431ABF">
        <w:rPr>
          <w:rFonts w:ascii="Times New Roman" w:eastAsia="Times New Roman" w:hAnsi="Times New Roman" w:cs="Times New Roman"/>
          <w:color w:val="000000" w:themeColor="text1"/>
          <w:kern w:val="0"/>
          <w14:ligatures w14:val="none"/>
        </w:rPr>
        <w:t xml:space="preserve">over a scattering-vector (Q) range of </w:t>
      </w:r>
      <w:r w:rsidRPr="00553468">
        <w:rPr>
          <w:rFonts w:ascii="Times New Roman" w:eastAsia="Times New Roman" w:hAnsi="Times New Roman" w:cs="Times New Roman"/>
          <w:color w:val="000000" w:themeColor="text1"/>
          <w:kern w:val="0"/>
          <w14:ligatures w14:val="none"/>
        </w:rPr>
        <w:t>approximately 1.8</w:t>
      </w:r>
      <w:r w:rsidR="00F964F9" w:rsidRPr="00553468">
        <w:rPr>
          <w:rFonts w:ascii="Times New Roman" w:eastAsia="Times New Roman" w:hAnsi="Times New Roman" w:cs="Times New Roman"/>
          <w:color w:val="000000" w:themeColor="text1"/>
          <w:kern w:val="0"/>
          <w14:ligatures w14:val="none"/>
        </w:rPr>
        <w:t>-</w:t>
      </w:r>
      <w:r w:rsidRPr="00553468">
        <w:rPr>
          <w:rFonts w:ascii="Times New Roman" w:eastAsia="Times New Roman" w:hAnsi="Times New Roman" w:cs="Times New Roman"/>
          <w:color w:val="000000" w:themeColor="text1"/>
          <w:kern w:val="0"/>
          <w14:ligatures w14:val="none"/>
        </w:rPr>
        <w:t>3.6 Å</w:t>
      </w:r>
      <w:r w:rsidR="00F964F9" w:rsidRPr="00553468">
        <w:rPr>
          <w:rFonts w:ascii="Times New Roman" w:eastAsia="Times New Roman" w:hAnsi="Times New Roman" w:cs="Times New Roman"/>
          <w:color w:val="000000" w:themeColor="text1"/>
          <w:kern w:val="0"/>
          <w:vertAlign w:val="superscript"/>
          <w14:ligatures w14:val="none"/>
        </w:rPr>
        <w:t>-1</w:t>
      </w:r>
      <w:r w:rsidRPr="00553468">
        <w:rPr>
          <w:rFonts w:ascii="Times New Roman" w:eastAsia="Times New Roman" w:hAnsi="Times New Roman" w:cs="Times New Roman"/>
          <w:color w:val="000000" w:themeColor="text1"/>
          <w:kern w:val="0"/>
          <w14:ligatures w14:val="none"/>
        </w:rPr>
        <w:t xml:space="preserve">. </w:t>
      </w:r>
    </w:p>
    <w:p w14:paraId="004ABBD3" w14:textId="27D4DA21" w:rsidR="00431ABF" w:rsidRPr="00431ABF" w:rsidRDefault="00431ABF" w:rsidP="002D30FE">
      <w:pPr>
        <w:widowControl w:val="0"/>
        <w:tabs>
          <w:tab w:val="left" w:pos="866"/>
        </w:tabs>
        <w:autoSpaceDE w:val="0"/>
        <w:autoSpaceDN w:val="0"/>
        <w:spacing w:after="0" w:line="360" w:lineRule="auto"/>
        <w:jc w:val="both"/>
        <w:outlineLvl w:val="1"/>
        <w:rPr>
          <w:rFonts w:ascii="Times New Roman" w:eastAsia="Times New Roman" w:hAnsi="Times New Roman" w:cs="Times New Roman"/>
          <w:color w:val="000000" w:themeColor="text1"/>
          <w:kern w:val="0"/>
          <w14:ligatures w14:val="none"/>
        </w:rPr>
      </w:pPr>
      <w:r w:rsidRPr="00553468">
        <w:rPr>
          <w:rFonts w:ascii="Times New Roman" w:eastAsia="Times New Roman" w:hAnsi="Times New Roman" w:cs="Times New Roman"/>
          <w:color w:val="000000" w:themeColor="text1"/>
          <w:kern w:val="0"/>
          <w14:ligatures w14:val="none"/>
        </w:rPr>
        <w:tab/>
        <w:t xml:space="preserve">The detector geometry was calibrated from a direct-beam scan: the attenuated beam was stepped across the detector by incrementing 2θ, a Gaussian was fitted to the beam profile in each frame, and a linear fit of fitted peak position against detector angle gave the angular size of one pixel. This yielded a sample-to-detector distance of 995.4 mm (5787.5 pixels), with the beam </w:t>
      </w:r>
      <w:proofErr w:type="spellStart"/>
      <w:r w:rsidRPr="00553468">
        <w:rPr>
          <w:rFonts w:ascii="Times New Roman" w:eastAsia="Times New Roman" w:hAnsi="Times New Roman" w:cs="Times New Roman"/>
          <w:color w:val="000000" w:themeColor="text1"/>
          <w:kern w:val="0"/>
          <w14:ligatures w14:val="none"/>
        </w:rPr>
        <w:t>centre</w:t>
      </w:r>
      <w:proofErr w:type="spellEnd"/>
      <w:r w:rsidRPr="00553468">
        <w:rPr>
          <w:rFonts w:ascii="Times New Roman" w:eastAsia="Times New Roman" w:hAnsi="Times New Roman" w:cs="Times New Roman"/>
          <w:color w:val="000000" w:themeColor="text1"/>
          <w:kern w:val="0"/>
          <w14:ligatures w14:val="none"/>
        </w:rPr>
        <w:t xml:space="preserve"> at pixel (243, 97). No powder standard was used, so the 2θ scale rests on the accuracy of the detector-arm motor</w:t>
      </w:r>
      <w:r w:rsidR="002D30FE" w:rsidRPr="00553468">
        <w:rPr>
          <w:rFonts w:ascii="Times New Roman" w:eastAsia="Times New Roman" w:hAnsi="Times New Roman" w:cs="Times New Roman"/>
          <w:color w:val="000000" w:themeColor="text1"/>
          <w:kern w:val="0"/>
          <w14:ligatures w14:val="none"/>
        </w:rPr>
        <w:t xml:space="preserve">. </w:t>
      </w:r>
      <w:r w:rsidRPr="00553468">
        <w:rPr>
          <w:rFonts w:ascii="Times New Roman" w:eastAsia="Times New Roman" w:hAnsi="Times New Roman" w:cs="Times New Roman"/>
          <w:color w:val="000000" w:themeColor="text1"/>
          <w:kern w:val="0"/>
          <w14:ligatures w14:val="none"/>
        </w:rPr>
        <w:t xml:space="preserve">For each diffraction scan, every frame was normalized to the monitor counts and assigned its own geometry from the recorded 2θ. Frames were then merged into a single I(q) pattern using </w:t>
      </w:r>
      <w:proofErr w:type="spellStart"/>
      <w:r w:rsidRPr="00553468">
        <w:rPr>
          <w:rFonts w:ascii="Times New Roman" w:eastAsia="Times New Roman" w:hAnsi="Times New Roman" w:cs="Times New Roman"/>
          <w:color w:val="000000" w:themeColor="text1"/>
          <w:kern w:val="0"/>
          <w14:ligatures w14:val="none"/>
        </w:rPr>
        <w:t>pyFAI's</w:t>
      </w:r>
      <w:proofErr w:type="spellEnd"/>
      <w:r w:rsidRPr="00553468">
        <w:rPr>
          <w:rFonts w:ascii="Times New Roman" w:eastAsia="Times New Roman" w:hAnsi="Times New Roman" w:cs="Times New Roman"/>
          <w:color w:val="000000" w:themeColor="text1"/>
          <w:kern w:val="0"/>
          <w14:ligatures w14:val="none"/>
        </w:rPr>
        <w:t xml:space="preserve"> </w:t>
      </w:r>
      <w:r w:rsidR="002D30FE" w:rsidRPr="00553468">
        <w:rPr>
          <w:rFonts w:ascii="Times New Roman" w:eastAsia="Times New Roman" w:hAnsi="Times New Roman" w:cs="Times New Roman"/>
          <w:color w:val="000000" w:themeColor="text1"/>
          <w:kern w:val="0"/>
          <w14:ligatures w14:val="none"/>
        </w:rPr>
        <w:t>m</w:t>
      </w:r>
      <w:r w:rsidRPr="00553468">
        <w:rPr>
          <w:rFonts w:ascii="Times New Roman" w:eastAsia="Times New Roman" w:hAnsi="Times New Roman" w:cs="Times New Roman"/>
          <w:color w:val="000000" w:themeColor="text1"/>
          <w:kern w:val="0"/>
          <w14:ligatures w14:val="none"/>
        </w:rPr>
        <w:t>ulti</w:t>
      </w:r>
      <w:r w:rsidR="002D30FE" w:rsidRPr="00553468">
        <w:rPr>
          <w:rFonts w:ascii="Times New Roman" w:eastAsia="Times New Roman" w:hAnsi="Times New Roman" w:cs="Times New Roman"/>
          <w:color w:val="000000" w:themeColor="text1"/>
          <w:kern w:val="0"/>
          <w14:ligatures w14:val="none"/>
        </w:rPr>
        <w:t>-g</w:t>
      </w:r>
      <w:r w:rsidRPr="00553468">
        <w:rPr>
          <w:rFonts w:ascii="Times New Roman" w:eastAsia="Times New Roman" w:hAnsi="Times New Roman" w:cs="Times New Roman"/>
          <w:color w:val="000000" w:themeColor="text1"/>
          <w:kern w:val="0"/>
          <w14:ligatures w14:val="none"/>
        </w:rPr>
        <w:t>eometry integrator</w:t>
      </w:r>
      <w:r w:rsidR="002D30FE" w:rsidRPr="00553468">
        <w:rPr>
          <w:rFonts w:ascii="Times New Roman" w:eastAsia="Times New Roman" w:hAnsi="Times New Roman" w:cs="Times New Roman"/>
          <w:color w:val="000000" w:themeColor="text1"/>
          <w:kern w:val="0"/>
          <w14:ligatures w14:val="none"/>
        </w:rPr>
        <w:t xml:space="preserve"> </w:t>
      </w:r>
      <w:r w:rsidRPr="00553468">
        <w:rPr>
          <w:rFonts w:ascii="Times New Roman" w:eastAsia="Times New Roman" w:hAnsi="Times New Roman" w:cs="Times New Roman"/>
          <w:color w:val="000000" w:themeColor="text1"/>
          <w:kern w:val="0"/>
          <w14:ligatures w14:val="none"/>
        </w:rPr>
        <w:t>with bounding-box pixel splitting, in 3000 uniform bins over q = 1.5–4.3 Å⁻¹. Uncertainties were estimated as √I.</w:t>
      </w:r>
    </w:p>
    <w:p w14:paraId="409906B6" w14:textId="0808D97E" w:rsidR="00431ABF" w:rsidRDefault="002D30FE" w:rsidP="002D30FE">
      <w:pPr>
        <w:widowControl w:val="0"/>
        <w:tabs>
          <w:tab w:val="left" w:pos="866"/>
        </w:tabs>
        <w:autoSpaceDE w:val="0"/>
        <w:autoSpaceDN w:val="0"/>
        <w:spacing w:after="0" w:line="360" w:lineRule="auto"/>
        <w:jc w:val="both"/>
        <w:outlineLvl w:val="1"/>
        <w:rPr>
          <w:rFonts w:ascii="Times New Roman" w:eastAsia="Times New Roman" w:hAnsi="Times New Roman" w:cs="Times New Roman"/>
          <w:color w:val="0070C0"/>
          <w:kern w:val="0"/>
          <w14:ligatures w14:val="none"/>
        </w:rPr>
      </w:pPr>
      <w:r>
        <w:rPr>
          <w:rFonts w:ascii="Times New Roman" w:eastAsia="Times New Roman" w:hAnsi="Times New Roman" w:cs="Times New Roman"/>
          <w:color w:val="000000" w:themeColor="text1"/>
          <w:kern w:val="0"/>
          <w14:ligatures w14:val="none"/>
        </w:rPr>
        <w:tab/>
      </w:r>
      <w:r w:rsidR="00EC7A43" w:rsidRPr="00E04303">
        <w:rPr>
          <w:rFonts w:ascii="Times New Roman" w:eastAsia="Times New Roman" w:hAnsi="Times New Roman" w:cs="Times New Roman"/>
          <w:color w:val="000000" w:themeColor="text1"/>
          <w:kern w:val="0"/>
          <w14:ligatures w14:val="none"/>
        </w:rPr>
        <w:t xml:space="preserve">For in-situ </w:t>
      </w:r>
      <w:r w:rsidR="00436DF9">
        <w:rPr>
          <w:rFonts w:ascii="Times New Roman" w:eastAsia="Times New Roman" w:hAnsi="Times New Roman" w:cs="Times New Roman"/>
          <w:color w:val="000000" w:themeColor="text1"/>
          <w:kern w:val="0"/>
          <w14:ligatures w14:val="none"/>
        </w:rPr>
        <w:t xml:space="preserve">cryogenic </w:t>
      </w:r>
      <w:r w:rsidR="00EC7A43" w:rsidRPr="00E04303">
        <w:rPr>
          <w:rFonts w:ascii="Times New Roman" w:eastAsia="Times New Roman" w:hAnsi="Times New Roman" w:cs="Times New Roman"/>
          <w:color w:val="000000" w:themeColor="text1"/>
          <w:kern w:val="0"/>
          <w14:ligatures w14:val="none"/>
        </w:rPr>
        <w:t xml:space="preserve">temperature-dependent measurements, the samples were mounted in a sample holder enclosed by a beryllium vacuum dome and cooled using liquid helium. The sample temperature was controlled using a temperature controller and allowed to stabilize at each </w:t>
      </w:r>
      <w:r w:rsidR="00EC7A43" w:rsidRPr="00E04303">
        <w:rPr>
          <w:rFonts w:ascii="Times New Roman" w:eastAsia="Times New Roman" w:hAnsi="Times New Roman" w:cs="Times New Roman"/>
          <w:color w:val="000000" w:themeColor="text1"/>
          <w:kern w:val="0"/>
          <w14:ligatures w14:val="none"/>
        </w:rPr>
        <w:lastRenderedPageBreak/>
        <w:t>measurement temperature before diffraction data were acquired. The minimum temperature accessible with this diffraction setup was approximately 50 K.</w:t>
      </w:r>
      <w:r w:rsidR="00EC7A43">
        <w:rPr>
          <w:rFonts w:ascii="Times New Roman" w:eastAsia="Times New Roman" w:hAnsi="Times New Roman" w:cs="Times New Roman"/>
          <w:color w:val="000000" w:themeColor="text1"/>
          <w:kern w:val="0"/>
          <w14:ligatures w14:val="none"/>
        </w:rPr>
        <w:t xml:space="preserve"> </w:t>
      </w:r>
      <w:r w:rsidR="00EC7A43" w:rsidRPr="00E04303">
        <w:rPr>
          <w:rFonts w:ascii="Times New Roman" w:eastAsia="Times New Roman" w:hAnsi="Times New Roman" w:cs="Times New Roman"/>
          <w:color w:val="000000" w:themeColor="text1"/>
          <w:kern w:val="0"/>
          <w14:ligatures w14:val="none"/>
        </w:rPr>
        <w:t>The diffraction measurements were performed while varying the sample temperature to monitor changes in the HZO crystal structure. The resulting diffraction patterns were analyzed as a function of (Q) to track temperature-dependent changes in the positions and intensities of the HZO diffraction features.</w:t>
      </w:r>
      <w:r w:rsidR="00EC7A43" w:rsidRPr="00A35951">
        <w:rPr>
          <w:rFonts w:ascii="Times New Roman" w:eastAsia="Times New Roman" w:hAnsi="Times New Roman" w:cs="Times New Roman"/>
          <w:color w:val="0070C0"/>
          <w:kern w:val="0"/>
          <w14:ligatures w14:val="none"/>
        </w:rPr>
        <w:t xml:space="preserve"> </w:t>
      </w:r>
    </w:p>
    <w:p w14:paraId="481A3E16" w14:textId="77777777" w:rsidR="00A50EB6" w:rsidRDefault="00A50EB6" w:rsidP="002D30FE">
      <w:pPr>
        <w:widowControl w:val="0"/>
        <w:tabs>
          <w:tab w:val="left" w:pos="866"/>
        </w:tabs>
        <w:autoSpaceDE w:val="0"/>
        <w:autoSpaceDN w:val="0"/>
        <w:spacing w:after="0" w:line="360" w:lineRule="auto"/>
        <w:jc w:val="both"/>
        <w:outlineLvl w:val="1"/>
        <w:rPr>
          <w:rFonts w:ascii="Times New Roman" w:eastAsia="Times New Roman" w:hAnsi="Times New Roman" w:cs="Times New Roman"/>
          <w:color w:val="0070C0"/>
          <w:kern w:val="0"/>
          <w14:ligatures w14:val="none"/>
        </w:rPr>
      </w:pPr>
    </w:p>
    <w:p w14:paraId="6C174492" w14:textId="77777777" w:rsidR="00A50EB6" w:rsidRDefault="00A50EB6" w:rsidP="00A50EB6">
      <w:pPr>
        <w:spacing w:line="360" w:lineRule="auto"/>
        <w:jc w:val="both"/>
        <w:rPr>
          <w:rFonts w:ascii="Times New Roman" w:hAnsi="Times New Roman" w:cs="Times New Roman"/>
          <w:b/>
          <w:bCs/>
        </w:rPr>
      </w:pPr>
    </w:p>
    <w:p w14:paraId="67BDAA04" w14:textId="77777777" w:rsidR="00A50EB6" w:rsidRDefault="00A50EB6" w:rsidP="00A50EB6">
      <w:pPr>
        <w:spacing w:line="360" w:lineRule="auto"/>
        <w:jc w:val="both"/>
        <w:rPr>
          <w:rFonts w:ascii="Times New Roman" w:hAnsi="Times New Roman" w:cs="Times New Roman"/>
          <w:b/>
          <w:bCs/>
        </w:rPr>
      </w:pPr>
    </w:p>
    <w:p w14:paraId="406A998B" w14:textId="77777777" w:rsidR="00A50EB6" w:rsidRDefault="00A50EB6" w:rsidP="00A50EB6">
      <w:pPr>
        <w:spacing w:line="360" w:lineRule="auto"/>
        <w:jc w:val="both"/>
        <w:rPr>
          <w:rFonts w:ascii="Times New Roman" w:hAnsi="Times New Roman" w:cs="Times New Roman"/>
          <w:b/>
          <w:bCs/>
        </w:rPr>
      </w:pPr>
    </w:p>
    <w:p w14:paraId="6626F103" w14:textId="77777777" w:rsidR="00A50EB6" w:rsidRDefault="00A50EB6" w:rsidP="00A50EB6">
      <w:pPr>
        <w:spacing w:line="360" w:lineRule="auto"/>
        <w:jc w:val="both"/>
        <w:rPr>
          <w:rFonts w:ascii="Times New Roman" w:hAnsi="Times New Roman" w:cs="Times New Roman"/>
          <w:b/>
          <w:bCs/>
        </w:rPr>
      </w:pPr>
    </w:p>
    <w:p w14:paraId="2F81E675" w14:textId="77777777" w:rsidR="00A50EB6" w:rsidRDefault="00A50EB6" w:rsidP="00A50EB6">
      <w:pPr>
        <w:spacing w:line="360" w:lineRule="auto"/>
        <w:jc w:val="both"/>
        <w:rPr>
          <w:rFonts w:ascii="Times New Roman" w:hAnsi="Times New Roman" w:cs="Times New Roman"/>
          <w:b/>
          <w:bCs/>
        </w:rPr>
      </w:pPr>
    </w:p>
    <w:p w14:paraId="42D4D029" w14:textId="77777777" w:rsidR="00A50EB6" w:rsidRDefault="00A50EB6" w:rsidP="00A50EB6">
      <w:pPr>
        <w:spacing w:line="360" w:lineRule="auto"/>
        <w:jc w:val="both"/>
        <w:rPr>
          <w:rFonts w:ascii="Times New Roman" w:hAnsi="Times New Roman" w:cs="Times New Roman"/>
          <w:b/>
          <w:bCs/>
        </w:rPr>
      </w:pPr>
    </w:p>
    <w:p w14:paraId="0B5EBD78" w14:textId="77777777" w:rsidR="00A50EB6" w:rsidRDefault="00A50EB6" w:rsidP="00A50EB6">
      <w:pPr>
        <w:spacing w:line="360" w:lineRule="auto"/>
        <w:jc w:val="both"/>
        <w:rPr>
          <w:rFonts w:ascii="Times New Roman" w:hAnsi="Times New Roman" w:cs="Times New Roman"/>
          <w:b/>
          <w:bCs/>
        </w:rPr>
      </w:pPr>
    </w:p>
    <w:p w14:paraId="66CF688D" w14:textId="77777777" w:rsidR="00A50EB6" w:rsidRDefault="00A50EB6" w:rsidP="00A50EB6">
      <w:pPr>
        <w:spacing w:line="360" w:lineRule="auto"/>
        <w:jc w:val="both"/>
        <w:rPr>
          <w:rFonts w:ascii="Times New Roman" w:hAnsi="Times New Roman" w:cs="Times New Roman"/>
          <w:b/>
          <w:bCs/>
        </w:rPr>
      </w:pPr>
    </w:p>
    <w:p w14:paraId="7615A2C5" w14:textId="77777777" w:rsidR="00A50EB6" w:rsidRDefault="00A50EB6" w:rsidP="00A50EB6">
      <w:pPr>
        <w:spacing w:line="360" w:lineRule="auto"/>
        <w:jc w:val="both"/>
        <w:rPr>
          <w:rFonts w:ascii="Times New Roman" w:hAnsi="Times New Roman" w:cs="Times New Roman"/>
          <w:b/>
          <w:bCs/>
        </w:rPr>
      </w:pPr>
    </w:p>
    <w:p w14:paraId="55196F86" w14:textId="77777777" w:rsidR="00A50EB6" w:rsidRDefault="00A50EB6" w:rsidP="00A50EB6">
      <w:pPr>
        <w:spacing w:line="360" w:lineRule="auto"/>
        <w:jc w:val="both"/>
        <w:rPr>
          <w:rFonts w:ascii="Times New Roman" w:hAnsi="Times New Roman" w:cs="Times New Roman"/>
          <w:b/>
          <w:bCs/>
        </w:rPr>
      </w:pPr>
    </w:p>
    <w:p w14:paraId="411D0B16" w14:textId="77777777" w:rsidR="00A50EB6" w:rsidRDefault="00A50EB6" w:rsidP="00A50EB6">
      <w:pPr>
        <w:spacing w:line="360" w:lineRule="auto"/>
        <w:jc w:val="both"/>
        <w:rPr>
          <w:rFonts w:ascii="Times New Roman" w:hAnsi="Times New Roman" w:cs="Times New Roman"/>
          <w:b/>
          <w:bCs/>
        </w:rPr>
      </w:pPr>
    </w:p>
    <w:p w14:paraId="19B74519" w14:textId="77777777" w:rsidR="00A50EB6" w:rsidRDefault="00A50EB6" w:rsidP="00A50EB6">
      <w:pPr>
        <w:spacing w:line="360" w:lineRule="auto"/>
        <w:jc w:val="both"/>
        <w:rPr>
          <w:rFonts w:ascii="Times New Roman" w:hAnsi="Times New Roman" w:cs="Times New Roman"/>
          <w:b/>
          <w:bCs/>
        </w:rPr>
      </w:pPr>
    </w:p>
    <w:p w14:paraId="5E89CC54" w14:textId="77777777" w:rsidR="00A50EB6" w:rsidRDefault="00A50EB6" w:rsidP="00A50EB6">
      <w:pPr>
        <w:spacing w:line="360" w:lineRule="auto"/>
        <w:jc w:val="both"/>
        <w:rPr>
          <w:rFonts w:ascii="Times New Roman" w:hAnsi="Times New Roman" w:cs="Times New Roman"/>
          <w:b/>
          <w:bCs/>
        </w:rPr>
      </w:pPr>
    </w:p>
    <w:p w14:paraId="68B8F7B2" w14:textId="77777777" w:rsidR="00A50EB6" w:rsidRDefault="00A50EB6" w:rsidP="00A50EB6">
      <w:pPr>
        <w:spacing w:line="360" w:lineRule="auto"/>
        <w:jc w:val="both"/>
        <w:rPr>
          <w:rFonts w:ascii="Times New Roman" w:hAnsi="Times New Roman" w:cs="Times New Roman"/>
          <w:b/>
          <w:bCs/>
        </w:rPr>
      </w:pPr>
    </w:p>
    <w:p w14:paraId="6A7E3ACC" w14:textId="77777777" w:rsidR="00A50EB6" w:rsidRDefault="00A50EB6" w:rsidP="00A50EB6">
      <w:pPr>
        <w:spacing w:line="360" w:lineRule="auto"/>
        <w:jc w:val="both"/>
        <w:rPr>
          <w:rFonts w:ascii="Times New Roman" w:hAnsi="Times New Roman" w:cs="Times New Roman"/>
          <w:b/>
          <w:bCs/>
        </w:rPr>
      </w:pPr>
    </w:p>
    <w:p w14:paraId="00A3FAFF" w14:textId="77777777" w:rsidR="00A50EB6" w:rsidRDefault="00A50EB6" w:rsidP="00A50EB6">
      <w:pPr>
        <w:spacing w:line="360" w:lineRule="auto"/>
        <w:jc w:val="both"/>
        <w:rPr>
          <w:rFonts w:ascii="Times New Roman" w:hAnsi="Times New Roman" w:cs="Times New Roman"/>
          <w:b/>
          <w:bCs/>
        </w:rPr>
      </w:pPr>
    </w:p>
    <w:p w14:paraId="1FFCA8F6" w14:textId="77777777" w:rsidR="00A50EB6" w:rsidRDefault="00A50EB6" w:rsidP="00A50EB6">
      <w:pPr>
        <w:spacing w:line="360" w:lineRule="auto"/>
        <w:jc w:val="both"/>
        <w:rPr>
          <w:rFonts w:ascii="Times New Roman" w:hAnsi="Times New Roman" w:cs="Times New Roman"/>
          <w:b/>
          <w:bCs/>
        </w:rPr>
      </w:pPr>
    </w:p>
    <w:p w14:paraId="59EE5EEA" w14:textId="77777777" w:rsidR="00A50EB6" w:rsidRDefault="00A50EB6" w:rsidP="00A50EB6">
      <w:pPr>
        <w:spacing w:line="360" w:lineRule="auto"/>
        <w:jc w:val="both"/>
        <w:rPr>
          <w:rFonts w:ascii="Times New Roman" w:hAnsi="Times New Roman" w:cs="Times New Roman"/>
          <w:b/>
          <w:bCs/>
        </w:rPr>
      </w:pPr>
    </w:p>
    <w:p w14:paraId="143F182D" w14:textId="108178C5" w:rsidR="00A50EB6" w:rsidRPr="00A50EB6" w:rsidRDefault="00A50EB6" w:rsidP="00A50EB6">
      <w:pPr>
        <w:spacing w:line="360" w:lineRule="auto"/>
        <w:jc w:val="both"/>
        <w:rPr>
          <w:rFonts w:ascii="Times New Roman" w:hAnsi="Times New Roman" w:cs="Times New Roman"/>
          <w:b/>
          <w:bCs/>
        </w:rPr>
      </w:pPr>
      <w:r>
        <w:rPr>
          <w:rFonts w:ascii="Times New Roman" w:hAnsi="Times New Roman" w:cs="Times New Roman"/>
          <w:b/>
          <w:bCs/>
        </w:rPr>
        <w:lastRenderedPageBreak/>
        <w:t>Temperature</w:t>
      </w:r>
      <w:r w:rsidRPr="0025599C">
        <w:rPr>
          <w:rFonts w:ascii="Times New Roman" w:hAnsi="Times New Roman" w:cs="Times New Roman"/>
          <w:b/>
          <w:bCs/>
        </w:rPr>
        <w:t xml:space="preserve"> dependence of the switching peak positions</w:t>
      </w:r>
    </w:p>
    <w:p w14:paraId="103EA28A" w14:textId="185506D6" w:rsidR="00A50EB6" w:rsidRDefault="00A50EB6" w:rsidP="003D56FA">
      <w:pPr>
        <w:spacing w:line="360" w:lineRule="auto"/>
        <w:jc w:val="both"/>
        <w:rPr>
          <w:rFonts w:ascii="Times New Roman" w:hAnsi="Times New Roman" w:cs="Times New Roman"/>
        </w:rPr>
      </w:pPr>
      <w:r>
        <w:rPr>
          <w:noProof/>
        </w:rPr>
        <w:drawing>
          <wp:inline distT="0" distB="0" distL="0" distR="0" wp14:anchorId="10F40A26" wp14:editId="3663A31C">
            <wp:extent cx="5943600" cy="4068445"/>
            <wp:effectExtent l="0" t="0" r="0" b="0"/>
            <wp:docPr id="20971177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068445"/>
                    </a:xfrm>
                    <a:prstGeom prst="rect">
                      <a:avLst/>
                    </a:prstGeom>
                    <a:noFill/>
                    <a:ln>
                      <a:noFill/>
                    </a:ln>
                  </pic:spPr>
                </pic:pic>
              </a:graphicData>
            </a:graphic>
          </wp:inline>
        </w:drawing>
      </w:r>
    </w:p>
    <w:p w14:paraId="6BD5BF6A" w14:textId="51E1A06E" w:rsidR="00A50EB6" w:rsidRDefault="00A50EB6" w:rsidP="00A50EB6">
      <w:pPr>
        <w:spacing w:line="360" w:lineRule="auto"/>
        <w:jc w:val="both"/>
        <w:rPr>
          <w:rFonts w:ascii="Times New Roman" w:hAnsi="Times New Roman" w:cs="Times New Roman"/>
        </w:rPr>
      </w:pPr>
      <w:r w:rsidRPr="003D56FA">
        <w:rPr>
          <w:rFonts w:ascii="Times New Roman" w:hAnsi="Times New Roman" w:cs="Times New Roman"/>
          <w:b/>
          <w:bCs/>
        </w:rPr>
        <w:t xml:space="preserve">Fig. S1 | </w:t>
      </w:r>
      <w:proofErr w:type="gramStart"/>
      <w:r w:rsidRPr="003D56FA">
        <w:rPr>
          <w:rFonts w:ascii="Times New Roman" w:hAnsi="Times New Roman" w:cs="Times New Roman"/>
          <w:b/>
          <w:bCs/>
        </w:rPr>
        <w:t>Multi-Gaussian</w:t>
      </w:r>
      <w:proofErr w:type="gramEnd"/>
      <w:r w:rsidRPr="003D56FA">
        <w:rPr>
          <w:rFonts w:ascii="Times New Roman" w:hAnsi="Times New Roman" w:cs="Times New Roman"/>
          <w:b/>
          <w:bCs/>
        </w:rPr>
        <w:t xml:space="preserve"> analysis of differential polarization response. </w:t>
      </w:r>
      <w:r w:rsidRPr="003D56FA">
        <w:rPr>
          <w:rFonts w:ascii="Times New Roman" w:hAnsi="Times New Roman" w:cs="Times New Roman"/>
        </w:rPr>
        <w:t>Differential polarization response (</w:t>
      </w:r>
      <w:proofErr w:type="spellStart"/>
      <w:r w:rsidRPr="003D56FA">
        <w:rPr>
          <w:rFonts w:ascii="Times New Roman" w:hAnsi="Times New Roman" w:cs="Times New Roman"/>
        </w:rPr>
        <w:t>dP</w:t>
      </w:r>
      <w:proofErr w:type="spellEnd"/>
      <w:r w:rsidRPr="003D56FA">
        <w:rPr>
          <w:rFonts w:ascii="Times New Roman" w:hAnsi="Times New Roman" w:cs="Times New Roman"/>
        </w:rPr>
        <w:t>/</w:t>
      </w:r>
      <w:proofErr w:type="spellStart"/>
      <w:r w:rsidRPr="003D56FA">
        <w:rPr>
          <w:rFonts w:ascii="Times New Roman" w:hAnsi="Times New Roman" w:cs="Times New Roman"/>
        </w:rPr>
        <w:t>dV</w:t>
      </w:r>
      <w:proofErr w:type="spellEnd"/>
      <w:r w:rsidRPr="003D56FA">
        <w:rPr>
          <w:rFonts w:ascii="Times New Roman" w:hAnsi="Times New Roman" w:cs="Times New Roman"/>
        </w:rPr>
        <w:t>) as a function of applied voltage at (a) 296 K, (b) 200 K, (c) 150 K, (d) 100 K and (e) 12.5 K. The switching features are fitted with single- or multi-Gaussian functions to determine the peak positions and quantify their temperature-dependent shifts.</w:t>
      </w:r>
    </w:p>
    <w:p w14:paraId="2DDFCE46" w14:textId="77777777" w:rsidR="00A50EB6" w:rsidRPr="00A50EB6" w:rsidRDefault="00A50EB6" w:rsidP="00A50EB6">
      <w:pPr>
        <w:widowControl w:val="0"/>
        <w:tabs>
          <w:tab w:val="left" w:pos="866"/>
        </w:tabs>
        <w:autoSpaceDE w:val="0"/>
        <w:autoSpaceDN w:val="0"/>
        <w:spacing w:after="0" w:line="360" w:lineRule="auto"/>
        <w:jc w:val="both"/>
        <w:outlineLvl w:val="1"/>
        <w:rPr>
          <w:rFonts w:ascii="Times New Roman" w:eastAsia="Times New Roman" w:hAnsi="Times New Roman" w:cs="Times New Roman"/>
          <w:color w:val="0070C0"/>
          <w:kern w:val="0"/>
          <w14:ligatures w14:val="none"/>
        </w:rPr>
      </w:pPr>
      <w:r>
        <w:rPr>
          <w:rFonts w:ascii="Times New Roman" w:eastAsia="Times New Roman" w:hAnsi="Times New Roman" w:cs="Times New Roman"/>
          <w:color w:val="0070C0"/>
          <w:kern w:val="0"/>
          <w14:ligatures w14:val="none"/>
        </w:rPr>
        <w:tab/>
      </w:r>
      <w:r w:rsidRPr="0025599C">
        <w:rPr>
          <w:rFonts w:ascii="Times New Roman" w:hAnsi="Times New Roman" w:cs="Times New Roman"/>
        </w:rPr>
        <w:t xml:space="preserve">To quantify the </w:t>
      </w:r>
      <w:r>
        <w:rPr>
          <w:rFonts w:ascii="Times New Roman" w:hAnsi="Times New Roman" w:cs="Times New Roman"/>
        </w:rPr>
        <w:t xml:space="preserve">temperature </w:t>
      </w:r>
      <w:r w:rsidRPr="0025599C">
        <w:rPr>
          <w:rFonts w:ascii="Times New Roman" w:hAnsi="Times New Roman" w:cs="Times New Roman"/>
        </w:rPr>
        <w:t>dependen</w:t>
      </w:r>
      <w:r>
        <w:rPr>
          <w:rFonts w:ascii="Times New Roman" w:hAnsi="Times New Roman" w:cs="Times New Roman"/>
        </w:rPr>
        <w:t>t shifts</w:t>
      </w:r>
      <w:r w:rsidRPr="0025599C">
        <w:rPr>
          <w:rFonts w:ascii="Times New Roman" w:hAnsi="Times New Roman" w:cs="Times New Roman"/>
        </w:rPr>
        <w:t xml:space="preserve"> of the switching p</w:t>
      </w:r>
      <w:r>
        <w:rPr>
          <w:rFonts w:ascii="Times New Roman" w:hAnsi="Times New Roman" w:cs="Times New Roman"/>
        </w:rPr>
        <w:t>eaks</w:t>
      </w:r>
      <w:r w:rsidRPr="0025599C">
        <w:rPr>
          <w:rFonts w:ascii="Times New Roman" w:hAnsi="Times New Roman" w:cs="Times New Roman"/>
        </w:rPr>
        <w:t xml:space="preserve">, the differential polarization response </w:t>
      </w:r>
      <w:proofErr w:type="spellStart"/>
      <w:r>
        <w:rPr>
          <w:rFonts w:ascii="Times New Roman" w:hAnsi="Times New Roman" w:cs="Times New Roman"/>
        </w:rPr>
        <w:t>dP</w:t>
      </w:r>
      <w:proofErr w:type="spellEnd"/>
      <w:r>
        <w:rPr>
          <w:rFonts w:ascii="Times New Roman" w:hAnsi="Times New Roman" w:cs="Times New Roman"/>
        </w:rPr>
        <w:t>/</w:t>
      </w:r>
      <w:proofErr w:type="spellStart"/>
      <w:r>
        <w:rPr>
          <w:rFonts w:ascii="Times New Roman" w:hAnsi="Times New Roman" w:cs="Times New Roman"/>
        </w:rPr>
        <w:t>dV</w:t>
      </w:r>
      <w:proofErr w:type="spellEnd"/>
      <w:r w:rsidRPr="0025599C">
        <w:rPr>
          <w:rFonts w:ascii="Times New Roman" w:hAnsi="Times New Roman" w:cs="Times New Roman"/>
        </w:rPr>
        <w:t xml:space="preserve"> was analyzed for the HZO capacitors </w:t>
      </w:r>
      <w:r>
        <w:rPr>
          <w:rFonts w:ascii="Times New Roman" w:hAnsi="Times New Roman" w:cs="Times New Roman"/>
        </w:rPr>
        <w:t>at temperatures ranging from</w:t>
      </w:r>
      <w:r w:rsidRPr="0025599C">
        <w:rPr>
          <w:rFonts w:ascii="Times New Roman" w:hAnsi="Times New Roman" w:cs="Times New Roman"/>
        </w:rPr>
        <w:t xml:space="preserve"> 296 and 12.5 K. </w:t>
      </w:r>
      <w:r w:rsidRPr="00BF74CC">
        <w:rPr>
          <w:rFonts w:ascii="Times New Roman" w:hAnsi="Times New Roman" w:cs="Times New Roman"/>
        </w:rPr>
        <w:t xml:space="preserve">The switching features in the </w:t>
      </w:r>
      <w:proofErr w:type="spellStart"/>
      <w:r w:rsidRPr="00BF74CC">
        <w:rPr>
          <w:rFonts w:ascii="Times New Roman" w:hAnsi="Times New Roman" w:cs="Times New Roman"/>
        </w:rPr>
        <w:t>dP</w:t>
      </w:r>
      <w:proofErr w:type="spellEnd"/>
      <w:r w:rsidRPr="00BF74CC">
        <w:rPr>
          <w:rFonts w:ascii="Times New Roman" w:hAnsi="Times New Roman" w:cs="Times New Roman"/>
        </w:rPr>
        <w:t>/</w:t>
      </w:r>
      <w:proofErr w:type="spellStart"/>
      <w:r w:rsidRPr="00BF74CC">
        <w:rPr>
          <w:rFonts w:ascii="Times New Roman" w:hAnsi="Times New Roman" w:cs="Times New Roman"/>
        </w:rPr>
        <w:t>dV</w:t>
      </w:r>
      <w:proofErr w:type="spellEnd"/>
      <w:r w:rsidRPr="00BF74CC">
        <w:rPr>
          <w:rFonts w:ascii="Times New Roman" w:hAnsi="Times New Roman" w:cs="Times New Roman"/>
        </w:rPr>
        <w:t xml:space="preserve"> vs. V plots were analyzed using Gaussian fitting to determine the corresponding peak positions</w:t>
      </w:r>
      <w:r>
        <w:rPr>
          <w:rFonts w:ascii="Times New Roman" w:hAnsi="Times New Roman" w:cs="Times New Roman"/>
        </w:rPr>
        <w:t xml:space="preserve"> as shown in </w:t>
      </w:r>
      <w:r w:rsidRPr="00FB1867">
        <w:rPr>
          <w:rFonts w:ascii="Times New Roman" w:hAnsi="Times New Roman" w:cs="Times New Roman"/>
          <w:b/>
          <w:bCs/>
        </w:rPr>
        <w:t>Fig. S1</w:t>
      </w:r>
      <w:r w:rsidRPr="00BF74CC">
        <w:rPr>
          <w:rFonts w:ascii="Times New Roman" w:hAnsi="Times New Roman" w:cs="Times New Roman"/>
        </w:rPr>
        <w:t xml:space="preserve">. Peaks 1 and 3 were fitted using a single Gaussian function, whereas the broad and asymmetric Peak 2 was fitted using a double-Gaussian function. </w:t>
      </w:r>
      <w:r w:rsidRPr="000333ED">
        <w:rPr>
          <w:rFonts w:ascii="Times New Roman" w:eastAsia="Times New Roman" w:hAnsi="Times New Roman" w:cs="Times New Roman"/>
          <w:kern w:val="0"/>
          <w14:ligatures w14:val="none"/>
        </w:rPr>
        <w:t xml:space="preserve">Peak 4 is excluded from the peak-shift analysis because its discontinuous </w:t>
      </w:r>
      <w:r>
        <w:rPr>
          <w:rFonts w:ascii="Times New Roman" w:eastAsia="Times New Roman" w:hAnsi="Times New Roman" w:cs="Times New Roman"/>
          <w:kern w:val="0"/>
          <w14:ligatures w14:val="none"/>
        </w:rPr>
        <w:t xml:space="preserve">peak </w:t>
      </w:r>
      <w:r w:rsidRPr="000333ED">
        <w:rPr>
          <w:rFonts w:ascii="Times New Roman" w:eastAsia="Times New Roman" w:hAnsi="Times New Roman" w:cs="Times New Roman"/>
          <w:kern w:val="0"/>
          <w14:ligatures w14:val="none"/>
        </w:rPr>
        <w:t>shape results from the voltage sweep beginning at 0 V.</w:t>
      </w:r>
      <w:r w:rsidRPr="00BF74CC">
        <w:rPr>
          <w:rFonts w:ascii="Times New Roman" w:hAnsi="Times New Roman" w:cs="Times New Roman"/>
        </w:rPr>
        <w:t xml:space="preserve"> The </w:t>
      </w:r>
      <w:r>
        <w:rPr>
          <w:rFonts w:ascii="Times New Roman" w:hAnsi="Times New Roman" w:cs="Times New Roman"/>
        </w:rPr>
        <w:t xml:space="preserve">multi-Gaussian </w:t>
      </w:r>
      <w:r w:rsidRPr="00BF74CC">
        <w:rPr>
          <w:rFonts w:ascii="Times New Roman" w:hAnsi="Times New Roman" w:cs="Times New Roman"/>
        </w:rPr>
        <w:t>fitting function used for Peak 2 is given by,</w:t>
      </w:r>
    </w:p>
    <w:p w14:paraId="7DF91537" w14:textId="77777777" w:rsidR="00A50EB6" w:rsidRPr="00BF74CC" w:rsidRDefault="00A50EB6" w:rsidP="00A50EB6">
      <w:pPr>
        <w:spacing w:line="360" w:lineRule="auto"/>
        <w:rPr>
          <w:rFonts w:ascii="Times New Roman" w:eastAsiaTheme="minorEastAsia" w:hAnsi="Times New Roman" w:cs="Times New Roman"/>
        </w:rPr>
      </w:pPr>
      <m:oMathPara>
        <m:oMath>
          <m:r>
            <w:rPr>
              <w:rFonts w:ascii="Cambria Math" w:hAnsi="Cambria Math" w:cs="Times New Roman"/>
            </w:rPr>
            <m:t xml:space="preserve">Y=A </m:t>
          </m:r>
          <m:sSup>
            <m:sSupPr>
              <m:ctrlPr>
                <w:rPr>
                  <w:rFonts w:ascii="Cambria Math" w:hAnsi="Cambria Math" w:cs="Times New Roman"/>
                  <w:i/>
                </w:rPr>
              </m:ctrlPr>
            </m:sSupPr>
            <m:e>
              <m:r>
                <m:rPr>
                  <m:sty m:val="p"/>
                </m:rPr>
                <w:rPr>
                  <w:rFonts w:ascii="Cambria Math" w:hAnsi="Cambria Math" w:cs="Times New Roman"/>
                </w:rPr>
                <m:t>exp</m:t>
              </m:r>
            </m:e>
            <m: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x-x0</m:t>
                          </m:r>
                        </m:num>
                        <m:den>
                          <m:r>
                            <w:rPr>
                              <w:rFonts w:ascii="Cambria Math" w:hAnsi="Cambria Math" w:cs="Times New Roman"/>
                            </w:rPr>
                            <m:t>w0</m:t>
                          </m:r>
                        </m:den>
                      </m:f>
                    </m:e>
                  </m:d>
                </m:e>
                <m:sup>
                  <m:r>
                    <w:rPr>
                      <w:rFonts w:ascii="Cambria Math" w:hAnsi="Cambria Math" w:cs="Times New Roman"/>
                    </w:rPr>
                    <m:t>2</m:t>
                  </m:r>
                </m:sup>
              </m:sSup>
              <m:ctrlPr>
                <w:rPr>
                  <w:rFonts w:ascii="Cambria Math" w:hAnsi="Cambria Math" w:cs="Times New Roman"/>
                </w:rPr>
              </m:ctrlPr>
            </m:sup>
          </m:sSup>
          <m:r>
            <w:rPr>
              <w:rFonts w:ascii="Cambria Math" w:hAnsi="Cambria Math" w:cs="Times New Roman"/>
            </w:rPr>
            <m:t xml:space="preserve">+B </m:t>
          </m:r>
          <m:sSup>
            <m:sSupPr>
              <m:ctrlPr>
                <w:rPr>
                  <w:rFonts w:ascii="Cambria Math" w:hAnsi="Cambria Math" w:cs="Times New Roman"/>
                  <w:i/>
                </w:rPr>
              </m:ctrlPr>
            </m:sSupPr>
            <m:e>
              <m:r>
                <m:rPr>
                  <m:sty m:val="p"/>
                </m:rPr>
                <w:rPr>
                  <w:rFonts w:ascii="Cambria Math" w:hAnsi="Cambria Math" w:cs="Times New Roman"/>
                </w:rPr>
                <m:t>exp</m:t>
              </m:r>
            </m:e>
            <m: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w:rPr>
                              <w:rFonts w:ascii="Cambria Math" w:hAnsi="Cambria Math" w:cs="Times New Roman"/>
                            </w:rPr>
                            <m:t>x-x1</m:t>
                          </m:r>
                        </m:num>
                        <m:den>
                          <m:r>
                            <w:rPr>
                              <w:rFonts w:ascii="Cambria Math" w:hAnsi="Cambria Math" w:cs="Times New Roman"/>
                            </w:rPr>
                            <m:t>w1</m:t>
                          </m:r>
                        </m:den>
                      </m:f>
                    </m:e>
                  </m:d>
                </m:e>
                <m:sup>
                  <m:r>
                    <w:rPr>
                      <w:rFonts w:ascii="Cambria Math" w:hAnsi="Cambria Math" w:cs="Times New Roman"/>
                    </w:rPr>
                    <m:t>2</m:t>
                  </m:r>
                </m:sup>
              </m:sSup>
              <m:ctrlPr>
                <w:rPr>
                  <w:rFonts w:ascii="Cambria Math" w:hAnsi="Cambria Math" w:cs="Times New Roman"/>
                </w:rPr>
              </m:ctrlPr>
            </m:sup>
          </m:sSup>
        </m:oMath>
      </m:oMathPara>
    </w:p>
    <w:p w14:paraId="76967888" w14:textId="62146159" w:rsidR="00A50EB6" w:rsidRDefault="00A50EB6" w:rsidP="00A50EB6">
      <w:pPr>
        <w:spacing w:line="360" w:lineRule="auto"/>
        <w:jc w:val="both"/>
        <w:rPr>
          <w:rFonts w:ascii="Times New Roman" w:hAnsi="Times New Roman" w:cs="Times New Roman"/>
        </w:rPr>
      </w:pPr>
      <w:r w:rsidRPr="00BF74CC">
        <w:rPr>
          <w:rFonts w:ascii="Times New Roman" w:hAnsi="Times New Roman" w:cs="Times New Roman"/>
        </w:rPr>
        <w:lastRenderedPageBreak/>
        <w:t>where A and B are the amplitudes of the two Gaussian components, x0 and x1 are the corresponding peak positions, and w0 and w1 are the width parameters of the respective Gaussian components. For Peaks 1 and 3, a single Gaussian component was used. The extracted values of x0 and x1 were used to determine the voltage positions of the individual switching features</w:t>
      </w:r>
      <w:r w:rsidRPr="003D56FA">
        <w:rPr>
          <w:rFonts w:ascii="Times New Roman" w:hAnsi="Times New Roman" w:cs="Times New Roman"/>
        </w:rPr>
        <w:t>.</w:t>
      </w:r>
    </w:p>
    <w:p w14:paraId="479B3162" w14:textId="77777777" w:rsidR="00C407B9" w:rsidRPr="00C407B9" w:rsidRDefault="00C407B9" w:rsidP="00A50EB6">
      <w:pPr>
        <w:spacing w:line="360" w:lineRule="auto"/>
        <w:jc w:val="both"/>
        <w:rPr>
          <w:rFonts w:ascii="Times New Roman" w:hAnsi="Times New Roman" w:cs="Times New Roman"/>
        </w:rPr>
      </w:pPr>
    </w:p>
    <w:p w14:paraId="2FFF2FB3" w14:textId="2258CA99" w:rsidR="00A50EB6" w:rsidRPr="00A50EB6" w:rsidRDefault="00A50EB6" w:rsidP="003D56FA">
      <w:pPr>
        <w:spacing w:line="360" w:lineRule="auto"/>
        <w:jc w:val="both"/>
        <w:rPr>
          <w:rFonts w:ascii="Times New Roman" w:hAnsi="Times New Roman" w:cs="Times New Roman"/>
          <w:b/>
          <w:bCs/>
        </w:rPr>
      </w:pPr>
      <w:r w:rsidRPr="0025599C">
        <w:rPr>
          <w:rFonts w:ascii="Times New Roman" w:hAnsi="Times New Roman" w:cs="Times New Roman"/>
          <w:b/>
          <w:bCs/>
        </w:rPr>
        <w:t>Frequency dependence of the switching peak positions</w:t>
      </w:r>
    </w:p>
    <w:p w14:paraId="405C7958" w14:textId="72B39325" w:rsidR="000F79C2" w:rsidRDefault="00032EE9" w:rsidP="00DE1A1D">
      <w:pPr>
        <w:spacing w:line="360" w:lineRule="auto"/>
        <w:jc w:val="both"/>
        <w:rPr>
          <w:rFonts w:ascii="Times New Roman" w:hAnsi="Times New Roman" w:cs="Times New Roman"/>
        </w:rPr>
      </w:pPr>
      <w:r>
        <w:rPr>
          <w:noProof/>
        </w:rPr>
        <w:drawing>
          <wp:inline distT="0" distB="0" distL="0" distR="0" wp14:anchorId="7F7E3D8D" wp14:editId="50FB6E62">
            <wp:extent cx="6021659" cy="3086100"/>
            <wp:effectExtent l="0" t="0" r="0" b="0"/>
            <wp:docPr id="2046218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26908" cy="3088790"/>
                    </a:xfrm>
                    <a:prstGeom prst="rect">
                      <a:avLst/>
                    </a:prstGeom>
                    <a:noFill/>
                    <a:ln>
                      <a:noFill/>
                    </a:ln>
                  </pic:spPr>
                </pic:pic>
              </a:graphicData>
            </a:graphic>
          </wp:inline>
        </w:drawing>
      </w:r>
      <w:r w:rsidR="00492F3B" w:rsidRPr="00DE1A1D">
        <w:rPr>
          <w:rFonts w:ascii="Times New Roman" w:hAnsi="Times New Roman" w:cs="Times New Roman"/>
          <w:b/>
          <w:bCs/>
        </w:rPr>
        <w:t>Fig S2.</w:t>
      </w:r>
      <w:r w:rsidR="00492F3B" w:rsidRPr="00DE1A1D">
        <w:rPr>
          <w:rFonts w:ascii="Times New Roman" w:hAnsi="Times New Roman" w:cs="Times New Roman"/>
        </w:rPr>
        <w:t xml:space="preserve"> </w:t>
      </w:r>
      <w:r w:rsidR="00874DA0" w:rsidRPr="00DE1A1D">
        <w:rPr>
          <w:rFonts w:ascii="Times New Roman" w:hAnsi="Times New Roman" w:cs="Times New Roman"/>
          <w:b/>
          <w:bCs/>
        </w:rPr>
        <w:t>Temperature- and frequency-dependence of the differential polarization response.</w:t>
      </w:r>
      <w:r w:rsidR="00874DA0" w:rsidRPr="00DE1A1D">
        <w:rPr>
          <w:rFonts w:ascii="Times New Roman" w:hAnsi="Times New Roman" w:cs="Times New Roman"/>
        </w:rPr>
        <w:t xml:space="preserve"> Differential polarization response, (</w:t>
      </w:r>
      <w:proofErr w:type="spellStart"/>
      <w:r w:rsidR="00874DA0" w:rsidRPr="00DE1A1D">
        <w:rPr>
          <w:rFonts w:ascii="Times New Roman" w:hAnsi="Times New Roman" w:cs="Times New Roman"/>
        </w:rPr>
        <w:t>dP</w:t>
      </w:r>
      <w:proofErr w:type="spellEnd"/>
      <w:r w:rsidR="00874DA0" w:rsidRPr="00DE1A1D">
        <w:rPr>
          <w:rFonts w:ascii="Times New Roman" w:hAnsi="Times New Roman" w:cs="Times New Roman"/>
        </w:rPr>
        <w:t>/</w:t>
      </w:r>
      <w:proofErr w:type="spellStart"/>
      <w:r w:rsidR="00874DA0" w:rsidRPr="00DE1A1D">
        <w:rPr>
          <w:rFonts w:ascii="Times New Roman" w:hAnsi="Times New Roman" w:cs="Times New Roman"/>
        </w:rPr>
        <w:t>dV</w:t>
      </w:r>
      <w:proofErr w:type="spellEnd"/>
      <w:r w:rsidR="00874DA0" w:rsidRPr="00DE1A1D">
        <w:rPr>
          <w:rFonts w:ascii="Times New Roman" w:hAnsi="Times New Roman" w:cs="Times New Roman"/>
        </w:rPr>
        <w:t xml:space="preserve">), as a function of applied voltage at (a) 296 K, (b) 200 K, (c) 150 K, (d) 100 K and (e) 12.5 K, measured at cycling frequencies of 10, 50 and 100 kHz. The cycling frequency </w:t>
      </w:r>
      <w:r w:rsidR="00737CEC" w:rsidRPr="00DE1A1D">
        <w:rPr>
          <w:rFonts w:ascii="Times New Roman" w:hAnsi="Times New Roman" w:cs="Times New Roman"/>
        </w:rPr>
        <w:t>varied</w:t>
      </w:r>
      <w:r w:rsidR="00874DA0" w:rsidRPr="00DE1A1D">
        <w:rPr>
          <w:rFonts w:ascii="Times New Roman" w:hAnsi="Times New Roman" w:cs="Times New Roman"/>
        </w:rPr>
        <w:t xml:space="preserve"> by adjusting the rise time of the triangular voltage waveform while maintaining the same voltage amplitude.</w:t>
      </w:r>
    </w:p>
    <w:p w14:paraId="682E29A5" w14:textId="3916FF3D" w:rsidR="00E2240B" w:rsidRPr="00DE1A1D" w:rsidRDefault="0025599C" w:rsidP="00DE1A1D">
      <w:pPr>
        <w:spacing w:line="360" w:lineRule="auto"/>
        <w:ind w:firstLine="720"/>
        <w:jc w:val="both"/>
        <w:rPr>
          <w:rFonts w:ascii="Times New Roman" w:hAnsi="Times New Roman" w:cs="Times New Roman"/>
        </w:rPr>
      </w:pPr>
      <w:r w:rsidRPr="0025599C">
        <w:rPr>
          <w:rFonts w:ascii="Times New Roman" w:hAnsi="Times New Roman" w:cs="Times New Roman"/>
        </w:rPr>
        <w:t xml:space="preserve">To quantify the frequency dependence of the switching processes, the differential polarization response </w:t>
      </w:r>
      <w:proofErr w:type="spellStart"/>
      <w:r w:rsidR="00E664FA">
        <w:rPr>
          <w:rFonts w:ascii="Times New Roman" w:hAnsi="Times New Roman" w:cs="Times New Roman"/>
        </w:rPr>
        <w:t>dP</w:t>
      </w:r>
      <w:proofErr w:type="spellEnd"/>
      <w:r w:rsidR="00E664FA">
        <w:rPr>
          <w:rFonts w:ascii="Times New Roman" w:hAnsi="Times New Roman" w:cs="Times New Roman"/>
        </w:rPr>
        <w:t>/</w:t>
      </w:r>
      <w:proofErr w:type="spellStart"/>
      <w:r w:rsidR="00E664FA">
        <w:rPr>
          <w:rFonts w:ascii="Times New Roman" w:hAnsi="Times New Roman" w:cs="Times New Roman"/>
        </w:rPr>
        <w:t>dV</w:t>
      </w:r>
      <w:proofErr w:type="spellEnd"/>
      <w:r w:rsidRPr="0025599C">
        <w:rPr>
          <w:rFonts w:ascii="Times New Roman" w:hAnsi="Times New Roman" w:cs="Times New Roman"/>
        </w:rPr>
        <w:t xml:space="preserve"> was analyzed for the HZO capacitors at 296 and 12.5 K</w:t>
      </w:r>
      <w:r w:rsidR="006354A9">
        <w:rPr>
          <w:rFonts w:ascii="Times New Roman" w:hAnsi="Times New Roman" w:cs="Times New Roman"/>
        </w:rPr>
        <w:t xml:space="preserve"> as shown in </w:t>
      </w:r>
      <w:r w:rsidR="006354A9" w:rsidRPr="006354A9">
        <w:rPr>
          <w:rFonts w:ascii="Times New Roman" w:hAnsi="Times New Roman" w:cs="Times New Roman"/>
          <w:b/>
          <w:bCs/>
        </w:rPr>
        <w:t>Fig. S2</w:t>
      </w:r>
      <w:r w:rsidRPr="0025599C">
        <w:rPr>
          <w:rFonts w:ascii="Times New Roman" w:hAnsi="Times New Roman" w:cs="Times New Roman"/>
        </w:rPr>
        <w:t xml:space="preserve">. The switching features were identified by fitting the </w:t>
      </w:r>
      <w:proofErr w:type="spellStart"/>
      <w:r w:rsidR="00E664FA">
        <w:rPr>
          <w:rFonts w:ascii="Times New Roman" w:hAnsi="Times New Roman" w:cs="Times New Roman"/>
        </w:rPr>
        <w:t>dP</w:t>
      </w:r>
      <w:proofErr w:type="spellEnd"/>
      <w:r w:rsidR="00E664FA">
        <w:rPr>
          <w:rFonts w:ascii="Times New Roman" w:hAnsi="Times New Roman" w:cs="Times New Roman"/>
        </w:rPr>
        <w:t>/</w:t>
      </w:r>
      <w:proofErr w:type="spellStart"/>
      <w:r w:rsidR="00E664FA">
        <w:rPr>
          <w:rFonts w:ascii="Times New Roman" w:hAnsi="Times New Roman" w:cs="Times New Roman"/>
        </w:rPr>
        <w:t>dV</w:t>
      </w:r>
      <w:proofErr w:type="spellEnd"/>
      <w:r w:rsidR="00E664FA">
        <w:rPr>
          <w:rFonts w:ascii="Times New Roman" w:hAnsi="Times New Roman" w:cs="Times New Roman"/>
        </w:rPr>
        <w:t xml:space="preserve"> vs. V </w:t>
      </w:r>
      <w:r w:rsidRPr="0025599C">
        <w:rPr>
          <w:rFonts w:ascii="Times New Roman" w:hAnsi="Times New Roman" w:cs="Times New Roman"/>
        </w:rPr>
        <w:t xml:space="preserve">curves with Gaussian functions. Peaks 1 and 3 were fitted using individual Gaussian functions, whereas the broader Peak 2 feature was fitted using the </w:t>
      </w:r>
      <w:r w:rsidR="00DE1A1D">
        <w:rPr>
          <w:rFonts w:ascii="Times New Roman" w:hAnsi="Times New Roman" w:cs="Times New Roman"/>
        </w:rPr>
        <w:t>multi-G</w:t>
      </w:r>
      <w:r w:rsidRPr="0025599C">
        <w:rPr>
          <w:rFonts w:ascii="Times New Roman" w:hAnsi="Times New Roman" w:cs="Times New Roman"/>
        </w:rPr>
        <w:t>aussian components</w:t>
      </w:r>
      <w:r w:rsidR="00DE1A1D">
        <w:rPr>
          <w:rFonts w:ascii="Times New Roman" w:hAnsi="Times New Roman" w:cs="Times New Roman"/>
        </w:rPr>
        <w:t xml:space="preserve"> as discussed above</w:t>
      </w:r>
      <w:r w:rsidRPr="0025599C">
        <w:rPr>
          <w:rFonts w:ascii="Times New Roman" w:hAnsi="Times New Roman" w:cs="Times New Roman"/>
        </w:rPr>
        <w:t>. The center position of each fitted peak was taken as the characteristic switching voltage</w:t>
      </w:r>
      <w:r w:rsidR="00DE1A1D">
        <w:rPr>
          <w:rFonts w:ascii="Times New Roman" w:hAnsi="Times New Roman" w:cs="Times New Roman"/>
        </w:rPr>
        <w:t xml:space="preserve"> </w:t>
      </w:r>
      <w:proofErr w:type="spellStart"/>
      <w:r w:rsidR="00DE1A1D">
        <w:rPr>
          <w:rFonts w:ascii="Times New Roman" w:hAnsi="Times New Roman" w:cs="Times New Roman"/>
        </w:rPr>
        <w:t>V</w:t>
      </w:r>
      <w:r w:rsidR="00DE1A1D" w:rsidRPr="00DE1A1D">
        <w:rPr>
          <w:rFonts w:ascii="Times New Roman" w:hAnsi="Times New Roman" w:cs="Times New Roman"/>
          <w:vertAlign w:val="subscript"/>
        </w:rPr>
        <w:t>peak</w:t>
      </w:r>
      <w:proofErr w:type="spellEnd"/>
      <w:r w:rsidR="00DE1A1D" w:rsidRPr="00DE1A1D">
        <w:rPr>
          <w:rFonts w:ascii="Times New Roman" w:hAnsi="Times New Roman" w:cs="Times New Roman"/>
        </w:rPr>
        <w:t>.</w:t>
      </w:r>
      <w:r w:rsidR="00DE1A1D">
        <w:rPr>
          <w:rFonts w:ascii="Times New Roman" w:hAnsi="Times New Roman" w:cs="Times New Roman"/>
          <w:vertAlign w:val="subscript"/>
        </w:rPr>
        <w:t xml:space="preserve"> </w:t>
      </w:r>
      <w:r w:rsidR="00DE1A1D" w:rsidRPr="00DE1A1D">
        <w:rPr>
          <w:rFonts w:ascii="Times New Roman" w:hAnsi="Times New Roman" w:cs="Times New Roman"/>
        </w:rPr>
        <w:t>The</w:t>
      </w:r>
      <w:r w:rsidR="00DE1A1D">
        <w:rPr>
          <w:rFonts w:ascii="Times New Roman" w:hAnsi="Times New Roman" w:cs="Times New Roman"/>
        </w:rPr>
        <w:t xml:space="preserve"> difference between switching current peak positions </w:t>
      </w:r>
      <w:proofErr w:type="gramStart"/>
      <w:r w:rsidR="00DE1A1D">
        <w:rPr>
          <w:rFonts w:ascii="Times New Roman" w:hAnsi="Times New Roman" w:cs="Times New Roman"/>
        </w:rPr>
        <w:t>are</w:t>
      </w:r>
      <w:proofErr w:type="gramEnd"/>
      <w:r w:rsidR="00DE1A1D">
        <w:rPr>
          <w:rFonts w:ascii="Times New Roman" w:hAnsi="Times New Roman" w:cs="Times New Roman"/>
        </w:rPr>
        <w:t xml:space="preserve"> considered for calculation of ∆V plotted in </w:t>
      </w:r>
      <w:r w:rsidR="00DE1A1D" w:rsidRPr="00DE1A1D">
        <w:rPr>
          <w:rFonts w:ascii="Times New Roman" w:hAnsi="Times New Roman" w:cs="Times New Roman"/>
          <w:b/>
          <w:bCs/>
        </w:rPr>
        <w:t>Fig 6(b)</w:t>
      </w:r>
      <w:r w:rsidR="00DE1A1D">
        <w:rPr>
          <w:rFonts w:ascii="Times New Roman" w:hAnsi="Times New Roman" w:cs="Times New Roman"/>
        </w:rPr>
        <w:t xml:space="preserve">. </w:t>
      </w:r>
    </w:p>
    <w:p w14:paraId="743AF6AE" w14:textId="77777777" w:rsidR="00E2240B" w:rsidRDefault="00E2240B" w:rsidP="00520B91">
      <w:pPr>
        <w:spacing w:line="360" w:lineRule="auto"/>
        <w:jc w:val="both"/>
        <w:rPr>
          <w:rFonts w:ascii="Times New Roman" w:eastAsia="Times New Roman" w:hAnsi="Times New Roman" w:cs="Times New Roman"/>
          <w:b/>
          <w:bCs/>
          <w:kern w:val="0"/>
          <w14:ligatures w14:val="none"/>
        </w:rPr>
      </w:pPr>
    </w:p>
    <w:p w14:paraId="5858BD62" w14:textId="36B5B704" w:rsidR="00520B91" w:rsidRPr="006354A9" w:rsidRDefault="00520B91" w:rsidP="00520B91">
      <w:pPr>
        <w:spacing w:line="360" w:lineRule="auto"/>
        <w:jc w:val="both"/>
        <w:rPr>
          <w:rFonts w:ascii="Times New Roman" w:hAnsi="Times New Roman" w:cs="Times New Roman"/>
        </w:rPr>
      </w:pPr>
      <w:r w:rsidRPr="003D56FA">
        <w:rPr>
          <w:rFonts w:ascii="Times New Roman" w:eastAsia="Times New Roman" w:hAnsi="Times New Roman" w:cs="Times New Roman"/>
          <w:b/>
          <w:bCs/>
          <w:kern w:val="0"/>
          <w14:ligatures w14:val="none"/>
        </w:rPr>
        <w:t>Timescale-dependent persistence of the field-induced polar state.</w:t>
      </w:r>
      <w:r w:rsidRPr="003D56FA">
        <w:rPr>
          <w:rFonts w:ascii="Times New Roman" w:eastAsia="Times New Roman" w:hAnsi="Times New Roman" w:cs="Times New Roman"/>
          <w:kern w:val="0"/>
          <w14:ligatures w14:val="none"/>
        </w:rPr>
        <w:t xml:space="preserve"> </w:t>
      </w:r>
    </w:p>
    <w:p w14:paraId="5F662FE4" w14:textId="5F9CAA58" w:rsidR="00520B91" w:rsidRDefault="00520B91" w:rsidP="00520B91">
      <w:pPr>
        <w:spacing w:line="360" w:lineRule="auto"/>
        <w:ind w:firstLine="720"/>
        <w:jc w:val="both"/>
        <w:rPr>
          <w:rFonts w:ascii="Times New Roman" w:eastAsia="Times New Roman" w:hAnsi="Times New Roman" w:cs="Times New Roman"/>
          <w:kern w:val="0"/>
          <w14:ligatures w14:val="none"/>
        </w:rPr>
      </w:pPr>
      <w:r w:rsidRPr="003D56FA">
        <w:rPr>
          <w:rFonts w:ascii="Times New Roman" w:eastAsia="Times New Roman" w:hAnsi="Times New Roman" w:cs="Times New Roman"/>
          <w:kern w:val="0"/>
          <w14:ligatures w14:val="none"/>
        </w:rPr>
        <w:t>The contrasting responses observed in P</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V and C</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V measurements at 12.5 K provide an indication that enhanced polarization is governed by the finite timescale of the field-induced o-to-t back-switching. The P</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 xml:space="preserve">V measurements employ a bipolar triangular voltage waveform with a rise time of 2.5 </w:t>
      </w:r>
      <w:proofErr w:type="spellStart"/>
      <w:r w:rsidRPr="003D56FA">
        <w:rPr>
          <w:rFonts w:ascii="Times New Roman" w:eastAsia="Times New Roman" w:hAnsi="Times New Roman" w:cs="Times New Roman"/>
          <w:kern w:val="0"/>
          <w14:ligatures w14:val="none"/>
        </w:rPr>
        <w:t>μs</w:t>
      </w:r>
      <w:proofErr w:type="spellEnd"/>
      <w:r w:rsidRPr="003D56FA">
        <w:rPr>
          <w:rFonts w:ascii="Times New Roman" w:eastAsia="Times New Roman" w:hAnsi="Times New Roman" w:cs="Times New Roman"/>
          <w:kern w:val="0"/>
          <w14:ligatures w14:val="none"/>
        </w:rPr>
        <w:t xml:space="preserve"> at 100 kHz, corresponding to a voltage ramp rate of approximately </w:t>
      </w:r>
      <m:oMath>
        <m:r>
          <w:rPr>
            <w:rFonts w:ascii="Cambria Math" w:eastAsia="Times New Roman" w:hAnsi="Cambria Math" w:cs="Times New Roman"/>
            <w:kern w:val="0"/>
            <w14:ligatures w14:val="none"/>
          </w:rPr>
          <m:t>1.2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10</m:t>
            </m:r>
          </m:e>
          <m:sup>
            <m:r>
              <w:rPr>
                <w:rFonts w:ascii="Cambria Math" w:eastAsia="Times New Roman" w:hAnsi="Cambria Math" w:cs="Times New Roman"/>
                <w:kern w:val="0"/>
                <w14:ligatures w14:val="none"/>
              </w:rPr>
              <m:t>6</m:t>
            </m:r>
          </m:sup>
        </m:sSup>
        <m:r>
          <w:rPr>
            <w:rFonts w:ascii="Cambria Math" w:eastAsia="Times New Roman" w:hAnsi="Cambria Math" w:cs="Times New Roman"/>
            <w:kern w:val="0"/>
            <w14:ligatures w14:val="none"/>
          </w:rPr>
          <m:t xml:space="preserve"> V/s</m:t>
        </m:r>
      </m:oMath>
      <w:r w:rsidRPr="003D56FA">
        <w:rPr>
          <w:rFonts w:ascii="Times New Roman" w:eastAsia="Times New Roman" w:hAnsi="Times New Roman" w:cs="Times New Roman"/>
          <w:kern w:val="0"/>
          <w14:ligatures w14:val="none"/>
        </w:rPr>
        <w:t xml:space="preserve">. At 10 kHz, the corresponding rise time is 25 μs and the voltage ramp rate is </w:t>
      </w:r>
      <m:oMath>
        <m:r>
          <w:rPr>
            <w:rFonts w:ascii="Cambria Math" w:eastAsia="Times New Roman" w:hAnsi="Cambria Math" w:cs="Times New Roman"/>
            <w:kern w:val="0"/>
            <w14:ligatures w14:val="none"/>
          </w:rPr>
          <m:t>1.2 ×</m:t>
        </m:r>
        <m:sSup>
          <m:sSupPr>
            <m:ctrlPr>
              <w:rPr>
                <w:rFonts w:ascii="Cambria Math" w:eastAsia="Times New Roman" w:hAnsi="Cambria Math" w:cs="Times New Roman"/>
                <w:i/>
                <w:kern w:val="0"/>
                <w14:ligatures w14:val="none"/>
              </w:rPr>
            </m:ctrlPr>
          </m:sSupPr>
          <m:e>
            <m:r>
              <w:rPr>
                <w:rFonts w:ascii="Cambria Math" w:eastAsia="Times New Roman" w:hAnsi="Cambria Math" w:cs="Times New Roman"/>
                <w:kern w:val="0"/>
                <w14:ligatures w14:val="none"/>
              </w:rPr>
              <m:t>10</m:t>
            </m:r>
          </m:e>
          <m:sup>
            <m:r>
              <w:rPr>
                <w:rFonts w:ascii="Cambria Math" w:eastAsia="Times New Roman" w:hAnsi="Cambria Math" w:cs="Times New Roman"/>
                <w:kern w:val="0"/>
                <w14:ligatures w14:val="none"/>
              </w:rPr>
              <m:t>5</m:t>
            </m:r>
          </m:sup>
        </m:sSup>
        <m:r>
          <w:rPr>
            <w:rFonts w:ascii="Cambria Math" w:eastAsia="Times New Roman" w:hAnsi="Cambria Math" w:cs="Times New Roman"/>
            <w:kern w:val="0"/>
            <w14:ligatures w14:val="none"/>
          </w:rPr>
          <m:t xml:space="preserve"> V/s</m:t>
        </m:r>
      </m:oMath>
      <w:r w:rsidRPr="003D56FA">
        <w:rPr>
          <w:rFonts w:ascii="Times New Roman" w:eastAsia="Times New Roman" w:hAnsi="Times New Roman" w:cs="Times New Roman"/>
          <w:kern w:val="0"/>
          <w14:ligatures w14:val="none"/>
        </w:rPr>
        <w:t xml:space="preserve"> In contrast, the C</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 xml:space="preserve">V measurements use a much slower DC voltage sweep from </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 xml:space="preserve">3 to </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 xml:space="preserve">3 V and back to </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 xml:space="preserve">3 V over approximately 60 s, corresponding to an average DC sweep rate of only </w:t>
      </w:r>
      <m:oMath>
        <m:r>
          <w:rPr>
            <w:rFonts w:ascii="Cambria Math" w:eastAsia="Times New Roman" w:hAnsi="Cambria Math" w:cs="Times New Roman"/>
            <w:kern w:val="0"/>
            <w14:ligatures w14:val="none"/>
          </w:rPr>
          <m:t>0.2 V/s</m:t>
        </m:r>
      </m:oMath>
      <w:r w:rsidRPr="003D56FA">
        <w:rPr>
          <w:rFonts w:ascii="Times New Roman" w:eastAsia="Times New Roman" w:hAnsi="Times New Roman" w:cs="Times New Roman"/>
          <w:kern w:val="0"/>
          <w14:ligatures w14:val="none"/>
        </w:rPr>
        <w:t xml:space="preserve"> with approximately 0.30 s between successive 0.06 V bias points. The 50-kHz signal used during the C</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V measurement is a small-signal AC excitation and does not define the DC voltage-sweep timescale. Thus, the P</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V measurements probe the polarization response on a microsecond-to-tens-of-microseconds timescale, whereas the C</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V measurement interrogates the device over sub-second to second timescales. At 12.5 K, the substantial switchable polarization observed in the fast P</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V measurement, together with the predominantly AFE-like C</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V response obtained under the much slower bias sweep, is consistent with a field-induced polar o-phase that persists long enough to contribute to the P</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V response but relaxes toward the tetragonal state on the longer timescale of the C</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V measurement. These measurements therefore provide a broad experimental constraint on the relevant zero-bias relaxation timescale, placing it between the microsecond-to-tens-of-microseconds regime probed by P</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V and the approximately 0.3 s timescale associated with individual C</w:t>
      </w:r>
      <w:r>
        <w:rPr>
          <w:rFonts w:ascii="Times New Roman" w:eastAsia="Times New Roman" w:hAnsi="Times New Roman" w:cs="Times New Roman"/>
          <w:kern w:val="0"/>
          <w14:ligatures w14:val="none"/>
        </w:rPr>
        <w:t>-</w:t>
      </w:r>
      <w:r w:rsidRPr="003D56FA">
        <w:rPr>
          <w:rFonts w:ascii="Times New Roman" w:eastAsia="Times New Roman" w:hAnsi="Times New Roman" w:cs="Times New Roman"/>
          <w:kern w:val="0"/>
          <w14:ligatures w14:val="none"/>
        </w:rPr>
        <w:t xml:space="preserve">V bias points. </w:t>
      </w:r>
    </w:p>
    <w:p w14:paraId="213BD55A" w14:textId="77777777" w:rsidR="00520B91" w:rsidRDefault="00520B91" w:rsidP="0025599C">
      <w:pPr>
        <w:spacing w:line="360" w:lineRule="auto"/>
        <w:jc w:val="both"/>
        <w:rPr>
          <w:rFonts w:ascii="Times New Roman" w:hAnsi="Times New Roman" w:cs="Times New Roman"/>
        </w:rPr>
      </w:pPr>
    </w:p>
    <w:p w14:paraId="0884590B" w14:textId="77777777" w:rsidR="00520B91" w:rsidRPr="003D56FA" w:rsidRDefault="00520B91" w:rsidP="0025599C">
      <w:pPr>
        <w:spacing w:line="360" w:lineRule="auto"/>
        <w:jc w:val="both"/>
        <w:rPr>
          <w:rFonts w:ascii="Times New Roman" w:hAnsi="Times New Roman" w:cs="Times New Roman"/>
        </w:rPr>
      </w:pPr>
    </w:p>
    <w:sectPr w:rsidR="00520B91" w:rsidRPr="003D56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260D8" w14:textId="77777777" w:rsidR="00A2698B" w:rsidRDefault="00A2698B" w:rsidP="002C3CE5">
      <w:pPr>
        <w:spacing w:after="0" w:line="240" w:lineRule="auto"/>
      </w:pPr>
      <w:r>
        <w:separator/>
      </w:r>
    </w:p>
  </w:endnote>
  <w:endnote w:type="continuationSeparator" w:id="0">
    <w:p w14:paraId="7B717501" w14:textId="77777777" w:rsidR="00A2698B" w:rsidRDefault="00A2698B" w:rsidP="002C3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DFPOP-SB">
    <w:altName w:val="MS Gothic"/>
    <w:charset w:val="80"/>
    <w:family w:val="decorativ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DBDE1" w14:textId="77777777" w:rsidR="00A2698B" w:rsidRDefault="00A2698B" w:rsidP="002C3CE5">
      <w:pPr>
        <w:spacing w:after="0" w:line="240" w:lineRule="auto"/>
      </w:pPr>
      <w:r>
        <w:separator/>
      </w:r>
    </w:p>
  </w:footnote>
  <w:footnote w:type="continuationSeparator" w:id="0">
    <w:p w14:paraId="2DB28FD5" w14:textId="77777777" w:rsidR="00A2698B" w:rsidRDefault="00A2698B" w:rsidP="002C3CE5">
      <w:pPr>
        <w:spacing w:after="0" w:line="240" w:lineRule="auto"/>
      </w:pPr>
      <w:r>
        <w:continuationSeparator/>
      </w:r>
    </w:p>
  </w:footnote>
  <w:footnote w:id="1">
    <w:p w14:paraId="63278AC9" w14:textId="77777777" w:rsidR="00EB4BEA" w:rsidRDefault="00EB4BEA" w:rsidP="00EB4BEA">
      <w:pPr>
        <w:pStyle w:val="FootnoteText"/>
      </w:pPr>
      <w:r>
        <w:rPr>
          <w:rStyle w:val="FootnoteReference"/>
        </w:rPr>
        <w:footnoteRef/>
      </w:r>
      <w:r>
        <w:t xml:space="preserve"> Authors contributed equally.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5406"/>
    <w:multiLevelType w:val="hybridMultilevel"/>
    <w:tmpl w:val="7756A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DB14E2"/>
    <w:multiLevelType w:val="multilevel"/>
    <w:tmpl w:val="ECC28764"/>
    <w:lvl w:ilvl="0">
      <w:start w:val="4"/>
      <w:numFmt w:val="decimal"/>
      <w:lvlText w:val="%1"/>
      <w:lvlJc w:val="left"/>
      <w:pPr>
        <w:ind w:left="360" w:hanging="360"/>
      </w:pPr>
      <w:rPr>
        <w:rFonts w:hint="default"/>
      </w:rPr>
    </w:lvl>
    <w:lvl w:ilvl="1">
      <w:start w:val="1"/>
      <w:numFmt w:val="decimal"/>
      <w:pStyle w:val="Heading24"/>
      <w:lvlText w:val="%1.%2"/>
      <w:lvlJc w:val="left"/>
      <w:pPr>
        <w:ind w:left="360" w:hanging="360"/>
      </w:pPr>
      <w:rPr>
        <w:rFonts w:hint="default"/>
      </w:rPr>
    </w:lvl>
    <w:lvl w:ilvl="2">
      <w:start w:val="1"/>
      <w:numFmt w:val="decimal"/>
      <w:pStyle w:val="Heading242"/>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D29420A"/>
    <w:multiLevelType w:val="multilevel"/>
    <w:tmpl w:val="515820D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672608072">
    <w:abstractNumId w:val="1"/>
  </w:num>
  <w:num w:numId="2" w16cid:durableId="793866797">
    <w:abstractNumId w:val="2"/>
  </w:num>
  <w:num w:numId="3" w16cid:durableId="659037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1CC"/>
    <w:rsid w:val="00002909"/>
    <w:rsid w:val="00032EE9"/>
    <w:rsid w:val="00072D4E"/>
    <w:rsid w:val="000809EB"/>
    <w:rsid w:val="00091756"/>
    <w:rsid w:val="00097363"/>
    <w:rsid w:val="00097A66"/>
    <w:rsid w:val="000D4E99"/>
    <w:rsid w:val="000F79C2"/>
    <w:rsid w:val="0010263F"/>
    <w:rsid w:val="00131F57"/>
    <w:rsid w:val="001604FC"/>
    <w:rsid w:val="0016504D"/>
    <w:rsid w:val="0018628D"/>
    <w:rsid w:val="001958A7"/>
    <w:rsid w:val="001B5853"/>
    <w:rsid w:val="001C0522"/>
    <w:rsid w:val="001C58BD"/>
    <w:rsid w:val="001E2D48"/>
    <w:rsid w:val="001E4827"/>
    <w:rsid w:val="001F1C7E"/>
    <w:rsid w:val="0020671E"/>
    <w:rsid w:val="002206CB"/>
    <w:rsid w:val="00241E14"/>
    <w:rsid w:val="0025599C"/>
    <w:rsid w:val="0025793B"/>
    <w:rsid w:val="00283661"/>
    <w:rsid w:val="00290EEB"/>
    <w:rsid w:val="002A2FE1"/>
    <w:rsid w:val="002B2FFB"/>
    <w:rsid w:val="002B53B9"/>
    <w:rsid w:val="002C3CE5"/>
    <w:rsid w:val="002D30FE"/>
    <w:rsid w:val="002D318A"/>
    <w:rsid w:val="002D3E26"/>
    <w:rsid w:val="002F65B9"/>
    <w:rsid w:val="0033281B"/>
    <w:rsid w:val="00334723"/>
    <w:rsid w:val="003519F2"/>
    <w:rsid w:val="003A2300"/>
    <w:rsid w:val="003C2155"/>
    <w:rsid w:val="003D56FA"/>
    <w:rsid w:val="003E7E64"/>
    <w:rsid w:val="0041283D"/>
    <w:rsid w:val="00422B36"/>
    <w:rsid w:val="00424A03"/>
    <w:rsid w:val="004301E9"/>
    <w:rsid w:val="00431ABF"/>
    <w:rsid w:val="004331EF"/>
    <w:rsid w:val="00436DF9"/>
    <w:rsid w:val="00450476"/>
    <w:rsid w:val="00492F3B"/>
    <w:rsid w:val="004B46F1"/>
    <w:rsid w:val="004D5BEB"/>
    <w:rsid w:val="004E2A88"/>
    <w:rsid w:val="004F2220"/>
    <w:rsid w:val="005146E9"/>
    <w:rsid w:val="00520B91"/>
    <w:rsid w:val="00553468"/>
    <w:rsid w:val="005C2CCD"/>
    <w:rsid w:val="005C4545"/>
    <w:rsid w:val="005C7D57"/>
    <w:rsid w:val="005E1A99"/>
    <w:rsid w:val="005F233C"/>
    <w:rsid w:val="005F66C5"/>
    <w:rsid w:val="00630873"/>
    <w:rsid w:val="006354A9"/>
    <w:rsid w:val="00646A7D"/>
    <w:rsid w:val="006527C5"/>
    <w:rsid w:val="006F0194"/>
    <w:rsid w:val="00712DA6"/>
    <w:rsid w:val="007239F3"/>
    <w:rsid w:val="007359BA"/>
    <w:rsid w:val="00737CEC"/>
    <w:rsid w:val="00755865"/>
    <w:rsid w:val="00781F19"/>
    <w:rsid w:val="00791C24"/>
    <w:rsid w:val="007E1871"/>
    <w:rsid w:val="00874DA0"/>
    <w:rsid w:val="00881AE3"/>
    <w:rsid w:val="0088213C"/>
    <w:rsid w:val="008852BA"/>
    <w:rsid w:val="008C7A92"/>
    <w:rsid w:val="008E3FEA"/>
    <w:rsid w:val="00913D13"/>
    <w:rsid w:val="00926F3A"/>
    <w:rsid w:val="00936B94"/>
    <w:rsid w:val="00955ED0"/>
    <w:rsid w:val="0096413B"/>
    <w:rsid w:val="009B37CE"/>
    <w:rsid w:val="009B5776"/>
    <w:rsid w:val="009C0512"/>
    <w:rsid w:val="009D1BE9"/>
    <w:rsid w:val="00A03892"/>
    <w:rsid w:val="00A2698B"/>
    <w:rsid w:val="00A30613"/>
    <w:rsid w:val="00A35951"/>
    <w:rsid w:val="00A43553"/>
    <w:rsid w:val="00A50EB6"/>
    <w:rsid w:val="00AE252E"/>
    <w:rsid w:val="00AE34C1"/>
    <w:rsid w:val="00AE5E40"/>
    <w:rsid w:val="00B30E52"/>
    <w:rsid w:val="00B33149"/>
    <w:rsid w:val="00B6382E"/>
    <w:rsid w:val="00B714F4"/>
    <w:rsid w:val="00B86FFD"/>
    <w:rsid w:val="00B978D9"/>
    <w:rsid w:val="00BA43D3"/>
    <w:rsid w:val="00BC55D4"/>
    <w:rsid w:val="00BD3BA9"/>
    <w:rsid w:val="00BF74CC"/>
    <w:rsid w:val="00C03690"/>
    <w:rsid w:val="00C265C5"/>
    <w:rsid w:val="00C32F07"/>
    <w:rsid w:val="00C407B9"/>
    <w:rsid w:val="00C52BCF"/>
    <w:rsid w:val="00C70C3E"/>
    <w:rsid w:val="00C734FA"/>
    <w:rsid w:val="00CB3D9D"/>
    <w:rsid w:val="00CD2CDF"/>
    <w:rsid w:val="00CF69B0"/>
    <w:rsid w:val="00D01A19"/>
    <w:rsid w:val="00D43415"/>
    <w:rsid w:val="00D45B12"/>
    <w:rsid w:val="00D57DDF"/>
    <w:rsid w:val="00D71393"/>
    <w:rsid w:val="00D91FBF"/>
    <w:rsid w:val="00D9546E"/>
    <w:rsid w:val="00DA035A"/>
    <w:rsid w:val="00DE1A1D"/>
    <w:rsid w:val="00E00D9C"/>
    <w:rsid w:val="00E2240B"/>
    <w:rsid w:val="00E231CC"/>
    <w:rsid w:val="00E427E8"/>
    <w:rsid w:val="00E63DBE"/>
    <w:rsid w:val="00E664FA"/>
    <w:rsid w:val="00E8264B"/>
    <w:rsid w:val="00EA0493"/>
    <w:rsid w:val="00EA510D"/>
    <w:rsid w:val="00EA711B"/>
    <w:rsid w:val="00EB4BEA"/>
    <w:rsid w:val="00EC7A43"/>
    <w:rsid w:val="00EE7261"/>
    <w:rsid w:val="00EF3D8B"/>
    <w:rsid w:val="00F40AA5"/>
    <w:rsid w:val="00F4617B"/>
    <w:rsid w:val="00F60128"/>
    <w:rsid w:val="00F94CC1"/>
    <w:rsid w:val="00F964F9"/>
    <w:rsid w:val="00FB1867"/>
    <w:rsid w:val="00FF55D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83529"/>
  <w15:chartTrackingRefBased/>
  <w15:docId w15:val="{83A8AFF6-4900-4B96-A047-5D80FFAF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1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1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31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1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1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1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1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1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1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1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31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31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31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1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1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1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1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1CC"/>
    <w:rPr>
      <w:rFonts w:eastAsiaTheme="majorEastAsia" w:cstheme="majorBidi"/>
      <w:color w:val="272727" w:themeColor="text1" w:themeTint="D8"/>
    </w:rPr>
  </w:style>
  <w:style w:type="paragraph" w:styleId="Title">
    <w:name w:val="Title"/>
    <w:basedOn w:val="Normal"/>
    <w:next w:val="Normal"/>
    <w:link w:val="TitleChar"/>
    <w:uiPriority w:val="10"/>
    <w:qFormat/>
    <w:rsid w:val="00E231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31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1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1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1CC"/>
    <w:pPr>
      <w:spacing w:before="160"/>
      <w:jc w:val="center"/>
    </w:pPr>
    <w:rPr>
      <w:i/>
      <w:iCs/>
      <w:color w:val="404040" w:themeColor="text1" w:themeTint="BF"/>
    </w:rPr>
  </w:style>
  <w:style w:type="character" w:customStyle="1" w:styleId="QuoteChar">
    <w:name w:val="Quote Char"/>
    <w:basedOn w:val="DefaultParagraphFont"/>
    <w:link w:val="Quote"/>
    <w:uiPriority w:val="29"/>
    <w:rsid w:val="00E231CC"/>
    <w:rPr>
      <w:i/>
      <w:iCs/>
      <w:color w:val="404040" w:themeColor="text1" w:themeTint="BF"/>
    </w:rPr>
  </w:style>
  <w:style w:type="paragraph" w:styleId="ListParagraph">
    <w:name w:val="List Paragraph"/>
    <w:basedOn w:val="Normal"/>
    <w:uiPriority w:val="34"/>
    <w:qFormat/>
    <w:rsid w:val="00E231CC"/>
    <w:pPr>
      <w:ind w:left="720"/>
      <w:contextualSpacing/>
    </w:pPr>
  </w:style>
  <w:style w:type="character" w:styleId="IntenseEmphasis">
    <w:name w:val="Intense Emphasis"/>
    <w:basedOn w:val="DefaultParagraphFont"/>
    <w:uiPriority w:val="21"/>
    <w:qFormat/>
    <w:rsid w:val="00E231CC"/>
    <w:rPr>
      <w:i/>
      <w:iCs/>
      <w:color w:val="0F4761" w:themeColor="accent1" w:themeShade="BF"/>
    </w:rPr>
  </w:style>
  <w:style w:type="paragraph" w:styleId="IntenseQuote">
    <w:name w:val="Intense Quote"/>
    <w:basedOn w:val="Normal"/>
    <w:next w:val="Normal"/>
    <w:link w:val="IntenseQuoteChar"/>
    <w:uiPriority w:val="30"/>
    <w:qFormat/>
    <w:rsid w:val="00E231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1CC"/>
    <w:rPr>
      <w:i/>
      <w:iCs/>
      <w:color w:val="0F4761" w:themeColor="accent1" w:themeShade="BF"/>
    </w:rPr>
  </w:style>
  <w:style w:type="character" w:styleId="IntenseReference">
    <w:name w:val="Intense Reference"/>
    <w:basedOn w:val="DefaultParagraphFont"/>
    <w:uiPriority w:val="32"/>
    <w:qFormat/>
    <w:rsid w:val="00E231CC"/>
    <w:rPr>
      <w:b/>
      <w:bCs/>
      <w:smallCaps/>
      <w:color w:val="0F4761" w:themeColor="accent1" w:themeShade="BF"/>
      <w:spacing w:val="5"/>
    </w:rPr>
  </w:style>
  <w:style w:type="paragraph" w:styleId="FootnoteText">
    <w:name w:val="footnote text"/>
    <w:basedOn w:val="Normal"/>
    <w:link w:val="FootnoteTextChar"/>
    <w:uiPriority w:val="99"/>
    <w:unhideWhenUsed/>
    <w:rsid w:val="002C3CE5"/>
    <w:pPr>
      <w:spacing w:after="0" w:line="240" w:lineRule="auto"/>
      <w:ind w:firstLine="720"/>
    </w:pPr>
    <w:rPr>
      <w:sz w:val="20"/>
      <w:szCs w:val="20"/>
    </w:rPr>
  </w:style>
  <w:style w:type="character" w:customStyle="1" w:styleId="FootnoteTextChar">
    <w:name w:val="Footnote Text Char"/>
    <w:basedOn w:val="DefaultParagraphFont"/>
    <w:link w:val="FootnoteText"/>
    <w:uiPriority w:val="99"/>
    <w:rsid w:val="002C3CE5"/>
    <w:rPr>
      <w:sz w:val="20"/>
      <w:szCs w:val="20"/>
    </w:rPr>
  </w:style>
  <w:style w:type="character" w:styleId="FootnoteReference">
    <w:name w:val="footnote reference"/>
    <w:basedOn w:val="DefaultParagraphFont"/>
    <w:uiPriority w:val="99"/>
    <w:semiHidden/>
    <w:unhideWhenUsed/>
    <w:rsid w:val="002C3CE5"/>
    <w:rPr>
      <w:vertAlign w:val="superscript"/>
    </w:rPr>
  </w:style>
  <w:style w:type="paragraph" w:customStyle="1" w:styleId="BBAuthorName">
    <w:name w:val="BB_Author_Name"/>
    <w:basedOn w:val="Normal"/>
    <w:next w:val="BCAuthorAddress"/>
    <w:rsid w:val="002C3CE5"/>
    <w:pPr>
      <w:spacing w:after="240" w:line="480" w:lineRule="auto"/>
      <w:jc w:val="center"/>
    </w:pPr>
    <w:rPr>
      <w:rFonts w:ascii="Times" w:eastAsia="Times New Roman" w:hAnsi="Times" w:cs="Times New Roman"/>
      <w:i/>
      <w:kern w:val="0"/>
      <w:szCs w:val="20"/>
      <w14:ligatures w14:val="none"/>
    </w:rPr>
  </w:style>
  <w:style w:type="paragraph" w:customStyle="1" w:styleId="BCAuthorAddress">
    <w:name w:val="BC_Author_Address"/>
    <w:basedOn w:val="Normal"/>
    <w:next w:val="Normal"/>
    <w:rsid w:val="002C3CE5"/>
    <w:pPr>
      <w:spacing w:after="240" w:line="480" w:lineRule="auto"/>
      <w:jc w:val="center"/>
    </w:pPr>
    <w:rPr>
      <w:rFonts w:ascii="Times" w:eastAsia="Times New Roman" w:hAnsi="Times" w:cs="Times New Roman"/>
      <w:kern w:val="0"/>
      <w:szCs w:val="20"/>
      <w14:ligatures w14:val="none"/>
    </w:rPr>
  </w:style>
  <w:style w:type="character" w:styleId="Hyperlink">
    <w:name w:val="Hyperlink"/>
    <w:basedOn w:val="DefaultParagraphFont"/>
    <w:uiPriority w:val="99"/>
    <w:unhideWhenUsed/>
    <w:rsid w:val="00D45B12"/>
    <w:rPr>
      <w:color w:val="467886" w:themeColor="hyperlink"/>
      <w:u w:val="single"/>
    </w:rPr>
  </w:style>
  <w:style w:type="character" w:styleId="UnresolvedMention">
    <w:name w:val="Unresolved Mention"/>
    <w:basedOn w:val="DefaultParagraphFont"/>
    <w:uiPriority w:val="99"/>
    <w:semiHidden/>
    <w:unhideWhenUsed/>
    <w:rsid w:val="00D45B12"/>
    <w:rPr>
      <w:color w:val="605E5C"/>
      <w:shd w:val="clear" w:color="auto" w:fill="E1DFDD"/>
    </w:rPr>
  </w:style>
  <w:style w:type="character" w:styleId="PlaceholderText">
    <w:name w:val="Placeholder Text"/>
    <w:basedOn w:val="DefaultParagraphFont"/>
    <w:uiPriority w:val="99"/>
    <w:semiHidden/>
    <w:rsid w:val="007E1871"/>
    <w:rPr>
      <w:color w:val="666666"/>
    </w:rPr>
  </w:style>
  <w:style w:type="paragraph" w:customStyle="1" w:styleId="Heading24">
    <w:name w:val="Heading2_4"/>
    <w:basedOn w:val="ListParagraph"/>
    <w:qFormat/>
    <w:rsid w:val="00D71393"/>
    <w:pPr>
      <w:widowControl w:val="0"/>
      <w:numPr>
        <w:ilvl w:val="1"/>
        <w:numId w:val="1"/>
      </w:numPr>
      <w:tabs>
        <w:tab w:val="num" w:pos="360"/>
        <w:tab w:val="left" w:pos="866"/>
      </w:tabs>
      <w:autoSpaceDE w:val="0"/>
      <w:autoSpaceDN w:val="0"/>
      <w:spacing w:after="0" w:line="240" w:lineRule="auto"/>
      <w:ind w:left="900" w:hanging="900"/>
      <w:outlineLvl w:val="1"/>
    </w:pPr>
    <w:rPr>
      <w:rFonts w:ascii="Times New Roman" w:eastAsia="Times New Roman" w:hAnsi="Times New Roman" w:cs="Times New Roman"/>
      <w:b/>
      <w:bCs/>
      <w:kern w:val="0"/>
      <w:sz w:val="28"/>
      <w:szCs w:val="28"/>
      <w14:ligatures w14:val="none"/>
    </w:rPr>
  </w:style>
  <w:style w:type="paragraph" w:customStyle="1" w:styleId="Heading242">
    <w:name w:val="Heading2_4_2"/>
    <w:basedOn w:val="ListParagraph"/>
    <w:qFormat/>
    <w:rsid w:val="00D71393"/>
    <w:pPr>
      <w:widowControl w:val="0"/>
      <w:numPr>
        <w:ilvl w:val="2"/>
        <w:numId w:val="1"/>
      </w:numPr>
      <w:tabs>
        <w:tab w:val="num" w:pos="360"/>
        <w:tab w:val="left" w:pos="866"/>
      </w:tabs>
      <w:autoSpaceDE w:val="0"/>
      <w:autoSpaceDN w:val="0"/>
      <w:spacing w:after="0" w:line="240" w:lineRule="auto"/>
      <w:ind w:left="900" w:hanging="900"/>
      <w:outlineLvl w:val="1"/>
    </w:pPr>
    <w:rPr>
      <w:rFonts w:ascii="Times New Roman" w:eastAsia="Times New Roman" w:hAnsi="Times New Roman" w:cs="Times New Roman"/>
      <w:b/>
      <w:bCs/>
      <w:spacing w:val="-2"/>
      <w:kern w:val="0"/>
      <w14:ligatures w14:val="none"/>
    </w:rPr>
  </w:style>
  <w:style w:type="character" w:styleId="EndnoteReference">
    <w:name w:val="endnote reference"/>
    <w:basedOn w:val="DefaultParagraphFont"/>
    <w:uiPriority w:val="99"/>
    <w:semiHidden/>
    <w:unhideWhenUsed/>
    <w:rsid w:val="00EA0493"/>
    <w:rPr>
      <w:vertAlign w:val="superscript"/>
    </w:rPr>
  </w:style>
  <w:style w:type="table" w:styleId="TableGrid">
    <w:name w:val="Table Grid"/>
    <w:basedOn w:val="TableNormal"/>
    <w:uiPriority w:val="39"/>
    <w:rsid w:val="001E48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91756"/>
    <w:rPr>
      <w:sz w:val="16"/>
      <w:szCs w:val="16"/>
    </w:rPr>
  </w:style>
  <w:style w:type="paragraph" w:styleId="CommentText">
    <w:name w:val="annotation text"/>
    <w:basedOn w:val="Normal"/>
    <w:link w:val="CommentTextChar"/>
    <w:uiPriority w:val="99"/>
    <w:unhideWhenUsed/>
    <w:rsid w:val="00091756"/>
    <w:pPr>
      <w:spacing w:line="240" w:lineRule="auto"/>
    </w:pPr>
    <w:rPr>
      <w:sz w:val="20"/>
      <w:szCs w:val="20"/>
    </w:rPr>
  </w:style>
  <w:style w:type="character" w:customStyle="1" w:styleId="CommentTextChar">
    <w:name w:val="Comment Text Char"/>
    <w:basedOn w:val="DefaultParagraphFont"/>
    <w:link w:val="CommentText"/>
    <w:uiPriority w:val="99"/>
    <w:rsid w:val="00091756"/>
    <w:rPr>
      <w:sz w:val="20"/>
      <w:szCs w:val="20"/>
    </w:rPr>
  </w:style>
  <w:style w:type="paragraph" w:styleId="CommentSubject">
    <w:name w:val="annotation subject"/>
    <w:basedOn w:val="CommentText"/>
    <w:next w:val="CommentText"/>
    <w:link w:val="CommentSubjectChar"/>
    <w:uiPriority w:val="99"/>
    <w:semiHidden/>
    <w:unhideWhenUsed/>
    <w:rsid w:val="00091756"/>
    <w:rPr>
      <w:b/>
      <w:bCs/>
    </w:rPr>
  </w:style>
  <w:style w:type="character" w:customStyle="1" w:styleId="CommentSubjectChar">
    <w:name w:val="Comment Subject Char"/>
    <w:basedOn w:val="CommentTextChar"/>
    <w:link w:val="CommentSubject"/>
    <w:uiPriority w:val="99"/>
    <w:semiHidden/>
    <w:rsid w:val="00091756"/>
    <w:rPr>
      <w:b/>
      <w:bCs/>
      <w:sz w:val="20"/>
      <w:szCs w:val="20"/>
    </w:rPr>
  </w:style>
  <w:style w:type="paragraph" w:styleId="Revision">
    <w:name w:val="Revision"/>
    <w:hidden/>
    <w:uiPriority w:val="99"/>
    <w:semiHidden/>
    <w:rsid w:val="00BC55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1598</Words>
  <Characters>9113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Radha Jitendra Rathod</dc:creator>
  <cp:keywords/>
  <dc:description/>
  <cp:lastModifiedBy>Radha Jitendra Rathod</cp:lastModifiedBy>
  <cp:revision>8</cp:revision>
  <cp:lastPrinted>2026-10-01T15:35:00Z</cp:lastPrinted>
  <dcterms:created xsi:type="dcterms:W3CDTF">2026-10-05T18:20:00Z</dcterms:created>
  <dcterms:modified xsi:type="dcterms:W3CDTF">2026-10-07T18:01:00Z</dcterms:modified>
</cp:coreProperties>
</file>