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BDEEB" w14:textId="77777777" w:rsidR="00C034BF" w:rsidRDefault="00C034BF" w:rsidP="00C034BF">
      <w:pPr>
        <w:spacing w:line="360" w:lineRule="auto"/>
        <w:jc w:val="center"/>
        <w:rPr>
          <w:rFonts w:ascii="Arial" w:hAnsi="Arial" w:cs="Arial"/>
          <w:b/>
          <w:bCs/>
          <w:color w:val="000000" w:themeColor="text1"/>
          <w:sz w:val="22"/>
          <w:szCs w:val="22"/>
        </w:rPr>
      </w:pPr>
    </w:p>
    <w:p w14:paraId="39BD5622" w14:textId="28B3F2A5" w:rsidR="00F85935" w:rsidRDefault="00C034BF" w:rsidP="00C034BF">
      <w:pPr>
        <w:spacing w:line="360" w:lineRule="auto"/>
        <w:jc w:val="center"/>
        <w:rPr>
          <w:rFonts w:ascii="Arial" w:hAnsi="Arial" w:cs="Arial"/>
          <w:b/>
          <w:bCs/>
          <w:color w:val="000000" w:themeColor="text1"/>
          <w:sz w:val="22"/>
          <w:szCs w:val="22"/>
        </w:rPr>
      </w:pPr>
      <w:r>
        <w:rPr>
          <w:rFonts w:ascii="Arial" w:hAnsi="Arial" w:cs="Arial"/>
          <w:b/>
          <w:bCs/>
          <w:color w:val="000000" w:themeColor="text1"/>
          <w:sz w:val="22"/>
          <w:szCs w:val="22"/>
        </w:rPr>
        <w:t>Additional File</w:t>
      </w:r>
      <w:r w:rsidR="00F85935">
        <w:rPr>
          <w:rFonts w:ascii="Arial" w:hAnsi="Arial" w:cs="Arial"/>
          <w:b/>
          <w:bCs/>
          <w:color w:val="000000" w:themeColor="text1"/>
          <w:sz w:val="22"/>
          <w:szCs w:val="22"/>
        </w:rPr>
        <w:t xml:space="preserve"> </w:t>
      </w:r>
      <w:r w:rsidR="00E05694">
        <w:rPr>
          <w:rFonts w:ascii="Arial" w:hAnsi="Arial" w:cs="Arial"/>
          <w:b/>
          <w:bCs/>
          <w:color w:val="000000" w:themeColor="text1"/>
          <w:sz w:val="22"/>
          <w:szCs w:val="22"/>
        </w:rPr>
        <w:t>2</w:t>
      </w:r>
    </w:p>
    <w:p w14:paraId="318AA9D8" w14:textId="77777777" w:rsidR="00F85935" w:rsidRDefault="00F85935" w:rsidP="00C034BF">
      <w:pPr>
        <w:spacing w:line="360" w:lineRule="auto"/>
        <w:rPr>
          <w:rFonts w:ascii="Arial" w:hAnsi="Arial" w:cs="Arial"/>
          <w:b/>
          <w:bCs/>
          <w:color w:val="000000" w:themeColor="text1"/>
          <w:sz w:val="22"/>
          <w:szCs w:val="22"/>
        </w:rPr>
      </w:pPr>
    </w:p>
    <w:p w14:paraId="1B3BFA29" w14:textId="39C8404A" w:rsidR="00F85935" w:rsidRDefault="00F85935" w:rsidP="00C034BF">
      <w:pPr>
        <w:spacing w:line="360" w:lineRule="auto"/>
        <w:rPr>
          <w:rFonts w:ascii="Arial" w:hAnsi="Arial" w:cs="Arial"/>
          <w:b/>
          <w:bCs/>
          <w:color w:val="000000" w:themeColor="text1"/>
          <w:sz w:val="22"/>
          <w:szCs w:val="22"/>
        </w:rPr>
      </w:pPr>
      <w:proofErr w:type="gramStart"/>
      <w:r>
        <w:rPr>
          <w:rFonts w:ascii="Arial" w:hAnsi="Arial" w:cs="Arial"/>
          <w:b/>
          <w:bCs/>
          <w:color w:val="000000" w:themeColor="text1"/>
          <w:sz w:val="22"/>
          <w:szCs w:val="22"/>
        </w:rPr>
        <w:t>Expanded  Methods</w:t>
      </w:r>
      <w:proofErr w:type="gramEnd"/>
      <w:r>
        <w:rPr>
          <w:rFonts w:ascii="Arial" w:hAnsi="Arial" w:cs="Arial"/>
          <w:b/>
          <w:bCs/>
          <w:color w:val="000000" w:themeColor="text1"/>
          <w:sz w:val="22"/>
          <w:szCs w:val="22"/>
        </w:rPr>
        <w:t xml:space="preserve"> for Random Survival Forest Modelling</w:t>
      </w:r>
    </w:p>
    <w:p w14:paraId="66F8B83B" w14:textId="3247AD9F" w:rsidR="00F85935" w:rsidRPr="000255F3" w:rsidRDefault="00F85935" w:rsidP="00C034BF">
      <w:pPr>
        <w:spacing w:after="120" w:line="360" w:lineRule="auto"/>
        <w:jc w:val="both"/>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To establish a clinical prognostic model, strict quality-control filters were first applied to collated data</w:t>
      </w:r>
      <w:r>
        <w:rPr>
          <w:rFonts w:ascii="Arial" w:eastAsia="Segoe UI" w:hAnsi="Arial" w:cs="Arial"/>
          <w:color w:val="000000" w:themeColor="text1"/>
          <w:sz w:val="22"/>
          <w:szCs w:val="22"/>
        </w:rPr>
        <w:t xml:space="preserve"> as detailed in results</w:t>
      </w:r>
      <w:r w:rsidRPr="000255F3">
        <w:rPr>
          <w:rFonts w:ascii="Arial" w:eastAsia="Segoe UI" w:hAnsi="Arial" w:cs="Arial"/>
          <w:color w:val="000000" w:themeColor="text1"/>
          <w:sz w:val="22"/>
          <w:szCs w:val="22"/>
        </w:rPr>
        <w:t xml:space="preserve">. Censoring time was defined as the age at last contact, </w:t>
      </w:r>
      <w:r>
        <w:rPr>
          <w:rFonts w:ascii="Arial" w:eastAsia="Segoe UI" w:hAnsi="Arial" w:cs="Arial"/>
          <w:color w:val="000000" w:themeColor="text1"/>
          <w:sz w:val="22"/>
          <w:szCs w:val="22"/>
        </w:rPr>
        <w:t>and s</w:t>
      </w:r>
      <w:r w:rsidRPr="000255F3">
        <w:rPr>
          <w:rFonts w:ascii="Arial" w:eastAsia="Segoe UI" w:hAnsi="Arial" w:cs="Arial"/>
          <w:color w:val="000000" w:themeColor="text1"/>
          <w:sz w:val="22"/>
          <w:szCs w:val="22"/>
        </w:rPr>
        <w:t xml:space="preserve">urvival time as </w:t>
      </w:r>
      <w:r>
        <w:rPr>
          <w:rFonts w:ascii="Arial" w:eastAsia="Segoe UI" w:hAnsi="Arial" w:cs="Arial"/>
          <w:color w:val="000000" w:themeColor="text1"/>
          <w:sz w:val="22"/>
          <w:szCs w:val="22"/>
        </w:rPr>
        <w:t xml:space="preserve">time from presentation to </w:t>
      </w:r>
      <w:r w:rsidRPr="000255F3">
        <w:rPr>
          <w:rFonts w:ascii="Arial" w:eastAsia="Segoe UI" w:hAnsi="Arial" w:cs="Arial"/>
          <w:color w:val="000000" w:themeColor="text1"/>
          <w:sz w:val="22"/>
          <w:szCs w:val="22"/>
        </w:rPr>
        <w:t xml:space="preserve">death </w:t>
      </w:r>
      <w:r>
        <w:rPr>
          <w:rFonts w:ascii="Arial" w:eastAsia="Segoe UI" w:hAnsi="Arial" w:cs="Arial"/>
          <w:color w:val="000000" w:themeColor="text1"/>
          <w:sz w:val="22"/>
          <w:szCs w:val="22"/>
        </w:rPr>
        <w:t xml:space="preserve">or </w:t>
      </w:r>
      <w:r w:rsidRPr="000255F3">
        <w:rPr>
          <w:rFonts w:ascii="Arial" w:eastAsia="Segoe UI" w:hAnsi="Arial" w:cs="Arial"/>
          <w:color w:val="000000" w:themeColor="text1"/>
          <w:sz w:val="22"/>
          <w:szCs w:val="22"/>
        </w:rPr>
        <w:t xml:space="preserve">censoring. </w:t>
      </w:r>
      <w:r>
        <w:rPr>
          <w:rFonts w:ascii="Arial" w:eastAsia="Segoe UI" w:hAnsi="Arial" w:cs="Arial"/>
          <w:color w:val="000000" w:themeColor="text1"/>
          <w:sz w:val="22"/>
          <w:szCs w:val="22"/>
        </w:rPr>
        <w:t>A mixture of continuous and categorical c</w:t>
      </w:r>
      <w:r w:rsidRPr="000255F3">
        <w:rPr>
          <w:rFonts w:ascii="Arial" w:eastAsia="Segoe UI" w:hAnsi="Arial" w:cs="Arial"/>
          <w:color w:val="000000" w:themeColor="text1"/>
          <w:sz w:val="22"/>
          <w:szCs w:val="22"/>
        </w:rPr>
        <w:t xml:space="preserve">andidate prognostic variables </w:t>
      </w:r>
      <w:proofErr w:type="gramStart"/>
      <w:r w:rsidRPr="000255F3">
        <w:rPr>
          <w:rFonts w:ascii="Arial" w:eastAsia="Segoe UI" w:hAnsi="Arial" w:cs="Arial"/>
          <w:color w:val="000000" w:themeColor="text1"/>
          <w:sz w:val="22"/>
          <w:szCs w:val="22"/>
        </w:rPr>
        <w:t>were</w:t>
      </w:r>
      <w:proofErr w:type="gramEnd"/>
      <w:r w:rsidRPr="000255F3">
        <w:rPr>
          <w:rFonts w:ascii="Arial" w:eastAsia="Segoe UI" w:hAnsi="Arial" w:cs="Arial"/>
          <w:color w:val="000000" w:themeColor="text1"/>
          <w:sz w:val="22"/>
          <w:szCs w:val="22"/>
        </w:rPr>
        <w:t xml:space="preserve"> selected based on clinical plausibility, data completeness, and robustness of the reported phenotype or measure. </w:t>
      </w:r>
      <w:r>
        <w:rPr>
          <w:rFonts w:ascii="Arial" w:eastAsia="Segoe UI" w:hAnsi="Arial" w:cs="Arial"/>
          <w:color w:val="000000" w:themeColor="text1"/>
          <w:sz w:val="22"/>
          <w:szCs w:val="22"/>
        </w:rPr>
        <w:t>These included the s</w:t>
      </w:r>
      <w:r w:rsidRPr="000255F3">
        <w:rPr>
          <w:rFonts w:ascii="Arial" w:eastAsia="Segoe UI" w:hAnsi="Arial" w:cs="Arial"/>
          <w:color w:val="000000" w:themeColor="text1"/>
          <w:sz w:val="22"/>
          <w:szCs w:val="22"/>
        </w:rPr>
        <w:t>um of CADD scores</w:t>
      </w:r>
      <w:r>
        <w:rPr>
          <w:rFonts w:ascii="Arial" w:eastAsia="Segoe UI" w:hAnsi="Arial" w:cs="Arial"/>
          <w:color w:val="000000" w:themeColor="text1"/>
          <w:sz w:val="22"/>
          <w:szCs w:val="22"/>
        </w:rPr>
        <w:t xml:space="preserve"> </w:t>
      </w:r>
      <w:r w:rsidRPr="000255F3">
        <w:rPr>
          <w:rFonts w:ascii="Arial" w:eastAsia="Segoe UI" w:hAnsi="Arial" w:cs="Arial"/>
          <w:color w:val="000000" w:themeColor="text1"/>
          <w:sz w:val="22"/>
          <w:szCs w:val="22"/>
        </w:rPr>
        <w:t xml:space="preserve">for the two variants per individual, </w:t>
      </w:r>
      <w:proofErr w:type="gramStart"/>
      <w:r w:rsidRPr="000255F3">
        <w:rPr>
          <w:rFonts w:ascii="Arial" w:eastAsia="Segoe UI" w:hAnsi="Arial" w:cs="Arial"/>
          <w:color w:val="000000" w:themeColor="text1"/>
          <w:sz w:val="22"/>
          <w:szCs w:val="22"/>
        </w:rPr>
        <w:t>and also</w:t>
      </w:r>
      <w:proofErr w:type="gramEnd"/>
      <w:r w:rsidRPr="000255F3">
        <w:rPr>
          <w:rFonts w:ascii="Arial" w:eastAsia="Segoe UI" w:hAnsi="Arial" w:cs="Arial"/>
          <w:color w:val="000000" w:themeColor="text1"/>
          <w:sz w:val="22"/>
          <w:szCs w:val="22"/>
        </w:rPr>
        <w:t xml:space="preserve"> the experimentally unified variant function score. </w:t>
      </w:r>
      <w:r>
        <w:rPr>
          <w:rFonts w:ascii="Arial" w:eastAsia="Segoe UI" w:hAnsi="Arial" w:cs="Arial"/>
          <w:color w:val="000000" w:themeColor="text1"/>
          <w:sz w:val="22"/>
          <w:szCs w:val="22"/>
        </w:rPr>
        <w:t>Many</w:t>
      </w:r>
      <w:r w:rsidRPr="000255F3">
        <w:rPr>
          <w:rFonts w:ascii="Arial" w:eastAsia="Segoe UI" w:hAnsi="Arial" w:cs="Arial"/>
          <w:color w:val="000000" w:themeColor="text1"/>
          <w:sz w:val="22"/>
          <w:szCs w:val="22"/>
        </w:rPr>
        <w:t xml:space="preserve"> </w:t>
      </w:r>
      <w:r>
        <w:rPr>
          <w:rFonts w:ascii="Arial" w:eastAsia="Segoe UI" w:hAnsi="Arial" w:cs="Arial"/>
          <w:color w:val="000000" w:themeColor="text1"/>
          <w:sz w:val="22"/>
          <w:szCs w:val="22"/>
        </w:rPr>
        <w:t xml:space="preserve">categorical </w:t>
      </w:r>
      <w:r w:rsidRPr="000255F3">
        <w:rPr>
          <w:rFonts w:ascii="Arial" w:eastAsia="Segoe UI" w:hAnsi="Arial" w:cs="Arial"/>
          <w:color w:val="000000" w:themeColor="text1"/>
          <w:sz w:val="22"/>
          <w:szCs w:val="22"/>
        </w:rPr>
        <w:t xml:space="preserve">phenotypic findings </w:t>
      </w:r>
      <w:r>
        <w:rPr>
          <w:rFonts w:ascii="Arial" w:eastAsia="Segoe UI" w:hAnsi="Arial" w:cs="Arial"/>
          <w:color w:val="000000" w:themeColor="text1"/>
          <w:sz w:val="22"/>
          <w:szCs w:val="22"/>
        </w:rPr>
        <w:t>we</w:t>
      </w:r>
      <w:r w:rsidRPr="000255F3">
        <w:rPr>
          <w:rFonts w:ascii="Arial" w:eastAsia="Segoe UI" w:hAnsi="Arial" w:cs="Arial"/>
          <w:color w:val="000000" w:themeColor="text1"/>
          <w:sz w:val="22"/>
          <w:szCs w:val="22"/>
        </w:rPr>
        <w:t xml:space="preserve">re not documented in clinical reports, especially </w:t>
      </w:r>
      <w:r>
        <w:rPr>
          <w:rFonts w:ascii="Arial" w:eastAsia="Segoe UI" w:hAnsi="Arial" w:cs="Arial"/>
          <w:color w:val="000000" w:themeColor="text1"/>
          <w:sz w:val="22"/>
          <w:szCs w:val="22"/>
        </w:rPr>
        <w:t>those</w:t>
      </w:r>
      <w:r w:rsidRPr="000255F3">
        <w:rPr>
          <w:rFonts w:ascii="Arial" w:eastAsia="Segoe UI" w:hAnsi="Arial" w:cs="Arial"/>
          <w:color w:val="000000" w:themeColor="text1"/>
          <w:sz w:val="22"/>
          <w:szCs w:val="22"/>
        </w:rPr>
        <w:t xml:space="preserve"> focused primarily on functional studies of INSR variants. To prevent selection bias and </w:t>
      </w:r>
      <w:r>
        <w:rPr>
          <w:rFonts w:ascii="Arial" w:eastAsia="Segoe UI" w:hAnsi="Arial" w:cs="Arial"/>
          <w:color w:val="000000" w:themeColor="text1"/>
          <w:sz w:val="22"/>
          <w:szCs w:val="22"/>
        </w:rPr>
        <w:t xml:space="preserve">to </w:t>
      </w:r>
      <w:r w:rsidRPr="000255F3">
        <w:rPr>
          <w:rFonts w:ascii="Arial" w:eastAsia="Segoe UI" w:hAnsi="Arial" w:cs="Arial"/>
          <w:color w:val="000000" w:themeColor="text1"/>
          <w:sz w:val="22"/>
          <w:szCs w:val="22"/>
        </w:rPr>
        <w:t xml:space="preserve">avoid removing these records, we implemented a dual-stage categorical imputation.  First, for ten phenotypic features, we applied probabilistic recoding based on expert clinical </w:t>
      </w:r>
      <w:r>
        <w:rPr>
          <w:rFonts w:ascii="Arial" w:eastAsia="Segoe UI" w:hAnsi="Arial" w:cs="Arial"/>
          <w:color w:val="000000" w:themeColor="text1"/>
          <w:sz w:val="22"/>
          <w:szCs w:val="22"/>
        </w:rPr>
        <w:t>judgment (</w:t>
      </w:r>
      <w:r w:rsidRPr="00F85935">
        <w:rPr>
          <w:rFonts w:ascii="Arial" w:eastAsia="Segoe UI" w:hAnsi="Arial" w:cs="Arial"/>
          <w:b/>
          <w:bCs/>
          <w:color w:val="000000" w:themeColor="text1"/>
          <w:sz w:val="22"/>
          <w:szCs w:val="22"/>
        </w:rPr>
        <w:t>Supplementary Table 1</w:t>
      </w:r>
      <w:r>
        <w:rPr>
          <w:rFonts w:ascii="Arial" w:eastAsia="Segoe UI" w:hAnsi="Arial" w:cs="Arial"/>
          <w:color w:val="000000" w:themeColor="text1"/>
          <w:sz w:val="22"/>
          <w:szCs w:val="22"/>
        </w:rPr>
        <w:t>)</w:t>
      </w:r>
      <w:r w:rsidRPr="000255F3">
        <w:rPr>
          <w:rFonts w:ascii="Arial" w:eastAsia="Segoe UI" w:hAnsi="Arial" w:cs="Arial"/>
          <w:color w:val="000000" w:themeColor="text1"/>
          <w:sz w:val="22"/>
          <w:szCs w:val="22"/>
        </w:rPr>
        <w:t xml:space="preserve">. Within each training subset, a specific proportion of "unknown" values was recoded to "No", reflecting expert-adjudicated priors that unreported findings indicate true absence of a feature. For example, if no cardiac abnormalities were documented, we estimated an 80% probability that cardiac abnormalities were truly absent, mapping 80% of those unknown records to "No". This process reflected clinical judgement and preserved the study population. Second, any remaining unknown categorical values were stochastically imputed. This was done by sampling "Yes" or "No" based on the observed distribution of present/absent symptoms in the training subset. Continuous variables with missing values were imputed using the median values calculated within the training partition. For model execution, categorical predictors were transformed via one-hot encoding, while rare classification levels were handled using infrequent-category encoding. To ensure the model remained clinical, any predictor with more than 50% overall missingness within a training set was excluded from that specific partition. </w:t>
      </w:r>
    </w:p>
    <w:p w14:paraId="6EC09841" w14:textId="77777777" w:rsidR="00F85935" w:rsidRPr="000255F3" w:rsidRDefault="00F85935" w:rsidP="00C034BF">
      <w:pPr>
        <w:spacing w:after="120" w:line="360" w:lineRule="auto"/>
        <w:jc w:val="both"/>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 xml:space="preserve">Prognostic risk parsing was conducted using a Random Survival Forest (RSF) machine learning model. To estimate model generalisability and prevent overfitting, </w:t>
      </w:r>
      <w:r>
        <w:rPr>
          <w:rFonts w:ascii="Arial" w:eastAsia="Segoe UI" w:hAnsi="Arial" w:cs="Arial"/>
          <w:color w:val="000000" w:themeColor="text1"/>
          <w:sz w:val="22"/>
          <w:szCs w:val="22"/>
        </w:rPr>
        <w:t>t</w:t>
      </w:r>
      <w:r w:rsidRPr="000255F3">
        <w:rPr>
          <w:rFonts w:ascii="Arial" w:eastAsia="Segoe UI" w:hAnsi="Arial" w:cs="Arial"/>
          <w:color w:val="000000" w:themeColor="text1"/>
          <w:sz w:val="22"/>
          <w:szCs w:val="22"/>
        </w:rPr>
        <w:t xml:space="preserve">he dataset was </w:t>
      </w:r>
      <w:r>
        <w:rPr>
          <w:rFonts w:ascii="Arial" w:eastAsia="Segoe UI" w:hAnsi="Arial" w:cs="Arial"/>
          <w:color w:val="000000" w:themeColor="text1"/>
          <w:sz w:val="22"/>
          <w:szCs w:val="22"/>
        </w:rPr>
        <w:t xml:space="preserve">first </w:t>
      </w:r>
      <w:r w:rsidRPr="000255F3">
        <w:rPr>
          <w:rFonts w:ascii="Arial" w:eastAsia="Segoe UI" w:hAnsi="Arial" w:cs="Arial"/>
          <w:color w:val="000000" w:themeColor="text1"/>
          <w:sz w:val="22"/>
          <w:szCs w:val="22"/>
        </w:rPr>
        <w:t xml:space="preserve">split into five distinct validation groups, with each group maintaining the same proportion of survival events (deaths). Each group was iteratively withheld to serve as an independent test set, while the remaining four groups were pooled to form the model training set. Comparing the model's performance across these different training and testing configurations provided an unbiased estimate of stability. The RSF architecture was constructed with a forest size of 500 individual survival trees. Split options at each internal node were restricted to the square root of the total candidate feature count. To control tree growth, we required a minimum </w:t>
      </w:r>
      <w:r w:rsidRPr="000255F3">
        <w:rPr>
          <w:rFonts w:ascii="Arial" w:eastAsia="Segoe UI" w:hAnsi="Arial" w:cs="Arial"/>
          <w:color w:val="000000" w:themeColor="text1"/>
          <w:sz w:val="22"/>
          <w:szCs w:val="22"/>
        </w:rPr>
        <w:lastRenderedPageBreak/>
        <w:t xml:space="preserve">of 10 observations to perform an internal node split, and a minimum of 5 observations in any terminal leaf node. All stochastic procedures were governed by a fixed random seed of 42 to ensure exact reproducibility of results. </w:t>
      </w:r>
    </w:p>
    <w:p w14:paraId="6D9DFA3C" w14:textId="042D1E27" w:rsidR="00F85935" w:rsidRPr="000255F3" w:rsidRDefault="00F85935" w:rsidP="00C034BF">
      <w:pPr>
        <w:spacing w:after="120" w:line="360" w:lineRule="auto"/>
        <w:jc w:val="both"/>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 xml:space="preserve">For each independent test set, the RSF model generated a continuous prognostic risk score and an individualised survival curve. Discrimination, or the model's capacity to correctly rank patient risk was evaluated using Harrell’s concordance index (C-index) and Uno’s C-index. Short-term prognostic accuracy at 2 years post-presentation was assessed using the time-dependent cumulative/dynamic Area Under the Curve (AUC) and the 2-year Brier score. The Integrated Brier Score (IBS) was also used when estimable across a continuous time window from 0.1 to 2.0 years to track long-term calibration consistency. Meaning and interpretation of model performance indices is summarised in </w:t>
      </w:r>
      <w:r w:rsidRPr="000255F3">
        <w:rPr>
          <w:rFonts w:ascii="Arial" w:eastAsia="Segoe UI" w:hAnsi="Arial" w:cs="Arial"/>
          <w:b/>
          <w:bCs/>
          <w:color w:val="000000" w:themeColor="text1"/>
          <w:sz w:val="22"/>
          <w:szCs w:val="22"/>
        </w:rPr>
        <w:t xml:space="preserve">Supplementary Table </w:t>
      </w:r>
      <w:r>
        <w:rPr>
          <w:rFonts w:ascii="Arial" w:eastAsia="Segoe UI" w:hAnsi="Arial" w:cs="Arial"/>
          <w:b/>
          <w:bCs/>
          <w:color w:val="000000" w:themeColor="text1"/>
          <w:sz w:val="22"/>
          <w:szCs w:val="22"/>
        </w:rPr>
        <w:t>2</w:t>
      </w:r>
      <w:r w:rsidRPr="000255F3">
        <w:rPr>
          <w:rFonts w:ascii="Arial" w:eastAsia="Segoe UI" w:hAnsi="Arial" w:cs="Arial"/>
          <w:color w:val="000000" w:themeColor="text1"/>
          <w:sz w:val="22"/>
          <w:szCs w:val="22"/>
        </w:rPr>
        <w:t xml:space="preserve">. To evaluate model calibration, patients were partitioned into five subgroups based on their predicted 2-year survival probabilities. It is important to note that these predictions were generated out-of-fold, meaning each patient's prognosis was predicted by a model that had not seen their clinical data during training. The mean predicted survival within each of the five cohorts was then directly compared against the observed survival calculated using Kaplan-Meier estimates. For optimistic bias prevention, all calibration and risk-stratification analyses were based on these pooled out-of-fold test set predictions. </w:t>
      </w:r>
    </w:p>
    <w:p w14:paraId="6095BCF7" w14:textId="77777777" w:rsidR="00F85935" w:rsidRPr="000255F3" w:rsidRDefault="00F85935" w:rsidP="00C034BF">
      <w:pPr>
        <w:spacing w:after="120" w:line="360" w:lineRule="auto"/>
        <w:jc w:val="both"/>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 xml:space="preserve">Clinical risk categories were defined by dividing the pooled risk scores into tertiles, classifying patients into Low-risk, Medium-risk, and High-risk cohorts. Key drivers of mortality risk were defined by calculated Permutation Feature Importance. Within each independent test fold, the values of each predictor were shuffled across 30 repeated runs, and the resulting drop in model concordance was measured and averaged across folds. All statistical evaluations and calculations were performed in Python using pandas (version 2.2), NumPy (version 1.26), scikit-survival (version 0.22), scikit-learn (version 1.4), lifelines (version 0.28), matplotlib (version 3.8), and seaborn (version 0.13). </w:t>
      </w:r>
    </w:p>
    <w:p w14:paraId="76460874" w14:textId="77777777" w:rsidR="00F85935" w:rsidRDefault="00F85935" w:rsidP="00C034BF">
      <w:pPr>
        <w:spacing w:line="360" w:lineRule="auto"/>
        <w:rPr>
          <w:rFonts w:ascii="Arial" w:hAnsi="Arial" w:cs="Arial"/>
          <w:b/>
          <w:bCs/>
          <w:color w:val="000000" w:themeColor="text1"/>
          <w:sz w:val="22"/>
          <w:szCs w:val="22"/>
        </w:rPr>
      </w:pPr>
      <w:r>
        <w:rPr>
          <w:rFonts w:ascii="Arial" w:hAnsi="Arial" w:cs="Arial"/>
          <w:b/>
          <w:bCs/>
          <w:color w:val="000000" w:themeColor="text1"/>
          <w:sz w:val="22"/>
          <w:szCs w:val="22"/>
        </w:rPr>
        <w:br w:type="page"/>
      </w:r>
    </w:p>
    <w:p w14:paraId="5FFF7840" w14:textId="06C95EC9" w:rsidR="00F85935" w:rsidRPr="000255F3" w:rsidRDefault="00F85935" w:rsidP="00C034BF">
      <w:pPr>
        <w:spacing w:line="360" w:lineRule="auto"/>
        <w:jc w:val="center"/>
        <w:rPr>
          <w:rFonts w:ascii="Arial" w:hAnsi="Arial" w:cs="Arial"/>
          <w:b/>
          <w:bCs/>
          <w:color w:val="000000" w:themeColor="text1"/>
          <w:sz w:val="22"/>
          <w:szCs w:val="22"/>
        </w:rPr>
      </w:pPr>
      <w:r>
        <w:rPr>
          <w:rFonts w:ascii="Arial" w:hAnsi="Arial" w:cs="Arial"/>
          <w:b/>
          <w:bCs/>
          <w:color w:val="000000" w:themeColor="text1"/>
          <w:sz w:val="22"/>
          <w:szCs w:val="22"/>
        </w:rPr>
        <w:lastRenderedPageBreak/>
        <w:t>Supplementary Tables</w:t>
      </w:r>
    </w:p>
    <w:p w14:paraId="1E1F0368" w14:textId="77777777" w:rsidR="00BF35BC" w:rsidRPr="000255F3" w:rsidRDefault="00BF35BC" w:rsidP="00C034BF">
      <w:pPr>
        <w:spacing w:line="360" w:lineRule="auto"/>
        <w:jc w:val="center"/>
        <w:rPr>
          <w:rFonts w:ascii="Arial" w:hAnsi="Arial" w:cs="Arial"/>
          <w:b/>
          <w:bCs/>
          <w:color w:val="000000" w:themeColor="text1"/>
          <w:sz w:val="22"/>
          <w:szCs w:val="22"/>
        </w:rPr>
      </w:pPr>
    </w:p>
    <w:p w14:paraId="26D25D7D" w14:textId="77777777" w:rsidR="00BF35BC" w:rsidRPr="000255F3" w:rsidRDefault="00BF35BC" w:rsidP="00C034BF">
      <w:pPr>
        <w:spacing w:line="360" w:lineRule="auto"/>
        <w:rPr>
          <w:rFonts w:ascii="Arial" w:hAnsi="Arial" w:cs="Arial"/>
          <w:b/>
          <w:bCs/>
          <w:color w:val="000000" w:themeColor="text1"/>
          <w:sz w:val="22"/>
          <w:szCs w:val="22"/>
        </w:rPr>
      </w:pPr>
    </w:p>
    <w:p w14:paraId="6F593A6E" w14:textId="77777777" w:rsidR="00BF35BC" w:rsidRPr="000255F3" w:rsidRDefault="00BF35BC" w:rsidP="00C034BF">
      <w:pPr>
        <w:spacing w:line="360" w:lineRule="auto"/>
        <w:rPr>
          <w:rFonts w:ascii="Arial" w:hAnsi="Arial" w:cs="Arial"/>
          <w:b/>
          <w:bCs/>
          <w:color w:val="000000" w:themeColor="text1"/>
          <w:sz w:val="22"/>
          <w:szCs w:val="22"/>
        </w:rPr>
      </w:pPr>
    </w:p>
    <w:tbl>
      <w:tblPr>
        <w:tblStyle w:val="TableGrid"/>
        <w:tblW w:w="0" w:type="auto"/>
        <w:tblInd w:w="1696" w:type="dxa"/>
        <w:tblLook w:val="04A0" w:firstRow="1" w:lastRow="0" w:firstColumn="1" w:lastColumn="0" w:noHBand="0" w:noVBand="1"/>
      </w:tblPr>
      <w:tblGrid>
        <w:gridCol w:w="2198"/>
        <w:gridCol w:w="2905"/>
      </w:tblGrid>
      <w:tr w:rsidR="00BF35BC" w:rsidRPr="000255F3" w14:paraId="5AD051ED" w14:textId="77777777" w:rsidTr="00AB3DAD">
        <w:tc>
          <w:tcPr>
            <w:tcW w:w="2198" w:type="dxa"/>
            <w:vAlign w:val="center"/>
          </w:tcPr>
          <w:p w14:paraId="4D238CBD" w14:textId="77777777" w:rsidR="00BF35BC" w:rsidRPr="000255F3" w:rsidRDefault="00BF35BC" w:rsidP="00C034BF">
            <w:pPr>
              <w:spacing w:before="80" w:after="80" w:line="360" w:lineRule="auto"/>
              <w:jc w:val="center"/>
              <w:rPr>
                <w:rFonts w:ascii="Arial" w:hAnsi="Arial" w:cs="Arial"/>
                <w:b/>
                <w:bCs/>
                <w:color w:val="000000" w:themeColor="text1"/>
                <w:sz w:val="22"/>
                <w:szCs w:val="22"/>
              </w:rPr>
            </w:pPr>
            <w:r w:rsidRPr="000255F3">
              <w:rPr>
                <w:rFonts w:ascii="Arial" w:hAnsi="Arial" w:cs="Arial"/>
                <w:b/>
                <w:bCs/>
                <w:color w:val="000000" w:themeColor="text1"/>
                <w:sz w:val="22"/>
                <w:szCs w:val="22"/>
              </w:rPr>
              <w:t>Phenotypic Feature</w:t>
            </w:r>
          </w:p>
        </w:tc>
        <w:tc>
          <w:tcPr>
            <w:tcW w:w="2905" w:type="dxa"/>
            <w:vAlign w:val="center"/>
          </w:tcPr>
          <w:p w14:paraId="67DB1562" w14:textId="77777777" w:rsidR="00BF35BC" w:rsidRPr="000255F3" w:rsidRDefault="00BF35BC" w:rsidP="00C034BF">
            <w:pPr>
              <w:spacing w:before="80" w:after="80" w:line="360" w:lineRule="auto"/>
              <w:jc w:val="center"/>
              <w:rPr>
                <w:rFonts w:ascii="Arial" w:hAnsi="Arial" w:cs="Arial"/>
                <w:b/>
                <w:bCs/>
                <w:color w:val="000000" w:themeColor="text1"/>
                <w:sz w:val="22"/>
                <w:szCs w:val="22"/>
              </w:rPr>
            </w:pPr>
            <w:r w:rsidRPr="000255F3">
              <w:rPr>
                <w:rFonts w:ascii="Arial" w:hAnsi="Arial" w:cs="Arial"/>
                <w:b/>
                <w:bCs/>
                <w:color w:val="000000" w:themeColor="text1"/>
                <w:sz w:val="22"/>
                <w:szCs w:val="22"/>
              </w:rPr>
              <w:t>Probability assigned that absence comment mean absence of phenotype</w:t>
            </w:r>
          </w:p>
        </w:tc>
      </w:tr>
      <w:tr w:rsidR="00BF35BC" w:rsidRPr="000255F3" w14:paraId="4EA272AA" w14:textId="77777777" w:rsidTr="00AB3DAD">
        <w:tc>
          <w:tcPr>
            <w:tcW w:w="2198" w:type="dxa"/>
            <w:vAlign w:val="center"/>
          </w:tcPr>
          <w:p w14:paraId="04E3DE92" w14:textId="77777777" w:rsidR="00BF35BC" w:rsidRPr="000255F3" w:rsidRDefault="00BF35BC" w:rsidP="00C034BF">
            <w:pPr>
              <w:spacing w:before="80" w:after="80" w:line="360" w:lineRule="auto"/>
              <w:jc w:val="center"/>
              <w:rPr>
                <w:rFonts w:ascii="Arial" w:hAnsi="Arial" w:cs="Arial"/>
                <w:b/>
                <w:bCs/>
                <w:color w:val="000000" w:themeColor="text1"/>
                <w:sz w:val="22"/>
                <w:szCs w:val="22"/>
              </w:rPr>
            </w:pPr>
            <w:r w:rsidRPr="000255F3">
              <w:rPr>
                <w:rFonts w:ascii="Arial" w:eastAsia="Segoe UI" w:hAnsi="Arial" w:cs="Arial"/>
                <w:color w:val="000000" w:themeColor="text1"/>
                <w:sz w:val="22"/>
                <w:szCs w:val="22"/>
              </w:rPr>
              <w:t>Cardiac abnormalities</w:t>
            </w:r>
          </w:p>
        </w:tc>
        <w:tc>
          <w:tcPr>
            <w:tcW w:w="2905" w:type="dxa"/>
            <w:vAlign w:val="center"/>
          </w:tcPr>
          <w:p w14:paraId="34DE48FA"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0.8</w:t>
            </w:r>
          </w:p>
        </w:tc>
      </w:tr>
      <w:tr w:rsidR="00BF35BC" w:rsidRPr="000255F3" w14:paraId="250F8EAE" w14:textId="77777777" w:rsidTr="00AB3DAD">
        <w:tc>
          <w:tcPr>
            <w:tcW w:w="2198" w:type="dxa"/>
            <w:vAlign w:val="center"/>
          </w:tcPr>
          <w:p w14:paraId="4915C76A" w14:textId="77777777" w:rsidR="00BF35BC" w:rsidRPr="000255F3" w:rsidRDefault="00BF35BC" w:rsidP="00C034BF">
            <w:pPr>
              <w:spacing w:before="80" w:after="80" w:line="360" w:lineRule="auto"/>
              <w:jc w:val="center"/>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Diabetes</w:t>
            </w:r>
          </w:p>
        </w:tc>
        <w:tc>
          <w:tcPr>
            <w:tcW w:w="2905" w:type="dxa"/>
            <w:vAlign w:val="center"/>
          </w:tcPr>
          <w:p w14:paraId="638FF74F"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0.8</w:t>
            </w:r>
          </w:p>
        </w:tc>
      </w:tr>
      <w:tr w:rsidR="00BF35BC" w:rsidRPr="000255F3" w14:paraId="410B1465" w14:textId="77777777" w:rsidTr="00AB3DAD">
        <w:tc>
          <w:tcPr>
            <w:tcW w:w="2198" w:type="dxa"/>
            <w:vAlign w:val="center"/>
          </w:tcPr>
          <w:p w14:paraId="60E18226" w14:textId="77777777" w:rsidR="00BF35BC" w:rsidRPr="000255F3" w:rsidRDefault="00BF35BC" w:rsidP="00C034BF">
            <w:pPr>
              <w:spacing w:before="80" w:after="80" w:line="360" w:lineRule="auto"/>
              <w:jc w:val="center"/>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Coagulopathy</w:t>
            </w:r>
          </w:p>
        </w:tc>
        <w:tc>
          <w:tcPr>
            <w:tcW w:w="2905" w:type="dxa"/>
            <w:vAlign w:val="center"/>
          </w:tcPr>
          <w:p w14:paraId="464ADCF2"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0.7</w:t>
            </w:r>
          </w:p>
        </w:tc>
      </w:tr>
      <w:tr w:rsidR="00BF35BC" w:rsidRPr="000255F3" w14:paraId="256AB12A" w14:textId="77777777" w:rsidTr="00AB3DAD">
        <w:tc>
          <w:tcPr>
            <w:tcW w:w="2198" w:type="dxa"/>
            <w:vAlign w:val="center"/>
          </w:tcPr>
          <w:p w14:paraId="611A306B" w14:textId="77777777" w:rsidR="00BF35BC" w:rsidRPr="000255F3" w:rsidRDefault="00BF35BC" w:rsidP="00C034BF">
            <w:pPr>
              <w:spacing w:before="80" w:after="80" w:line="360" w:lineRule="auto"/>
              <w:jc w:val="center"/>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Hypoglycaemia</w:t>
            </w:r>
          </w:p>
        </w:tc>
        <w:tc>
          <w:tcPr>
            <w:tcW w:w="2905" w:type="dxa"/>
            <w:vAlign w:val="center"/>
          </w:tcPr>
          <w:p w14:paraId="44C06EE2"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0.7</w:t>
            </w:r>
          </w:p>
        </w:tc>
      </w:tr>
      <w:tr w:rsidR="00BF35BC" w:rsidRPr="000255F3" w14:paraId="209B6207" w14:textId="77777777" w:rsidTr="00AB3DAD">
        <w:tc>
          <w:tcPr>
            <w:tcW w:w="2198" w:type="dxa"/>
            <w:vAlign w:val="center"/>
          </w:tcPr>
          <w:p w14:paraId="091B62AA" w14:textId="77777777" w:rsidR="00BF35BC" w:rsidRPr="000255F3" w:rsidRDefault="00BF35BC" w:rsidP="00C034BF">
            <w:pPr>
              <w:spacing w:before="80" w:after="80" w:line="360" w:lineRule="auto"/>
              <w:jc w:val="center"/>
              <w:rPr>
                <w:rFonts w:ascii="Arial" w:hAnsi="Arial" w:cs="Arial"/>
                <w:b/>
                <w:bCs/>
                <w:color w:val="000000" w:themeColor="text1"/>
                <w:sz w:val="22"/>
                <w:szCs w:val="22"/>
              </w:rPr>
            </w:pPr>
            <w:r w:rsidRPr="000255F3">
              <w:rPr>
                <w:rFonts w:ascii="Arial" w:eastAsia="Segoe UI" w:hAnsi="Arial" w:cs="Arial"/>
                <w:color w:val="000000" w:themeColor="text1"/>
                <w:sz w:val="22"/>
                <w:szCs w:val="22"/>
              </w:rPr>
              <w:t>Liver abnormalities</w:t>
            </w:r>
          </w:p>
        </w:tc>
        <w:tc>
          <w:tcPr>
            <w:tcW w:w="2905" w:type="dxa"/>
            <w:vAlign w:val="center"/>
          </w:tcPr>
          <w:p w14:paraId="7AA4D564"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0.6</w:t>
            </w:r>
          </w:p>
        </w:tc>
      </w:tr>
      <w:tr w:rsidR="00BF35BC" w:rsidRPr="000255F3" w14:paraId="05898551" w14:textId="77777777" w:rsidTr="00AB3DAD">
        <w:tc>
          <w:tcPr>
            <w:tcW w:w="2198" w:type="dxa"/>
            <w:vAlign w:val="center"/>
          </w:tcPr>
          <w:p w14:paraId="040C7466" w14:textId="77777777" w:rsidR="00BF35BC" w:rsidRPr="000255F3" w:rsidRDefault="00BF35BC" w:rsidP="00C034BF">
            <w:pPr>
              <w:spacing w:before="80" w:after="80" w:line="360" w:lineRule="auto"/>
              <w:jc w:val="center"/>
              <w:rPr>
                <w:rFonts w:ascii="Arial" w:hAnsi="Arial" w:cs="Arial"/>
                <w:b/>
                <w:bCs/>
                <w:color w:val="000000" w:themeColor="text1"/>
                <w:sz w:val="22"/>
                <w:szCs w:val="22"/>
              </w:rPr>
            </w:pPr>
            <w:r w:rsidRPr="000255F3">
              <w:rPr>
                <w:rFonts w:ascii="Arial" w:eastAsia="Segoe UI" w:hAnsi="Arial" w:cs="Arial"/>
                <w:color w:val="000000" w:themeColor="text1"/>
                <w:sz w:val="22"/>
                <w:szCs w:val="22"/>
              </w:rPr>
              <w:t>Nephromegaly</w:t>
            </w:r>
          </w:p>
        </w:tc>
        <w:tc>
          <w:tcPr>
            <w:tcW w:w="2905" w:type="dxa"/>
            <w:vAlign w:val="center"/>
          </w:tcPr>
          <w:p w14:paraId="6CDA15F7"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0.5</w:t>
            </w:r>
          </w:p>
        </w:tc>
      </w:tr>
      <w:tr w:rsidR="00BF35BC" w:rsidRPr="000255F3" w14:paraId="1E2F6098" w14:textId="77777777" w:rsidTr="00AB3DAD">
        <w:tc>
          <w:tcPr>
            <w:tcW w:w="2198" w:type="dxa"/>
            <w:vAlign w:val="center"/>
          </w:tcPr>
          <w:p w14:paraId="07CC2D26" w14:textId="77777777" w:rsidR="00BF35BC" w:rsidRPr="000255F3" w:rsidRDefault="00BF35BC" w:rsidP="00C034BF">
            <w:pPr>
              <w:spacing w:before="80" w:after="80" w:line="360" w:lineRule="auto"/>
              <w:jc w:val="center"/>
              <w:rPr>
                <w:rFonts w:ascii="Arial" w:hAnsi="Arial" w:cs="Arial"/>
                <w:b/>
                <w:bCs/>
                <w:color w:val="000000" w:themeColor="text1"/>
                <w:sz w:val="22"/>
                <w:szCs w:val="22"/>
              </w:rPr>
            </w:pPr>
            <w:r w:rsidRPr="000255F3">
              <w:rPr>
                <w:rFonts w:ascii="Arial" w:eastAsia="Segoe UI" w:hAnsi="Arial" w:cs="Arial"/>
                <w:color w:val="000000" w:themeColor="text1"/>
                <w:sz w:val="22"/>
                <w:szCs w:val="22"/>
              </w:rPr>
              <w:t>Nephrocalcinosis</w:t>
            </w:r>
          </w:p>
        </w:tc>
        <w:tc>
          <w:tcPr>
            <w:tcW w:w="2905" w:type="dxa"/>
            <w:vAlign w:val="center"/>
          </w:tcPr>
          <w:p w14:paraId="3EECD18A"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0.6</w:t>
            </w:r>
          </w:p>
        </w:tc>
      </w:tr>
      <w:tr w:rsidR="00BF35BC" w:rsidRPr="000255F3" w14:paraId="14A2D550" w14:textId="77777777" w:rsidTr="00AB3DAD">
        <w:tc>
          <w:tcPr>
            <w:tcW w:w="2198" w:type="dxa"/>
            <w:vAlign w:val="center"/>
          </w:tcPr>
          <w:p w14:paraId="1A99694F" w14:textId="77777777" w:rsidR="00BF35BC" w:rsidRPr="000255F3" w:rsidRDefault="00BF35BC" w:rsidP="00C034BF">
            <w:pPr>
              <w:spacing w:before="80" w:after="80" w:line="360" w:lineRule="auto"/>
              <w:jc w:val="center"/>
              <w:rPr>
                <w:rFonts w:ascii="Arial" w:eastAsia="Segoe UI" w:hAnsi="Arial" w:cs="Arial"/>
                <w:color w:val="000000" w:themeColor="text1"/>
                <w:sz w:val="22"/>
                <w:szCs w:val="22"/>
              </w:rPr>
            </w:pPr>
            <w:r w:rsidRPr="000255F3">
              <w:rPr>
                <w:rFonts w:ascii="Arial" w:eastAsia="Segoe UI" w:hAnsi="Arial" w:cs="Arial"/>
                <w:color w:val="000000" w:themeColor="text1"/>
                <w:sz w:val="22"/>
                <w:szCs w:val="22"/>
              </w:rPr>
              <w:t>Hypothyroidism</w:t>
            </w:r>
          </w:p>
        </w:tc>
        <w:tc>
          <w:tcPr>
            <w:tcW w:w="2905" w:type="dxa"/>
            <w:vAlign w:val="center"/>
          </w:tcPr>
          <w:p w14:paraId="0A69B71F" w14:textId="77777777" w:rsidR="00BF35BC" w:rsidRPr="000255F3" w:rsidRDefault="00BF35BC" w:rsidP="00C034BF">
            <w:pPr>
              <w:spacing w:before="80" w:after="80" w:line="360" w:lineRule="auto"/>
              <w:jc w:val="center"/>
              <w:rPr>
                <w:rFonts w:ascii="Arial" w:hAnsi="Arial" w:cs="Arial"/>
                <w:color w:val="000000" w:themeColor="text1"/>
                <w:sz w:val="22"/>
                <w:szCs w:val="22"/>
              </w:rPr>
            </w:pPr>
            <w:r w:rsidRPr="000255F3">
              <w:rPr>
                <w:rFonts w:ascii="Arial" w:hAnsi="Arial" w:cs="Arial"/>
                <w:color w:val="000000" w:themeColor="text1"/>
                <w:sz w:val="22"/>
                <w:szCs w:val="22"/>
              </w:rPr>
              <w:t>0.6</w:t>
            </w:r>
          </w:p>
        </w:tc>
      </w:tr>
    </w:tbl>
    <w:p w14:paraId="45DE289E" w14:textId="77777777" w:rsidR="00BF35BC" w:rsidRPr="000255F3" w:rsidRDefault="00BF35BC" w:rsidP="00C034BF">
      <w:pPr>
        <w:spacing w:line="360" w:lineRule="auto"/>
        <w:rPr>
          <w:rFonts w:ascii="Arial" w:hAnsi="Arial" w:cs="Arial"/>
          <w:b/>
          <w:bCs/>
          <w:color w:val="000000" w:themeColor="text1"/>
          <w:sz w:val="22"/>
          <w:szCs w:val="22"/>
        </w:rPr>
      </w:pPr>
    </w:p>
    <w:p w14:paraId="76C904F8" w14:textId="77777777" w:rsidR="00BF35BC" w:rsidRPr="000255F3" w:rsidRDefault="00BF35BC" w:rsidP="00C034BF">
      <w:pPr>
        <w:spacing w:line="360" w:lineRule="auto"/>
        <w:jc w:val="center"/>
        <w:rPr>
          <w:rFonts w:ascii="Arial" w:hAnsi="Arial" w:cs="Arial"/>
          <w:b/>
          <w:bCs/>
          <w:color w:val="000000" w:themeColor="text1"/>
          <w:sz w:val="22"/>
          <w:szCs w:val="22"/>
        </w:rPr>
      </w:pPr>
      <w:r w:rsidRPr="000255F3">
        <w:rPr>
          <w:rFonts w:ascii="Arial" w:hAnsi="Arial" w:cs="Arial"/>
          <w:b/>
          <w:bCs/>
          <w:color w:val="000000" w:themeColor="text1"/>
          <w:sz w:val="22"/>
          <w:szCs w:val="22"/>
        </w:rPr>
        <w:t>Supplementary Table 1. Phenotype-specific interpretation of absent categorical data</w:t>
      </w:r>
    </w:p>
    <w:p w14:paraId="18D09A8D" w14:textId="77777777" w:rsidR="00BF35BC" w:rsidRPr="000255F3" w:rsidRDefault="00BF35BC" w:rsidP="00C034BF">
      <w:pPr>
        <w:spacing w:line="360" w:lineRule="auto"/>
        <w:rPr>
          <w:rFonts w:ascii="Arial" w:hAnsi="Arial" w:cs="Arial"/>
          <w:b/>
          <w:bCs/>
          <w:color w:val="000000" w:themeColor="text1"/>
          <w:sz w:val="22"/>
          <w:szCs w:val="22"/>
        </w:rPr>
      </w:pPr>
    </w:p>
    <w:p w14:paraId="1FEE72D7" w14:textId="18715CD9" w:rsidR="00BF35BC" w:rsidRPr="000255F3" w:rsidRDefault="00BF35BC" w:rsidP="00C034BF">
      <w:pPr>
        <w:spacing w:line="360" w:lineRule="auto"/>
        <w:rPr>
          <w:rFonts w:ascii="Arial" w:hAnsi="Arial" w:cs="Arial"/>
          <w:color w:val="000000" w:themeColor="text1"/>
          <w:sz w:val="22"/>
          <w:szCs w:val="22"/>
        </w:rPr>
      </w:pPr>
      <w:r w:rsidRPr="000255F3">
        <w:rPr>
          <w:rFonts w:ascii="Arial" w:hAnsi="Arial" w:cs="Arial"/>
          <w:color w:val="000000" w:themeColor="text1"/>
          <w:sz w:val="22"/>
          <w:szCs w:val="22"/>
        </w:rPr>
        <w:br w:type="page"/>
      </w:r>
    </w:p>
    <w:tbl>
      <w:tblPr>
        <w:tblW w:w="1105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980"/>
        <w:gridCol w:w="4258"/>
        <w:gridCol w:w="4819"/>
      </w:tblGrid>
      <w:tr w:rsidR="002071FF" w:rsidRPr="000255F3" w14:paraId="75E69001" w14:textId="77777777" w:rsidTr="002071FF">
        <w:trPr>
          <w:trHeight w:val="543"/>
        </w:trPr>
        <w:tc>
          <w:tcPr>
            <w:tcW w:w="1980" w:type="dxa"/>
            <w:vAlign w:val="center"/>
            <w:hideMark/>
          </w:tcPr>
          <w:p w14:paraId="4C8AD354" w14:textId="77777777" w:rsidR="002071FF" w:rsidRPr="000255F3" w:rsidRDefault="002071FF" w:rsidP="00C034BF">
            <w:pPr>
              <w:spacing w:line="360" w:lineRule="auto"/>
              <w:jc w:val="center"/>
              <w:rPr>
                <w:rFonts w:ascii="Arial" w:hAnsi="Arial" w:cs="Arial"/>
                <w:b/>
                <w:bCs/>
                <w:color w:val="000000"/>
                <w:sz w:val="22"/>
                <w:szCs w:val="22"/>
              </w:rPr>
            </w:pPr>
            <w:r w:rsidRPr="000255F3">
              <w:rPr>
                <w:rFonts w:ascii="Arial" w:hAnsi="Arial" w:cs="Arial"/>
                <w:b/>
                <w:bCs/>
                <w:color w:val="000000"/>
                <w:sz w:val="22"/>
                <w:szCs w:val="22"/>
              </w:rPr>
              <w:lastRenderedPageBreak/>
              <w:t>Methodological Term</w:t>
            </w:r>
          </w:p>
        </w:tc>
        <w:tc>
          <w:tcPr>
            <w:tcW w:w="4258" w:type="dxa"/>
            <w:vAlign w:val="center"/>
            <w:hideMark/>
          </w:tcPr>
          <w:p w14:paraId="04DA1376" w14:textId="77777777" w:rsidR="002071FF" w:rsidRPr="000255F3" w:rsidRDefault="002071FF" w:rsidP="00C034BF">
            <w:pPr>
              <w:spacing w:line="360" w:lineRule="auto"/>
              <w:jc w:val="center"/>
              <w:rPr>
                <w:rFonts w:ascii="Arial" w:hAnsi="Arial" w:cs="Arial"/>
                <w:b/>
                <w:bCs/>
                <w:color w:val="000000"/>
                <w:sz w:val="22"/>
                <w:szCs w:val="22"/>
              </w:rPr>
            </w:pPr>
            <w:r w:rsidRPr="000255F3">
              <w:rPr>
                <w:rFonts w:ascii="Arial" w:hAnsi="Arial" w:cs="Arial"/>
                <w:b/>
                <w:bCs/>
                <w:color w:val="000000"/>
                <w:sz w:val="22"/>
                <w:szCs w:val="22"/>
              </w:rPr>
              <w:t>Definition</w:t>
            </w:r>
          </w:p>
        </w:tc>
        <w:tc>
          <w:tcPr>
            <w:tcW w:w="4819" w:type="dxa"/>
            <w:vAlign w:val="center"/>
            <w:hideMark/>
          </w:tcPr>
          <w:p w14:paraId="3D295675" w14:textId="77777777" w:rsidR="002071FF" w:rsidRPr="000255F3" w:rsidRDefault="002071FF" w:rsidP="00C034BF">
            <w:pPr>
              <w:spacing w:line="360" w:lineRule="auto"/>
              <w:jc w:val="center"/>
              <w:rPr>
                <w:rFonts w:ascii="Arial" w:hAnsi="Arial" w:cs="Arial"/>
                <w:b/>
                <w:bCs/>
                <w:color w:val="000000"/>
                <w:sz w:val="22"/>
                <w:szCs w:val="22"/>
              </w:rPr>
            </w:pPr>
            <w:r>
              <w:rPr>
                <w:rFonts w:ascii="Arial" w:hAnsi="Arial" w:cs="Arial"/>
                <w:b/>
                <w:bCs/>
                <w:color w:val="000000"/>
                <w:sz w:val="22"/>
                <w:szCs w:val="22"/>
              </w:rPr>
              <w:t>Utility</w:t>
            </w:r>
            <w:r w:rsidRPr="000255F3">
              <w:rPr>
                <w:rFonts w:ascii="Arial" w:hAnsi="Arial" w:cs="Arial"/>
                <w:b/>
                <w:bCs/>
                <w:color w:val="000000"/>
                <w:sz w:val="22"/>
                <w:szCs w:val="22"/>
              </w:rPr>
              <w:t xml:space="preserve"> and Interpretation</w:t>
            </w:r>
          </w:p>
        </w:tc>
      </w:tr>
      <w:tr w:rsidR="002071FF" w:rsidRPr="000255F3" w14:paraId="7E293819" w14:textId="77777777" w:rsidTr="002071FF">
        <w:trPr>
          <w:trHeight w:val="1529"/>
        </w:trPr>
        <w:tc>
          <w:tcPr>
            <w:tcW w:w="1980" w:type="dxa"/>
            <w:vAlign w:val="center"/>
            <w:hideMark/>
          </w:tcPr>
          <w:p w14:paraId="292F7DD6"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Random Survival Forest (RSF)</w:t>
            </w:r>
          </w:p>
        </w:tc>
        <w:tc>
          <w:tcPr>
            <w:tcW w:w="4258" w:type="dxa"/>
            <w:vAlign w:val="center"/>
            <w:hideMark/>
          </w:tcPr>
          <w:p w14:paraId="1DFB3DCE"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A non-parametric machine learning method that constructs an ensemble of decision trees to analyse survival data. Each tree splits patients into branches based on combinations of variables that yield the greatest differences in survival.</w:t>
            </w:r>
          </w:p>
        </w:tc>
        <w:tc>
          <w:tcPr>
            <w:tcW w:w="4819" w:type="dxa"/>
            <w:vAlign w:val="center"/>
            <w:hideMark/>
          </w:tcPr>
          <w:p w14:paraId="4A7ED11E" w14:textId="77777777" w:rsidR="002071FF" w:rsidRPr="000255F3" w:rsidRDefault="002071FF" w:rsidP="00C034BF">
            <w:pPr>
              <w:spacing w:line="360" w:lineRule="auto"/>
              <w:rPr>
                <w:rFonts w:ascii="Arial" w:hAnsi="Arial" w:cs="Arial"/>
                <w:color w:val="000000"/>
                <w:sz w:val="22"/>
                <w:szCs w:val="22"/>
              </w:rPr>
            </w:pPr>
            <w:r>
              <w:rPr>
                <w:rFonts w:ascii="Arial" w:hAnsi="Arial" w:cs="Arial"/>
                <w:color w:val="000000"/>
                <w:sz w:val="22"/>
                <w:szCs w:val="22"/>
              </w:rPr>
              <w:t>C</w:t>
            </w:r>
            <w:r w:rsidRPr="000255F3">
              <w:rPr>
                <w:rFonts w:ascii="Arial" w:hAnsi="Arial" w:cs="Arial"/>
                <w:color w:val="000000"/>
                <w:sz w:val="22"/>
                <w:szCs w:val="22"/>
              </w:rPr>
              <w:t>apture</w:t>
            </w:r>
            <w:r>
              <w:rPr>
                <w:rFonts w:ascii="Arial" w:hAnsi="Arial" w:cs="Arial"/>
                <w:color w:val="000000"/>
                <w:sz w:val="22"/>
                <w:szCs w:val="22"/>
              </w:rPr>
              <w:t>s</w:t>
            </w:r>
            <w:r w:rsidRPr="000255F3">
              <w:rPr>
                <w:rFonts w:ascii="Arial" w:hAnsi="Arial" w:cs="Arial"/>
                <w:color w:val="000000"/>
                <w:sz w:val="22"/>
                <w:szCs w:val="22"/>
              </w:rPr>
              <w:t xml:space="preserve"> complex, non-linear relationships and multi-variable interactions (such as specific mutation types behaving differently when diabetes is present) without requiring manual interaction terms.</w:t>
            </w:r>
          </w:p>
        </w:tc>
      </w:tr>
      <w:tr w:rsidR="002071FF" w:rsidRPr="000255F3" w14:paraId="52DC2BD7" w14:textId="77777777" w:rsidTr="002071FF">
        <w:trPr>
          <w:trHeight w:val="747"/>
        </w:trPr>
        <w:tc>
          <w:tcPr>
            <w:tcW w:w="1980" w:type="dxa"/>
            <w:vAlign w:val="center"/>
            <w:hideMark/>
          </w:tcPr>
          <w:p w14:paraId="0E5A0CDF"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Right-Censored Data</w:t>
            </w:r>
          </w:p>
        </w:tc>
        <w:tc>
          <w:tcPr>
            <w:tcW w:w="4258" w:type="dxa"/>
            <w:vAlign w:val="center"/>
            <w:hideMark/>
          </w:tcPr>
          <w:p w14:paraId="2FAC8F2B"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A scenario where the target event (death) has not occurred for a patient within the study's observation window.</w:t>
            </w:r>
          </w:p>
        </w:tc>
        <w:tc>
          <w:tcPr>
            <w:tcW w:w="4819" w:type="dxa"/>
            <w:vAlign w:val="center"/>
            <w:hideMark/>
          </w:tcPr>
          <w:p w14:paraId="09FD3B64" w14:textId="77777777" w:rsidR="002071FF" w:rsidRPr="000255F3" w:rsidRDefault="002071FF" w:rsidP="00C034BF">
            <w:pPr>
              <w:spacing w:line="360" w:lineRule="auto"/>
              <w:rPr>
                <w:rFonts w:ascii="Arial" w:hAnsi="Arial" w:cs="Arial"/>
                <w:color w:val="000000"/>
                <w:sz w:val="22"/>
                <w:szCs w:val="22"/>
              </w:rPr>
            </w:pPr>
            <w:r>
              <w:rPr>
                <w:rFonts w:ascii="Arial" w:hAnsi="Arial" w:cs="Arial"/>
                <w:color w:val="000000"/>
                <w:sz w:val="22"/>
                <w:szCs w:val="22"/>
              </w:rPr>
              <w:t>E</w:t>
            </w:r>
            <w:r w:rsidRPr="000255F3">
              <w:rPr>
                <w:rFonts w:ascii="Arial" w:hAnsi="Arial" w:cs="Arial"/>
                <w:color w:val="000000"/>
                <w:sz w:val="22"/>
                <w:szCs w:val="22"/>
              </w:rPr>
              <w:t>nsures patients who are alive at their last follow-up are not ignored or counted as treatment failures, allowing the model to make full use of all available patient tracking data.</w:t>
            </w:r>
          </w:p>
        </w:tc>
      </w:tr>
      <w:tr w:rsidR="002071FF" w:rsidRPr="000255F3" w14:paraId="6880B915" w14:textId="77777777" w:rsidTr="002071FF">
        <w:trPr>
          <w:trHeight w:val="1528"/>
        </w:trPr>
        <w:tc>
          <w:tcPr>
            <w:tcW w:w="1980" w:type="dxa"/>
            <w:vAlign w:val="center"/>
            <w:hideMark/>
          </w:tcPr>
          <w:p w14:paraId="638AC001"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Five-Fold Stratified Cross-Validation</w:t>
            </w:r>
          </w:p>
        </w:tc>
        <w:tc>
          <w:tcPr>
            <w:tcW w:w="4258" w:type="dxa"/>
            <w:vAlign w:val="center"/>
            <w:hideMark/>
          </w:tcPr>
          <w:p w14:paraId="5CF4CB97"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 xml:space="preserve">A validation technique where the dataset is split into five equal parts. The model is trained on four parts and tested on the remaining part. This is repeated five times so every patient is evaluated as an unseen case. </w:t>
            </w:r>
          </w:p>
        </w:tc>
        <w:tc>
          <w:tcPr>
            <w:tcW w:w="4819" w:type="dxa"/>
            <w:vAlign w:val="center"/>
            <w:hideMark/>
          </w:tcPr>
          <w:p w14:paraId="363348E8" w14:textId="77777777" w:rsidR="002071FF" w:rsidRPr="000255F3" w:rsidRDefault="002071FF" w:rsidP="00C034BF">
            <w:pPr>
              <w:spacing w:line="360" w:lineRule="auto"/>
              <w:rPr>
                <w:rFonts w:ascii="Arial" w:hAnsi="Arial" w:cs="Arial"/>
                <w:color w:val="000000"/>
                <w:sz w:val="22"/>
                <w:szCs w:val="22"/>
              </w:rPr>
            </w:pPr>
            <w:r>
              <w:rPr>
                <w:rFonts w:ascii="Arial" w:hAnsi="Arial" w:cs="Arial"/>
                <w:color w:val="000000"/>
                <w:sz w:val="22"/>
                <w:szCs w:val="22"/>
              </w:rPr>
              <w:t>P</w:t>
            </w:r>
            <w:r w:rsidRPr="000255F3">
              <w:rPr>
                <w:rFonts w:ascii="Arial" w:hAnsi="Arial" w:cs="Arial"/>
                <w:color w:val="000000"/>
                <w:sz w:val="22"/>
                <w:szCs w:val="22"/>
              </w:rPr>
              <w:t xml:space="preserve">revents optimistic bias and overfitting, simulating how the model would perform when used </w:t>
            </w:r>
            <w:r>
              <w:rPr>
                <w:rFonts w:ascii="Arial" w:hAnsi="Arial" w:cs="Arial"/>
                <w:color w:val="000000"/>
                <w:sz w:val="22"/>
                <w:szCs w:val="22"/>
              </w:rPr>
              <w:t>for</w:t>
            </w:r>
            <w:r w:rsidRPr="000255F3">
              <w:rPr>
                <w:rFonts w:ascii="Arial" w:hAnsi="Arial" w:cs="Arial"/>
                <w:color w:val="000000"/>
                <w:sz w:val="22"/>
                <w:szCs w:val="22"/>
              </w:rPr>
              <w:t xml:space="preserve"> new patients.</w:t>
            </w:r>
          </w:p>
        </w:tc>
      </w:tr>
      <w:tr w:rsidR="002071FF" w:rsidRPr="000255F3" w14:paraId="7B3A24CC" w14:textId="77777777" w:rsidTr="002071FF">
        <w:trPr>
          <w:trHeight w:val="955"/>
        </w:trPr>
        <w:tc>
          <w:tcPr>
            <w:tcW w:w="1980" w:type="dxa"/>
            <w:vAlign w:val="center"/>
            <w:hideMark/>
          </w:tcPr>
          <w:p w14:paraId="2D493B70"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Out-of-Fold (OOF) Prediction</w:t>
            </w:r>
          </w:p>
        </w:tc>
        <w:tc>
          <w:tcPr>
            <w:tcW w:w="4258" w:type="dxa"/>
            <w:vAlign w:val="center"/>
            <w:hideMark/>
          </w:tcPr>
          <w:p w14:paraId="6D7A053C"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 xml:space="preserve">A patient's predicted risk score or survival curve generated when </w:t>
            </w:r>
            <w:r>
              <w:rPr>
                <w:rFonts w:ascii="Arial" w:hAnsi="Arial" w:cs="Arial"/>
                <w:color w:val="000000"/>
                <w:sz w:val="22"/>
                <w:szCs w:val="22"/>
              </w:rPr>
              <w:t>t</w:t>
            </w:r>
            <w:r w:rsidRPr="000255F3">
              <w:rPr>
                <w:rFonts w:ascii="Arial" w:hAnsi="Arial" w:cs="Arial"/>
                <w:color w:val="000000"/>
                <w:sz w:val="22"/>
                <w:szCs w:val="22"/>
              </w:rPr>
              <w:t>he model predicting their outcome never saw their data during training.</w:t>
            </w:r>
          </w:p>
        </w:tc>
        <w:tc>
          <w:tcPr>
            <w:tcW w:w="4819" w:type="dxa"/>
            <w:vAlign w:val="center"/>
            <w:hideMark/>
          </w:tcPr>
          <w:p w14:paraId="7D27CEEC" w14:textId="77777777" w:rsidR="002071FF" w:rsidRPr="000255F3" w:rsidRDefault="002071FF" w:rsidP="00C034BF">
            <w:pPr>
              <w:spacing w:line="360" w:lineRule="auto"/>
              <w:rPr>
                <w:rFonts w:ascii="Arial" w:hAnsi="Arial" w:cs="Arial"/>
                <w:color w:val="000000"/>
                <w:sz w:val="22"/>
                <w:szCs w:val="22"/>
              </w:rPr>
            </w:pPr>
            <w:r>
              <w:rPr>
                <w:rFonts w:ascii="Arial" w:hAnsi="Arial" w:cs="Arial"/>
                <w:color w:val="000000"/>
                <w:sz w:val="22"/>
                <w:szCs w:val="22"/>
              </w:rPr>
              <w:t>P</w:t>
            </w:r>
            <w:r w:rsidRPr="000255F3">
              <w:rPr>
                <w:rFonts w:ascii="Arial" w:hAnsi="Arial" w:cs="Arial"/>
                <w:color w:val="000000"/>
                <w:sz w:val="22"/>
                <w:szCs w:val="22"/>
              </w:rPr>
              <w:t>rovides an honest assessment of the model's accuracy on new patients, preventing the artificial performance inflation that occurs when validation is performed on the training data.</w:t>
            </w:r>
          </w:p>
        </w:tc>
      </w:tr>
      <w:tr w:rsidR="002071FF" w:rsidRPr="000255F3" w14:paraId="52671ABB" w14:textId="77777777" w:rsidTr="002071FF">
        <w:trPr>
          <w:trHeight w:val="1530"/>
        </w:trPr>
        <w:tc>
          <w:tcPr>
            <w:tcW w:w="1980" w:type="dxa"/>
            <w:vAlign w:val="center"/>
            <w:hideMark/>
          </w:tcPr>
          <w:p w14:paraId="00A2AA10"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Harrell's and Uno's Concordance Indices (C-index)</w:t>
            </w:r>
          </w:p>
        </w:tc>
        <w:tc>
          <w:tcPr>
            <w:tcW w:w="4258" w:type="dxa"/>
            <w:vAlign w:val="center"/>
            <w:hideMark/>
          </w:tcPr>
          <w:p w14:paraId="7B62D657"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Validation metrics that assess a model's ability to rank patients by survival time. A C-index of 0.5 indicates random guessing, while 1.00 represents perfect clinical ranking. Uno's C-index adjusts for censoring patterns over time.</w:t>
            </w:r>
          </w:p>
        </w:tc>
        <w:tc>
          <w:tcPr>
            <w:tcW w:w="4819" w:type="dxa"/>
            <w:vAlign w:val="center"/>
            <w:hideMark/>
          </w:tcPr>
          <w:p w14:paraId="19C5C018"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Unlike accuracy measurements for stable conditions, the C-index evaluates if the model correctly and consistently assigns higher risk scores to patients who experience complications or death earlier.</w:t>
            </w:r>
          </w:p>
        </w:tc>
      </w:tr>
      <w:tr w:rsidR="002071FF" w:rsidRPr="000255F3" w14:paraId="3180971B" w14:textId="77777777" w:rsidTr="002071FF">
        <w:trPr>
          <w:trHeight w:val="1530"/>
        </w:trPr>
        <w:tc>
          <w:tcPr>
            <w:tcW w:w="1980" w:type="dxa"/>
            <w:vAlign w:val="center"/>
            <w:hideMark/>
          </w:tcPr>
          <w:p w14:paraId="587952BF"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Brier Score and Integrated Brier Score (IBS)</w:t>
            </w:r>
          </w:p>
        </w:tc>
        <w:tc>
          <w:tcPr>
            <w:tcW w:w="4258" w:type="dxa"/>
            <w:vAlign w:val="center"/>
            <w:hideMark/>
          </w:tcPr>
          <w:p w14:paraId="416848EC"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The Brier score measures the average squared difference between a model's predicted survival probability and a patient's actual status (0 = alive, 1 = deceased) at a specific time. The IBS integrates this score continuously across a time window.</w:t>
            </w:r>
          </w:p>
        </w:tc>
        <w:tc>
          <w:tcPr>
            <w:tcW w:w="4819" w:type="dxa"/>
            <w:vAlign w:val="center"/>
            <w:hideMark/>
          </w:tcPr>
          <w:p w14:paraId="58C24FEA"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While the C-index measures risk ranking, the Brier score measures calibration accuracy. A score closer to 0 confirms that the predicted survival percentages match clinical reality.</w:t>
            </w:r>
          </w:p>
        </w:tc>
      </w:tr>
      <w:tr w:rsidR="002071FF" w:rsidRPr="000255F3" w14:paraId="74EBC4A5" w14:textId="77777777" w:rsidTr="002071FF">
        <w:trPr>
          <w:trHeight w:val="1248"/>
        </w:trPr>
        <w:tc>
          <w:tcPr>
            <w:tcW w:w="1980" w:type="dxa"/>
            <w:vAlign w:val="center"/>
            <w:hideMark/>
          </w:tcPr>
          <w:p w14:paraId="2D31AB25"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lastRenderedPageBreak/>
              <w:t>Permutation Feature Importance</w:t>
            </w:r>
          </w:p>
        </w:tc>
        <w:tc>
          <w:tcPr>
            <w:tcW w:w="4258" w:type="dxa"/>
            <w:vAlign w:val="center"/>
            <w:hideMark/>
          </w:tcPr>
          <w:p w14:paraId="657F7717"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An evaluation technique that identifies key risk drivers by randomly shuffling the values of a single variable across patients and measuring the resulting drop in model accuracy.</w:t>
            </w:r>
          </w:p>
        </w:tc>
        <w:tc>
          <w:tcPr>
            <w:tcW w:w="4819" w:type="dxa"/>
            <w:vAlign w:val="center"/>
            <w:hideMark/>
          </w:tcPr>
          <w:p w14:paraId="6608A696"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Shuffling a highly important variable causes a drop in model concordance, whereas shuffling an unimportant variable has little impact</w:t>
            </w:r>
            <w:r>
              <w:rPr>
                <w:rFonts w:ascii="Arial" w:hAnsi="Arial" w:cs="Arial"/>
                <w:color w:val="000000"/>
                <w:sz w:val="22"/>
                <w:szCs w:val="22"/>
              </w:rPr>
              <w:t>. This</w:t>
            </w:r>
            <w:r w:rsidRPr="000255F3">
              <w:rPr>
                <w:rFonts w:ascii="Arial" w:hAnsi="Arial" w:cs="Arial"/>
                <w:color w:val="000000"/>
                <w:sz w:val="22"/>
                <w:szCs w:val="22"/>
              </w:rPr>
              <w:t xml:space="preserve"> allow</w:t>
            </w:r>
            <w:r>
              <w:rPr>
                <w:rFonts w:ascii="Arial" w:hAnsi="Arial" w:cs="Arial"/>
                <w:color w:val="000000"/>
                <w:sz w:val="22"/>
                <w:szCs w:val="22"/>
              </w:rPr>
              <w:t>s</w:t>
            </w:r>
            <w:r w:rsidRPr="000255F3">
              <w:rPr>
                <w:rFonts w:ascii="Arial" w:hAnsi="Arial" w:cs="Arial"/>
                <w:color w:val="000000"/>
                <w:sz w:val="22"/>
                <w:szCs w:val="22"/>
              </w:rPr>
              <w:t xml:space="preserve"> rank</w:t>
            </w:r>
            <w:r>
              <w:rPr>
                <w:rFonts w:ascii="Arial" w:hAnsi="Arial" w:cs="Arial"/>
                <w:color w:val="000000"/>
                <w:sz w:val="22"/>
                <w:szCs w:val="22"/>
              </w:rPr>
              <w:t>ing of</w:t>
            </w:r>
            <w:r w:rsidRPr="000255F3">
              <w:rPr>
                <w:rFonts w:ascii="Arial" w:hAnsi="Arial" w:cs="Arial"/>
                <w:color w:val="000000"/>
                <w:sz w:val="22"/>
                <w:szCs w:val="22"/>
              </w:rPr>
              <w:t xml:space="preserve"> risk factors.</w:t>
            </w:r>
          </w:p>
        </w:tc>
      </w:tr>
      <w:tr w:rsidR="002071FF" w:rsidRPr="000255F3" w14:paraId="2BE55818" w14:textId="77777777" w:rsidTr="002071FF">
        <w:trPr>
          <w:trHeight w:val="542"/>
        </w:trPr>
        <w:tc>
          <w:tcPr>
            <w:tcW w:w="1980" w:type="dxa"/>
            <w:vAlign w:val="center"/>
            <w:hideMark/>
          </w:tcPr>
          <w:p w14:paraId="13E3ED53" w14:textId="77777777" w:rsidR="002071FF" w:rsidRPr="000255F3" w:rsidRDefault="002071FF" w:rsidP="00C034BF">
            <w:pPr>
              <w:spacing w:line="360" w:lineRule="auto"/>
              <w:jc w:val="center"/>
              <w:rPr>
                <w:rFonts w:ascii="Arial" w:hAnsi="Arial" w:cs="Arial"/>
                <w:color w:val="000000"/>
                <w:sz w:val="22"/>
                <w:szCs w:val="22"/>
              </w:rPr>
            </w:pPr>
            <w:r w:rsidRPr="000255F3">
              <w:rPr>
                <w:rFonts w:ascii="Arial" w:hAnsi="Arial" w:cs="Arial"/>
                <w:color w:val="000000"/>
                <w:sz w:val="22"/>
                <w:szCs w:val="22"/>
              </w:rPr>
              <w:t>One-Hot Encoding and Infrequent-Category Encoding</w:t>
            </w:r>
          </w:p>
        </w:tc>
        <w:tc>
          <w:tcPr>
            <w:tcW w:w="4258" w:type="dxa"/>
            <w:vAlign w:val="center"/>
            <w:hideMark/>
          </w:tcPr>
          <w:p w14:paraId="2A14348A"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A process used to translate qualitative categories (</w:t>
            </w:r>
            <w:r>
              <w:rPr>
                <w:rFonts w:ascii="Arial" w:hAnsi="Arial" w:cs="Arial"/>
                <w:color w:val="000000"/>
                <w:sz w:val="22"/>
                <w:szCs w:val="22"/>
              </w:rPr>
              <w:t>e.g.</w:t>
            </w:r>
            <w:r w:rsidRPr="000255F3">
              <w:rPr>
                <w:rFonts w:ascii="Arial" w:hAnsi="Arial" w:cs="Arial"/>
                <w:color w:val="000000"/>
                <w:sz w:val="22"/>
                <w:szCs w:val="22"/>
              </w:rPr>
              <w:t xml:space="preserve"> sex, reporting era, or mutation groups) into binary numbers (1 </w:t>
            </w:r>
            <w:r>
              <w:rPr>
                <w:rFonts w:ascii="Arial" w:hAnsi="Arial" w:cs="Arial"/>
                <w:color w:val="000000"/>
                <w:sz w:val="22"/>
                <w:szCs w:val="22"/>
              </w:rPr>
              <w:t>=</w:t>
            </w:r>
            <w:r w:rsidRPr="000255F3">
              <w:rPr>
                <w:rFonts w:ascii="Arial" w:hAnsi="Arial" w:cs="Arial"/>
                <w:color w:val="000000"/>
                <w:sz w:val="22"/>
                <w:szCs w:val="22"/>
              </w:rPr>
              <w:t xml:space="preserve"> presen</w:t>
            </w:r>
            <w:r>
              <w:rPr>
                <w:rFonts w:ascii="Arial" w:hAnsi="Arial" w:cs="Arial"/>
                <w:color w:val="000000"/>
                <w:sz w:val="22"/>
                <w:szCs w:val="22"/>
              </w:rPr>
              <w:t>t;</w:t>
            </w:r>
            <w:r w:rsidRPr="000255F3">
              <w:rPr>
                <w:rFonts w:ascii="Arial" w:hAnsi="Arial" w:cs="Arial"/>
                <w:color w:val="000000"/>
                <w:sz w:val="22"/>
                <w:szCs w:val="22"/>
              </w:rPr>
              <w:t xml:space="preserve"> 0 </w:t>
            </w:r>
            <w:r>
              <w:rPr>
                <w:rFonts w:ascii="Arial" w:hAnsi="Arial" w:cs="Arial"/>
                <w:color w:val="000000"/>
                <w:sz w:val="22"/>
                <w:szCs w:val="22"/>
              </w:rPr>
              <w:t>=</w:t>
            </w:r>
            <w:r w:rsidRPr="000255F3">
              <w:rPr>
                <w:rFonts w:ascii="Arial" w:hAnsi="Arial" w:cs="Arial"/>
                <w:color w:val="000000"/>
                <w:sz w:val="22"/>
                <w:szCs w:val="22"/>
              </w:rPr>
              <w:t xml:space="preserve"> absen</w:t>
            </w:r>
            <w:r>
              <w:rPr>
                <w:rFonts w:ascii="Arial" w:hAnsi="Arial" w:cs="Arial"/>
                <w:color w:val="000000"/>
                <w:sz w:val="22"/>
                <w:szCs w:val="22"/>
              </w:rPr>
              <w:t>t</w:t>
            </w:r>
            <w:r w:rsidRPr="000255F3">
              <w:rPr>
                <w:rFonts w:ascii="Arial" w:hAnsi="Arial" w:cs="Arial"/>
                <w:color w:val="000000"/>
                <w:sz w:val="22"/>
                <w:szCs w:val="22"/>
              </w:rPr>
              <w:t xml:space="preserve">) that the algorithm can compute. </w:t>
            </w:r>
            <w:r>
              <w:rPr>
                <w:rFonts w:ascii="Arial" w:hAnsi="Arial" w:cs="Arial"/>
                <w:color w:val="000000"/>
                <w:sz w:val="22"/>
                <w:szCs w:val="22"/>
              </w:rPr>
              <w:t>C</w:t>
            </w:r>
            <w:r w:rsidRPr="000255F3">
              <w:rPr>
                <w:rFonts w:ascii="Arial" w:hAnsi="Arial" w:cs="Arial"/>
                <w:color w:val="000000"/>
                <w:sz w:val="22"/>
                <w:szCs w:val="22"/>
              </w:rPr>
              <w:t xml:space="preserve">ategories that appear only a few times across the cohort are grouped together into a single "infrequent" category before this </w:t>
            </w:r>
            <w:r>
              <w:rPr>
                <w:rFonts w:ascii="Arial" w:hAnsi="Arial" w:cs="Arial"/>
                <w:color w:val="000000"/>
                <w:sz w:val="22"/>
                <w:szCs w:val="22"/>
              </w:rPr>
              <w:t>process</w:t>
            </w:r>
            <w:r w:rsidRPr="000255F3">
              <w:rPr>
                <w:rFonts w:ascii="Arial" w:hAnsi="Arial" w:cs="Arial"/>
                <w:color w:val="000000"/>
                <w:sz w:val="22"/>
                <w:szCs w:val="22"/>
              </w:rPr>
              <w:t>.</w:t>
            </w:r>
          </w:p>
        </w:tc>
        <w:tc>
          <w:tcPr>
            <w:tcW w:w="4819" w:type="dxa"/>
            <w:vAlign w:val="center"/>
            <w:hideMark/>
          </w:tcPr>
          <w:p w14:paraId="64304C20" w14:textId="77777777" w:rsidR="002071FF" w:rsidRPr="000255F3" w:rsidRDefault="002071FF" w:rsidP="00C034BF">
            <w:pPr>
              <w:spacing w:line="360" w:lineRule="auto"/>
              <w:rPr>
                <w:rFonts w:ascii="Arial" w:hAnsi="Arial" w:cs="Arial"/>
                <w:color w:val="000000"/>
                <w:sz w:val="22"/>
                <w:szCs w:val="22"/>
              </w:rPr>
            </w:pPr>
            <w:r w:rsidRPr="000255F3">
              <w:rPr>
                <w:rFonts w:ascii="Arial" w:hAnsi="Arial" w:cs="Arial"/>
                <w:color w:val="000000"/>
                <w:sz w:val="22"/>
                <w:szCs w:val="22"/>
              </w:rPr>
              <w:t>Machine learning models cannot directly process text-based clinical categories. One-hot encoding solves this by creating separate "yes/no" indicators for each category. Automatically grouping very rare or unique variations under an "infrequent" banner ensures the model does not over-interpret unique outliers, keeping its risk predictions focused on broad, reliable patient trends.</w:t>
            </w:r>
          </w:p>
        </w:tc>
      </w:tr>
    </w:tbl>
    <w:p w14:paraId="5DEB989F" w14:textId="5F83A4D1" w:rsidR="00AB3DAD" w:rsidRDefault="00BF35BC" w:rsidP="00C034BF">
      <w:pPr>
        <w:spacing w:before="240" w:after="120" w:line="360" w:lineRule="auto"/>
        <w:ind w:left="-993" w:right="-1045"/>
        <w:jc w:val="center"/>
        <w:rPr>
          <w:rFonts w:ascii="Arial" w:eastAsia="Segoe UI" w:hAnsi="Arial" w:cs="Arial"/>
          <w:b/>
          <w:bCs/>
          <w:color w:val="000000" w:themeColor="text1"/>
          <w:sz w:val="22"/>
          <w:szCs w:val="22"/>
        </w:rPr>
      </w:pPr>
      <w:r w:rsidRPr="000255F3">
        <w:rPr>
          <w:rFonts w:ascii="Arial" w:eastAsia="Segoe UI" w:hAnsi="Arial" w:cs="Arial"/>
          <w:b/>
          <w:bCs/>
          <w:color w:val="000000" w:themeColor="text1"/>
          <w:sz w:val="22"/>
          <w:szCs w:val="22"/>
        </w:rPr>
        <w:t>Supplementary Table 2: Random Survival Forest Model</w:t>
      </w:r>
      <w:r w:rsidR="002071FF">
        <w:rPr>
          <w:rFonts w:ascii="Arial" w:eastAsia="Segoe UI" w:hAnsi="Arial" w:cs="Arial"/>
          <w:b/>
          <w:bCs/>
          <w:color w:val="000000" w:themeColor="text1"/>
          <w:sz w:val="22"/>
          <w:szCs w:val="22"/>
        </w:rPr>
        <w:t xml:space="preserve"> Bibliography and Explanation of Terms</w:t>
      </w:r>
    </w:p>
    <w:p w14:paraId="1FE738E5" w14:textId="6AA6C088" w:rsidR="0013294C" w:rsidRDefault="0013294C">
      <w:pPr>
        <w:rPr>
          <w:rFonts w:ascii="Arial" w:eastAsia="Segoe UI" w:hAnsi="Arial" w:cs="Arial"/>
          <w:color w:val="000000" w:themeColor="text1"/>
          <w:sz w:val="22"/>
          <w:szCs w:val="22"/>
        </w:rPr>
      </w:pPr>
      <w:r>
        <w:rPr>
          <w:rFonts w:ascii="Arial" w:eastAsia="Segoe UI" w:hAnsi="Arial" w:cs="Arial"/>
          <w:color w:val="000000" w:themeColor="text1"/>
          <w:sz w:val="22"/>
          <w:szCs w:val="22"/>
        </w:rPr>
        <w:br w:type="page"/>
      </w:r>
    </w:p>
    <w:p w14:paraId="1A35195E" w14:textId="77777777" w:rsidR="0013294C" w:rsidRPr="00F85935" w:rsidRDefault="0013294C" w:rsidP="00C034BF">
      <w:pPr>
        <w:spacing w:before="240" w:after="120" w:line="360" w:lineRule="auto"/>
        <w:ind w:left="-993" w:right="-1045"/>
        <w:jc w:val="center"/>
        <w:rPr>
          <w:rFonts w:ascii="Arial" w:hAnsi="Arial" w:cs="Arial"/>
          <w:color w:val="000000" w:themeColor="text1"/>
          <w:sz w:val="22"/>
          <w:szCs w:val="22"/>
        </w:rPr>
      </w:pPr>
    </w:p>
    <w:tbl>
      <w:tblPr>
        <w:tblStyle w:val="TableGridLight"/>
        <w:tblW w:w="1020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735"/>
        <w:gridCol w:w="1843"/>
        <w:gridCol w:w="850"/>
        <w:gridCol w:w="1985"/>
        <w:gridCol w:w="709"/>
        <w:gridCol w:w="1984"/>
      </w:tblGrid>
      <w:tr w:rsidR="00BF35BC" w:rsidRPr="000255F3" w14:paraId="17C63B67" w14:textId="77777777" w:rsidTr="00AB3DAD">
        <w:trPr>
          <w:trHeight w:val="300"/>
        </w:trPr>
        <w:tc>
          <w:tcPr>
            <w:tcW w:w="2101" w:type="dxa"/>
            <w:tcBorders>
              <w:top w:val="nil"/>
              <w:left w:val="nil"/>
              <w:bottom w:val="nil"/>
            </w:tcBorders>
            <w:tcMar>
              <w:left w:w="108" w:type="dxa"/>
              <w:right w:w="108" w:type="dxa"/>
            </w:tcMar>
          </w:tcPr>
          <w:p w14:paraId="3812D976" w14:textId="77777777" w:rsidR="00BF35BC" w:rsidRPr="000255F3" w:rsidRDefault="00BF35BC" w:rsidP="00C034BF">
            <w:pPr>
              <w:spacing w:line="360" w:lineRule="auto"/>
              <w:rPr>
                <w:rFonts w:ascii="Arial" w:hAnsi="Arial" w:cs="Arial"/>
                <w:color w:val="000000" w:themeColor="text1"/>
                <w:sz w:val="22"/>
                <w:szCs w:val="22"/>
              </w:rPr>
            </w:pPr>
          </w:p>
        </w:tc>
        <w:tc>
          <w:tcPr>
            <w:tcW w:w="2578" w:type="dxa"/>
            <w:gridSpan w:val="2"/>
            <w:tcMar>
              <w:left w:w="108" w:type="dxa"/>
              <w:right w:w="108" w:type="dxa"/>
            </w:tcMar>
          </w:tcPr>
          <w:p w14:paraId="462D64D3"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All</w:t>
            </w:r>
          </w:p>
        </w:tc>
        <w:tc>
          <w:tcPr>
            <w:tcW w:w="2835" w:type="dxa"/>
            <w:gridSpan w:val="2"/>
            <w:tcMar>
              <w:left w:w="108" w:type="dxa"/>
              <w:right w:w="108" w:type="dxa"/>
            </w:tcMar>
          </w:tcPr>
          <w:p w14:paraId="5681CE24"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non-KO</w:t>
            </w:r>
          </w:p>
        </w:tc>
        <w:tc>
          <w:tcPr>
            <w:tcW w:w="2693" w:type="dxa"/>
            <w:gridSpan w:val="2"/>
            <w:tcMar>
              <w:left w:w="108" w:type="dxa"/>
              <w:right w:w="108" w:type="dxa"/>
            </w:tcMar>
          </w:tcPr>
          <w:p w14:paraId="4CCE0C9A"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KO</w:t>
            </w:r>
          </w:p>
        </w:tc>
      </w:tr>
      <w:tr w:rsidR="00BF35BC" w:rsidRPr="000255F3" w14:paraId="7AAD7B95" w14:textId="77777777" w:rsidTr="00AB3DAD">
        <w:trPr>
          <w:trHeight w:val="573"/>
        </w:trPr>
        <w:tc>
          <w:tcPr>
            <w:tcW w:w="2101" w:type="dxa"/>
            <w:tcBorders>
              <w:top w:val="nil"/>
              <w:left w:val="nil"/>
            </w:tcBorders>
            <w:tcMar>
              <w:left w:w="108" w:type="dxa"/>
              <w:right w:w="108" w:type="dxa"/>
            </w:tcMar>
          </w:tcPr>
          <w:p w14:paraId="2AE18E86" w14:textId="77777777" w:rsidR="00BF35BC" w:rsidRPr="000255F3" w:rsidRDefault="00BF35BC" w:rsidP="00C034BF">
            <w:pPr>
              <w:spacing w:line="360" w:lineRule="auto"/>
              <w:rPr>
                <w:rFonts w:ascii="Arial" w:hAnsi="Arial" w:cs="Arial"/>
                <w:color w:val="000000" w:themeColor="text1"/>
                <w:sz w:val="22"/>
                <w:szCs w:val="22"/>
              </w:rPr>
            </w:pPr>
          </w:p>
        </w:tc>
        <w:tc>
          <w:tcPr>
            <w:tcW w:w="735" w:type="dxa"/>
            <w:tcMar>
              <w:left w:w="108" w:type="dxa"/>
              <w:right w:w="108" w:type="dxa"/>
            </w:tcMar>
          </w:tcPr>
          <w:p w14:paraId="2A2575AF"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N</w:t>
            </w:r>
          </w:p>
        </w:tc>
        <w:tc>
          <w:tcPr>
            <w:tcW w:w="1843" w:type="dxa"/>
            <w:tcMar>
              <w:left w:w="108" w:type="dxa"/>
              <w:right w:w="108" w:type="dxa"/>
            </w:tcMar>
          </w:tcPr>
          <w:p w14:paraId="7A208D97"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Median</w:t>
            </w:r>
          </w:p>
          <w:p w14:paraId="4DE4E3F3"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[25th,75th centile]</w:t>
            </w:r>
          </w:p>
        </w:tc>
        <w:tc>
          <w:tcPr>
            <w:tcW w:w="850" w:type="dxa"/>
            <w:tcMar>
              <w:left w:w="108" w:type="dxa"/>
              <w:right w:w="108" w:type="dxa"/>
            </w:tcMar>
          </w:tcPr>
          <w:p w14:paraId="6109B220"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N</w:t>
            </w:r>
          </w:p>
        </w:tc>
        <w:tc>
          <w:tcPr>
            <w:tcW w:w="1985" w:type="dxa"/>
            <w:tcMar>
              <w:left w:w="108" w:type="dxa"/>
              <w:right w:w="108" w:type="dxa"/>
            </w:tcMar>
          </w:tcPr>
          <w:p w14:paraId="4C034F17"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Median</w:t>
            </w:r>
          </w:p>
          <w:p w14:paraId="35FDFA8D"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[25th,75th centile]</w:t>
            </w:r>
          </w:p>
        </w:tc>
        <w:tc>
          <w:tcPr>
            <w:tcW w:w="709" w:type="dxa"/>
            <w:tcMar>
              <w:left w:w="108" w:type="dxa"/>
              <w:right w:w="108" w:type="dxa"/>
            </w:tcMar>
          </w:tcPr>
          <w:p w14:paraId="6B81BADA"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N</w:t>
            </w:r>
          </w:p>
        </w:tc>
        <w:tc>
          <w:tcPr>
            <w:tcW w:w="1984" w:type="dxa"/>
            <w:tcMar>
              <w:left w:w="108" w:type="dxa"/>
              <w:right w:w="108" w:type="dxa"/>
            </w:tcMar>
          </w:tcPr>
          <w:p w14:paraId="6AEA2FE9"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Median</w:t>
            </w:r>
          </w:p>
          <w:p w14:paraId="353CDB15" w14:textId="77777777" w:rsidR="00BF35BC" w:rsidRPr="000255F3" w:rsidRDefault="00BF35BC" w:rsidP="00C034BF">
            <w:pPr>
              <w:spacing w:line="360" w:lineRule="auto"/>
              <w:jc w:val="center"/>
              <w:rPr>
                <w:rFonts w:ascii="Arial" w:eastAsia="Aptos Narrow" w:hAnsi="Arial" w:cs="Arial"/>
                <w:b/>
                <w:bCs/>
                <w:color w:val="000000" w:themeColor="text1"/>
                <w:sz w:val="22"/>
                <w:szCs w:val="22"/>
              </w:rPr>
            </w:pPr>
            <w:r w:rsidRPr="000255F3">
              <w:rPr>
                <w:rFonts w:ascii="Arial" w:eastAsia="Aptos Narrow" w:hAnsi="Arial" w:cs="Arial"/>
                <w:b/>
                <w:bCs/>
                <w:color w:val="000000" w:themeColor="text1"/>
                <w:sz w:val="22"/>
                <w:szCs w:val="22"/>
              </w:rPr>
              <w:t>[25th,75th centile]</w:t>
            </w:r>
          </w:p>
        </w:tc>
      </w:tr>
      <w:tr w:rsidR="00BF35BC" w:rsidRPr="000255F3" w14:paraId="6212ABBF" w14:textId="77777777" w:rsidTr="00AB3DAD">
        <w:trPr>
          <w:trHeight w:val="300"/>
        </w:trPr>
        <w:tc>
          <w:tcPr>
            <w:tcW w:w="2101" w:type="dxa"/>
            <w:tcMar>
              <w:left w:w="108" w:type="dxa"/>
              <w:right w:w="108" w:type="dxa"/>
            </w:tcMar>
          </w:tcPr>
          <w:p w14:paraId="6C6B03DA"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Age at presentation (years)</w:t>
            </w:r>
          </w:p>
        </w:tc>
        <w:tc>
          <w:tcPr>
            <w:tcW w:w="735" w:type="dxa"/>
            <w:tcMar>
              <w:left w:w="108" w:type="dxa"/>
              <w:right w:w="108" w:type="dxa"/>
            </w:tcMar>
          </w:tcPr>
          <w:p w14:paraId="607FC4A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219</w:t>
            </w:r>
          </w:p>
        </w:tc>
        <w:tc>
          <w:tcPr>
            <w:tcW w:w="1843" w:type="dxa"/>
            <w:tcMar>
              <w:left w:w="108" w:type="dxa"/>
              <w:right w:w="108" w:type="dxa"/>
            </w:tcMar>
          </w:tcPr>
          <w:p w14:paraId="20A7D0E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0.08 [0,5]</w:t>
            </w:r>
          </w:p>
        </w:tc>
        <w:tc>
          <w:tcPr>
            <w:tcW w:w="850" w:type="dxa"/>
            <w:tcMar>
              <w:left w:w="108" w:type="dxa"/>
              <w:right w:w="108" w:type="dxa"/>
            </w:tcMar>
          </w:tcPr>
          <w:p w14:paraId="6106C58C"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199</w:t>
            </w:r>
          </w:p>
        </w:tc>
        <w:tc>
          <w:tcPr>
            <w:tcW w:w="1985" w:type="dxa"/>
            <w:tcMar>
              <w:left w:w="108" w:type="dxa"/>
              <w:right w:w="108" w:type="dxa"/>
            </w:tcMar>
          </w:tcPr>
          <w:p w14:paraId="5BD58791"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0.25 [0,6]</w:t>
            </w:r>
          </w:p>
        </w:tc>
        <w:tc>
          <w:tcPr>
            <w:tcW w:w="709" w:type="dxa"/>
            <w:tcMar>
              <w:left w:w="108" w:type="dxa"/>
              <w:right w:w="108" w:type="dxa"/>
            </w:tcMar>
          </w:tcPr>
          <w:p w14:paraId="29BE9B3F"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20</w:t>
            </w:r>
          </w:p>
        </w:tc>
        <w:tc>
          <w:tcPr>
            <w:tcW w:w="1984" w:type="dxa"/>
            <w:tcMar>
              <w:left w:w="108" w:type="dxa"/>
              <w:right w:w="108" w:type="dxa"/>
            </w:tcMar>
          </w:tcPr>
          <w:p w14:paraId="10568400"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w:t>
            </w:r>
          </w:p>
        </w:tc>
      </w:tr>
      <w:tr w:rsidR="00BF35BC" w:rsidRPr="000255F3" w14:paraId="3B4EEA16" w14:textId="77777777" w:rsidTr="00AB3DAD">
        <w:trPr>
          <w:trHeight w:val="300"/>
        </w:trPr>
        <w:tc>
          <w:tcPr>
            <w:tcW w:w="2101" w:type="dxa"/>
            <w:tcMar>
              <w:left w:w="108" w:type="dxa"/>
              <w:right w:w="108" w:type="dxa"/>
            </w:tcMar>
          </w:tcPr>
          <w:p w14:paraId="01539DA0"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 xml:space="preserve">Age at last </w:t>
            </w:r>
            <w:proofErr w:type="gramStart"/>
            <w:r w:rsidRPr="000255F3">
              <w:rPr>
                <w:rFonts w:ascii="Arial" w:eastAsia="Aptos Narrow" w:hAnsi="Arial" w:cs="Arial"/>
                <w:color w:val="000000" w:themeColor="text1"/>
                <w:sz w:val="22"/>
                <w:szCs w:val="22"/>
              </w:rPr>
              <w:t>reporting  (</w:t>
            </w:r>
            <w:proofErr w:type="gramEnd"/>
            <w:r w:rsidRPr="000255F3">
              <w:rPr>
                <w:rFonts w:ascii="Arial" w:eastAsia="Aptos Narrow" w:hAnsi="Arial" w:cs="Arial"/>
                <w:color w:val="000000" w:themeColor="text1"/>
                <w:sz w:val="22"/>
                <w:szCs w:val="22"/>
              </w:rPr>
              <w:t>years)</w:t>
            </w:r>
          </w:p>
        </w:tc>
        <w:tc>
          <w:tcPr>
            <w:tcW w:w="735" w:type="dxa"/>
            <w:tcMar>
              <w:left w:w="108" w:type="dxa"/>
              <w:right w:w="108" w:type="dxa"/>
            </w:tcMar>
          </w:tcPr>
          <w:p w14:paraId="7FD2B16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244</w:t>
            </w:r>
          </w:p>
        </w:tc>
        <w:tc>
          <w:tcPr>
            <w:tcW w:w="1843" w:type="dxa"/>
            <w:tcMar>
              <w:left w:w="108" w:type="dxa"/>
              <w:right w:w="108" w:type="dxa"/>
            </w:tcMar>
          </w:tcPr>
          <w:p w14:paraId="50EDAC8B"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7.5 [0.75,16]</w:t>
            </w:r>
          </w:p>
        </w:tc>
        <w:tc>
          <w:tcPr>
            <w:tcW w:w="850" w:type="dxa"/>
            <w:tcMar>
              <w:left w:w="108" w:type="dxa"/>
              <w:right w:w="108" w:type="dxa"/>
            </w:tcMar>
          </w:tcPr>
          <w:p w14:paraId="49011ECC"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224</w:t>
            </w:r>
          </w:p>
        </w:tc>
        <w:tc>
          <w:tcPr>
            <w:tcW w:w="1985" w:type="dxa"/>
            <w:tcMar>
              <w:left w:w="108" w:type="dxa"/>
              <w:right w:w="108" w:type="dxa"/>
            </w:tcMar>
          </w:tcPr>
          <w:p w14:paraId="4B074AD4"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9.5 [1.2,17]</w:t>
            </w:r>
          </w:p>
        </w:tc>
        <w:tc>
          <w:tcPr>
            <w:tcW w:w="709" w:type="dxa"/>
            <w:tcMar>
              <w:left w:w="108" w:type="dxa"/>
              <w:right w:w="108" w:type="dxa"/>
            </w:tcMar>
          </w:tcPr>
          <w:p w14:paraId="71CE953C"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20</w:t>
            </w:r>
          </w:p>
        </w:tc>
        <w:tc>
          <w:tcPr>
            <w:tcW w:w="1984" w:type="dxa"/>
            <w:tcMar>
              <w:left w:w="108" w:type="dxa"/>
              <w:right w:w="108" w:type="dxa"/>
            </w:tcMar>
          </w:tcPr>
          <w:p w14:paraId="1D40000E"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0.30 [0.17,0.33]</w:t>
            </w:r>
          </w:p>
        </w:tc>
      </w:tr>
      <w:tr w:rsidR="00BF35BC" w:rsidRPr="000255F3" w14:paraId="4788E79C" w14:textId="77777777" w:rsidTr="00AB3DAD">
        <w:trPr>
          <w:trHeight w:val="300"/>
        </w:trPr>
        <w:tc>
          <w:tcPr>
            <w:tcW w:w="2101" w:type="dxa"/>
            <w:tcMar>
              <w:left w:w="108" w:type="dxa"/>
              <w:right w:w="108" w:type="dxa"/>
            </w:tcMar>
          </w:tcPr>
          <w:p w14:paraId="5D770F07"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Age at death (years)</w:t>
            </w:r>
          </w:p>
        </w:tc>
        <w:tc>
          <w:tcPr>
            <w:tcW w:w="735" w:type="dxa"/>
            <w:tcMar>
              <w:left w:w="108" w:type="dxa"/>
              <w:right w:w="108" w:type="dxa"/>
            </w:tcMar>
          </w:tcPr>
          <w:p w14:paraId="3B8872DC"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72</w:t>
            </w:r>
          </w:p>
        </w:tc>
        <w:tc>
          <w:tcPr>
            <w:tcW w:w="1843" w:type="dxa"/>
            <w:tcMar>
              <w:left w:w="108" w:type="dxa"/>
              <w:right w:w="108" w:type="dxa"/>
            </w:tcMar>
          </w:tcPr>
          <w:p w14:paraId="7CAB2A4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0.36 [0.25,1.36]</w:t>
            </w:r>
          </w:p>
        </w:tc>
        <w:tc>
          <w:tcPr>
            <w:tcW w:w="850" w:type="dxa"/>
            <w:tcMar>
              <w:left w:w="108" w:type="dxa"/>
              <w:right w:w="108" w:type="dxa"/>
            </w:tcMar>
          </w:tcPr>
          <w:p w14:paraId="4D82B7A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56</w:t>
            </w:r>
          </w:p>
        </w:tc>
        <w:tc>
          <w:tcPr>
            <w:tcW w:w="1985" w:type="dxa"/>
            <w:tcMar>
              <w:left w:w="108" w:type="dxa"/>
              <w:right w:w="108" w:type="dxa"/>
            </w:tcMar>
          </w:tcPr>
          <w:p w14:paraId="2ACC0F88"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0.54 [0.25,1.56]</w:t>
            </w:r>
          </w:p>
        </w:tc>
        <w:tc>
          <w:tcPr>
            <w:tcW w:w="709" w:type="dxa"/>
            <w:tcMar>
              <w:left w:w="108" w:type="dxa"/>
              <w:right w:w="108" w:type="dxa"/>
            </w:tcMar>
          </w:tcPr>
          <w:p w14:paraId="717C9F08"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16</w:t>
            </w:r>
          </w:p>
        </w:tc>
        <w:tc>
          <w:tcPr>
            <w:tcW w:w="1984" w:type="dxa"/>
            <w:tcMar>
              <w:left w:w="108" w:type="dxa"/>
              <w:right w:w="108" w:type="dxa"/>
            </w:tcMar>
          </w:tcPr>
          <w:p w14:paraId="54EDF2D0"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0.33 [0.19,0.33]</w:t>
            </w:r>
          </w:p>
        </w:tc>
      </w:tr>
      <w:tr w:rsidR="00BF35BC" w:rsidRPr="000255F3" w14:paraId="4339E13A" w14:textId="77777777" w:rsidTr="00AB3DAD">
        <w:trPr>
          <w:trHeight w:val="300"/>
        </w:trPr>
        <w:tc>
          <w:tcPr>
            <w:tcW w:w="2101" w:type="dxa"/>
            <w:tcMar>
              <w:left w:w="108" w:type="dxa"/>
              <w:right w:w="108" w:type="dxa"/>
            </w:tcMar>
          </w:tcPr>
          <w:p w14:paraId="6A2A218A"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Birthweight SDS</w:t>
            </w:r>
          </w:p>
        </w:tc>
        <w:tc>
          <w:tcPr>
            <w:tcW w:w="735" w:type="dxa"/>
            <w:tcMar>
              <w:left w:w="108" w:type="dxa"/>
              <w:right w:w="108" w:type="dxa"/>
            </w:tcMar>
          </w:tcPr>
          <w:p w14:paraId="6D558B1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135</w:t>
            </w:r>
          </w:p>
        </w:tc>
        <w:tc>
          <w:tcPr>
            <w:tcW w:w="1843" w:type="dxa"/>
            <w:tcMar>
              <w:left w:w="108" w:type="dxa"/>
              <w:right w:w="108" w:type="dxa"/>
            </w:tcMar>
          </w:tcPr>
          <w:p w14:paraId="05C6CB87"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-2.8 [-3.</w:t>
            </w:r>
            <w:proofErr w:type="gramStart"/>
            <w:r w:rsidRPr="000255F3">
              <w:rPr>
                <w:rFonts w:ascii="Arial" w:eastAsia="Aptos Narrow" w:hAnsi="Arial" w:cs="Arial"/>
                <w:color w:val="000000" w:themeColor="text1"/>
                <w:sz w:val="22"/>
                <w:szCs w:val="22"/>
              </w:rPr>
              <w:t>3,-</w:t>
            </w:r>
            <w:proofErr w:type="gramEnd"/>
            <w:r w:rsidRPr="000255F3">
              <w:rPr>
                <w:rFonts w:ascii="Arial" w:eastAsia="Aptos Narrow" w:hAnsi="Arial" w:cs="Arial"/>
                <w:color w:val="000000" w:themeColor="text1"/>
                <w:sz w:val="22"/>
                <w:szCs w:val="22"/>
              </w:rPr>
              <w:t>1.8]</w:t>
            </w:r>
          </w:p>
        </w:tc>
        <w:tc>
          <w:tcPr>
            <w:tcW w:w="850" w:type="dxa"/>
            <w:tcMar>
              <w:left w:w="108" w:type="dxa"/>
              <w:right w:w="108" w:type="dxa"/>
            </w:tcMar>
          </w:tcPr>
          <w:p w14:paraId="367AB46A"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123</w:t>
            </w:r>
          </w:p>
        </w:tc>
        <w:tc>
          <w:tcPr>
            <w:tcW w:w="1985" w:type="dxa"/>
            <w:tcMar>
              <w:left w:w="108" w:type="dxa"/>
              <w:right w:w="108" w:type="dxa"/>
            </w:tcMar>
          </w:tcPr>
          <w:p w14:paraId="1C680D18"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-2.7 [-3.</w:t>
            </w:r>
            <w:proofErr w:type="gramStart"/>
            <w:r w:rsidRPr="000255F3">
              <w:rPr>
                <w:rFonts w:ascii="Arial" w:eastAsia="Aptos Narrow" w:hAnsi="Arial" w:cs="Arial"/>
                <w:color w:val="000000" w:themeColor="text1"/>
                <w:sz w:val="22"/>
                <w:szCs w:val="22"/>
              </w:rPr>
              <w:t>3,-</w:t>
            </w:r>
            <w:proofErr w:type="gramEnd"/>
            <w:r w:rsidRPr="000255F3">
              <w:rPr>
                <w:rFonts w:ascii="Arial" w:eastAsia="Aptos Narrow" w:hAnsi="Arial" w:cs="Arial"/>
                <w:color w:val="000000" w:themeColor="text1"/>
                <w:sz w:val="22"/>
                <w:szCs w:val="22"/>
              </w:rPr>
              <w:t>1.7]</w:t>
            </w:r>
          </w:p>
        </w:tc>
        <w:tc>
          <w:tcPr>
            <w:tcW w:w="709" w:type="dxa"/>
            <w:tcMar>
              <w:left w:w="108" w:type="dxa"/>
              <w:right w:w="108" w:type="dxa"/>
            </w:tcMar>
          </w:tcPr>
          <w:p w14:paraId="5ECB093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w:t>
            </w:r>
          </w:p>
        </w:tc>
        <w:tc>
          <w:tcPr>
            <w:tcW w:w="1984" w:type="dxa"/>
            <w:tcMar>
              <w:left w:w="108" w:type="dxa"/>
              <w:right w:w="108" w:type="dxa"/>
            </w:tcMar>
          </w:tcPr>
          <w:p w14:paraId="2E2E59DB"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-3.6 [-4.</w:t>
            </w:r>
            <w:proofErr w:type="gramStart"/>
            <w:r w:rsidRPr="000255F3">
              <w:rPr>
                <w:rFonts w:ascii="Arial" w:eastAsia="Aptos Narrow" w:hAnsi="Arial" w:cs="Arial"/>
                <w:color w:val="000000" w:themeColor="text1"/>
                <w:sz w:val="22"/>
                <w:szCs w:val="22"/>
              </w:rPr>
              <w:t>2,-</w:t>
            </w:r>
            <w:proofErr w:type="gramEnd"/>
            <w:r w:rsidRPr="000255F3">
              <w:rPr>
                <w:rFonts w:ascii="Arial" w:eastAsia="Aptos Narrow" w:hAnsi="Arial" w:cs="Arial"/>
                <w:color w:val="000000" w:themeColor="text1"/>
                <w:sz w:val="22"/>
                <w:szCs w:val="22"/>
              </w:rPr>
              <w:t>2.9]</w:t>
            </w:r>
          </w:p>
        </w:tc>
      </w:tr>
      <w:tr w:rsidR="00BF35BC" w:rsidRPr="000255F3" w14:paraId="0C5BA8AE" w14:textId="77777777" w:rsidTr="00AB3DAD">
        <w:trPr>
          <w:trHeight w:val="300"/>
        </w:trPr>
        <w:tc>
          <w:tcPr>
            <w:tcW w:w="2101" w:type="dxa"/>
            <w:tcMar>
              <w:left w:w="108" w:type="dxa"/>
              <w:right w:w="108" w:type="dxa"/>
            </w:tcMar>
          </w:tcPr>
          <w:p w14:paraId="1E825087"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HbA1c (mmol/mol)</w:t>
            </w:r>
          </w:p>
        </w:tc>
        <w:tc>
          <w:tcPr>
            <w:tcW w:w="735" w:type="dxa"/>
            <w:tcMar>
              <w:left w:w="108" w:type="dxa"/>
              <w:right w:w="108" w:type="dxa"/>
            </w:tcMar>
          </w:tcPr>
          <w:p w14:paraId="08581873"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122</w:t>
            </w:r>
          </w:p>
        </w:tc>
        <w:tc>
          <w:tcPr>
            <w:tcW w:w="1843" w:type="dxa"/>
            <w:tcMar>
              <w:left w:w="108" w:type="dxa"/>
              <w:right w:w="108" w:type="dxa"/>
            </w:tcMar>
          </w:tcPr>
          <w:p w14:paraId="36AE993E"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78 [47,107]</w:t>
            </w:r>
          </w:p>
        </w:tc>
        <w:tc>
          <w:tcPr>
            <w:tcW w:w="850" w:type="dxa"/>
            <w:tcMar>
              <w:left w:w="108" w:type="dxa"/>
              <w:right w:w="108" w:type="dxa"/>
            </w:tcMar>
          </w:tcPr>
          <w:p w14:paraId="6339B278"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120</w:t>
            </w:r>
          </w:p>
        </w:tc>
        <w:tc>
          <w:tcPr>
            <w:tcW w:w="1985" w:type="dxa"/>
            <w:tcMar>
              <w:left w:w="108" w:type="dxa"/>
              <w:right w:w="108" w:type="dxa"/>
            </w:tcMar>
          </w:tcPr>
          <w:p w14:paraId="3780825B"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77 [44,108]</w:t>
            </w:r>
          </w:p>
        </w:tc>
        <w:tc>
          <w:tcPr>
            <w:tcW w:w="709" w:type="dxa"/>
            <w:tcMar>
              <w:left w:w="108" w:type="dxa"/>
              <w:right w:w="108" w:type="dxa"/>
            </w:tcMar>
          </w:tcPr>
          <w:p w14:paraId="5815B1F4"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w:t>
            </w:r>
          </w:p>
        </w:tc>
        <w:tc>
          <w:tcPr>
            <w:tcW w:w="1984" w:type="dxa"/>
            <w:tcMar>
              <w:left w:w="108" w:type="dxa"/>
              <w:right w:w="108" w:type="dxa"/>
            </w:tcMar>
          </w:tcPr>
          <w:p w14:paraId="5358AFC3"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83 [80,86]</w:t>
            </w:r>
          </w:p>
        </w:tc>
      </w:tr>
      <w:tr w:rsidR="00BF35BC" w:rsidRPr="000255F3" w14:paraId="017AAEC5" w14:textId="77777777" w:rsidTr="00AB3DAD">
        <w:trPr>
          <w:trHeight w:val="300"/>
        </w:trPr>
        <w:tc>
          <w:tcPr>
            <w:tcW w:w="2101" w:type="dxa"/>
            <w:tcMar>
              <w:left w:w="108" w:type="dxa"/>
              <w:right w:w="108" w:type="dxa"/>
            </w:tcMar>
          </w:tcPr>
          <w:p w14:paraId="3362D0B6"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Fasting insulin (</w:t>
            </w:r>
            <w:proofErr w:type="spellStart"/>
            <w:r w:rsidRPr="000255F3">
              <w:rPr>
                <w:rFonts w:ascii="Arial" w:eastAsia="Aptos Narrow" w:hAnsi="Arial" w:cs="Arial"/>
                <w:color w:val="000000" w:themeColor="text1"/>
                <w:sz w:val="22"/>
                <w:szCs w:val="22"/>
              </w:rPr>
              <w:t>pmol</w:t>
            </w:r>
            <w:proofErr w:type="spellEnd"/>
            <w:r w:rsidRPr="000255F3">
              <w:rPr>
                <w:rFonts w:ascii="Arial" w:eastAsia="Aptos Narrow" w:hAnsi="Arial" w:cs="Arial"/>
                <w:color w:val="000000" w:themeColor="text1"/>
                <w:sz w:val="22"/>
                <w:szCs w:val="22"/>
              </w:rPr>
              <w:t>/L)</w:t>
            </w:r>
          </w:p>
        </w:tc>
        <w:tc>
          <w:tcPr>
            <w:tcW w:w="735" w:type="dxa"/>
            <w:tcMar>
              <w:left w:w="108" w:type="dxa"/>
              <w:right w:w="108" w:type="dxa"/>
            </w:tcMar>
          </w:tcPr>
          <w:p w14:paraId="70EDA41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133</w:t>
            </w:r>
          </w:p>
        </w:tc>
        <w:tc>
          <w:tcPr>
            <w:tcW w:w="1843" w:type="dxa"/>
            <w:tcMar>
              <w:left w:w="108" w:type="dxa"/>
              <w:right w:w="108" w:type="dxa"/>
            </w:tcMar>
          </w:tcPr>
          <w:p w14:paraId="67BDF01B"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1778 [727,3583]</w:t>
            </w:r>
          </w:p>
        </w:tc>
        <w:tc>
          <w:tcPr>
            <w:tcW w:w="850" w:type="dxa"/>
            <w:tcMar>
              <w:left w:w="108" w:type="dxa"/>
              <w:right w:w="108" w:type="dxa"/>
            </w:tcMar>
          </w:tcPr>
          <w:p w14:paraId="7CB13A82"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128</w:t>
            </w:r>
          </w:p>
        </w:tc>
        <w:tc>
          <w:tcPr>
            <w:tcW w:w="1985" w:type="dxa"/>
            <w:tcMar>
              <w:left w:w="108" w:type="dxa"/>
              <w:right w:w="108" w:type="dxa"/>
            </w:tcMar>
          </w:tcPr>
          <w:p w14:paraId="361E9359"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1663 [708,3491]</w:t>
            </w:r>
          </w:p>
        </w:tc>
        <w:tc>
          <w:tcPr>
            <w:tcW w:w="709" w:type="dxa"/>
            <w:tcMar>
              <w:left w:w="108" w:type="dxa"/>
              <w:right w:w="108" w:type="dxa"/>
            </w:tcMar>
          </w:tcPr>
          <w:p w14:paraId="4E079C6A"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5</w:t>
            </w:r>
          </w:p>
        </w:tc>
        <w:tc>
          <w:tcPr>
            <w:tcW w:w="1984" w:type="dxa"/>
            <w:tcMar>
              <w:left w:w="108" w:type="dxa"/>
              <w:right w:w="108" w:type="dxa"/>
            </w:tcMar>
          </w:tcPr>
          <w:p w14:paraId="15087B9B"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8454 [3300,27239]</w:t>
            </w:r>
          </w:p>
        </w:tc>
      </w:tr>
      <w:tr w:rsidR="00BF35BC" w:rsidRPr="000255F3" w14:paraId="45876313" w14:textId="77777777" w:rsidTr="00AB3DAD">
        <w:trPr>
          <w:trHeight w:val="300"/>
        </w:trPr>
        <w:tc>
          <w:tcPr>
            <w:tcW w:w="2101" w:type="dxa"/>
            <w:tcMar>
              <w:left w:w="108" w:type="dxa"/>
              <w:right w:w="108" w:type="dxa"/>
            </w:tcMar>
          </w:tcPr>
          <w:p w14:paraId="5A8F7DA7"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Fasting glucose (mmol/L)</w:t>
            </w:r>
          </w:p>
        </w:tc>
        <w:tc>
          <w:tcPr>
            <w:tcW w:w="735" w:type="dxa"/>
            <w:tcMar>
              <w:left w:w="108" w:type="dxa"/>
              <w:right w:w="108" w:type="dxa"/>
            </w:tcMar>
          </w:tcPr>
          <w:p w14:paraId="4DD45173"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132</w:t>
            </w:r>
          </w:p>
        </w:tc>
        <w:tc>
          <w:tcPr>
            <w:tcW w:w="1843" w:type="dxa"/>
            <w:tcMar>
              <w:left w:w="108" w:type="dxa"/>
              <w:right w:w="108" w:type="dxa"/>
            </w:tcMar>
          </w:tcPr>
          <w:p w14:paraId="65458FA7"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4.7 [2.9,9.3]</w:t>
            </w:r>
          </w:p>
        </w:tc>
        <w:tc>
          <w:tcPr>
            <w:tcW w:w="850" w:type="dxa"/>
            <w:tcMar>
              <w:left w:w="108" w:type="dxa"/>
              <w:right w:w="108" w:type="dxa"/>
            </w:tcMar>
          </w:tcPr>
          <w:p w14:paraId="38A4E291"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124</w:t>
            </w:r>
          </w:p>
        </w:tc>
        <w:tc>
          <w:tcPr>
            <w:tcW w:w="1985" w:type="dxa"/>
            <w:tcMar>
              <w:left w:w="108" w:type="dxa"/>
              <w:right w:w="108" w:type="dxa"/>
            </w:tcMar>
          </w:tcPr>
          <w:p w14:paraId="2894B9E8"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4.8 [3.3,9.3]</w:t>
            </w:r>
          </w:p>
        </w:tc>
        <w:tc>
          <w:tcPr>
            <w:tcW w:w="709" w:type="dxa"/>
            <w:tcMar>
              <w:left w:w="108" w:type="dxa"/>
              <w:right w:w="108" w:type="dxa"/>
            </w:tcMar>
          </w:tcPr>
          <w:p w14:paraId="6CACBBF7"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8</w:t>
            </w:r>
          </w:p>
        </w:tc>
        <w:tc>
          <w:tcPr>
            <w:tcW w:w="1984" w:type="dxa"/>
            <w:tcMar>
              <w:left w:w="108" w:type="dxa"/>
              <w:right w:w="108" w:type="dxa"/>
            </w:tcMar>
          </w:tcPr>
          <w:p w14:paraId="39B3E5E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1.5 [0.9,10.8]</w:t>
            </w:r>
          </w:p>
        </w:tc>
      </w:tr>
      <w:tr w:rsidR="00BF35BC" w:rsidRPr="000255F3" w14:paraId="0F1D095C" w14:textId="77777777" w:rsidTr="00AB3DAD">
        <w:trPr>
          <w:trHeight w:val="300"/>
        </w:trPr>
        <w:tc>
          <w:tcPr>
            <w:tcW w:w="2101" w:type="dxa"/>
            <w:tcMar>
              <w:left w:w="108" w:type="dxa"/>
              <w:right w:w="108" w:type="dxa"/>
            </w:tcMar>
          </w:tcPr>
          <w:p w14:paraId="75F0A46B"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Post challenge insulin (</w:t>
            </w:r>
            <w:proofErr w:type="spellStart"/>
            <w:r w:rsidRPr="000255F3">
              <w:rPr>
                <w:rFonts w:ascii="Arial" w:eastAsia="Aptos Narrow" w:hAnsi="Arial" w:cs="Arial"/>
                <w:color w:val="000000" w:themeColor="text1"/>
                <w:sz w:val="22"/>
                <w:szCs w:val="22"/>
              </w:rPr>
              <w:t>pmol</w:t>
            </w:r>
            <w:proofErr w:type="spellEnd"/>
            <w:r w:rsidRPr="000255F3">
              <w:rPr>
                <w:rFonts w:ascii="Arial" w:eastAsia="Aptos Narrow" w:hAnsi="Arial" w:cs="Arial"/>
                <w:color w:val="000000" w:themeColor="text1"/>
                <w:sz w:val="22"/>
                <w:szCs w:val="22"/>
              </w:rPr>
              <w:t>/L)</w:t>
            </w:r>
          </w:p>
        </w:tc>
        <w:tc>
          <w:tcPr>
            <w:tcW w:w="735" w:type="dxa"/>
            <w:tcMar>
              <w:left w:w="108" w:type="dxa"/>
              <w:right w:w="108" w:type="dxa"/>
            </w:tcMar>
          </w:tcPr>
          <w:p w14:paraId="2BE098E1"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91</w:t>
            </w:r>
          </w:p>
        </w:tc>
        <w:tc>
          <w:tcPr>
            <w:tcW w:w="1843" w:type="dxa"/>
            <w:tcMar>
              <w:left w:w="108" w:type="dxa"/>
              <w:right w:w="108" w:type="dxa"/>
            </w:tcMar>
          </w:tcPr>
          <w:p w14:paraId="6255BAE4"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3965 [1800,6300]</w:t>
            </w:r>
          </w:p>
        </w:tc>
        <w:tc>
          <w:tcPr>
            <w:tcW w:w="850" w:type="dxa"/>
            <w:tcMar>
              <w:left w:w="108" w:type="dxa"/>
              <w:right w:w="108" w:type="dxa"/>
            </w:tcMar>
          </w:tcPr>
          <w:p w14:paraId="0DEF9DCA"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119</w:t>
            </w:r>
          </w:p>
        </w:tc>
        <w:tc>
          <w:tcPr>
            <w:tcW w:w="1985" w:type="dxa"/>
            <w:tcMar>
              <w:left w:w="108" w:type="dxa"/>
              <w:right w:w="108" w:type="dxa"/>
            </w:tcMar>
          </w:tcPr>
          <w:p w14:paraId="3C850382"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6000 [2500,12000]</w:t>
            </w:r>
          </w:p>
        </w:tc>
        <w:tc>
          <w:tcPr>
            <w:tcW w:w="709" w:type="dxa"/>
            <w:tcMar>
              <w:left w:w="108" w:type="dxa"/>
              <w:right w:w="108" w:type="dxa"/>
            </w:tcMar>
          </w:tcPr>
          <w:p w14:paraId="55E463BF"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7</w:t>
            </w:r>
          </w:p>
        </w:tc>
        <w:tc>
          <w:tcPr>
            <w:tcW w:w="1984" w:type="dxa"/>
            <w:tcMar>
              <w:left w:w="108" w:type="dxa"/>
              <w:right w:w="108" w:type="dxa"/>
            </w:tcMar>
          </w:tcPr>
          <w:p w14:paraId="35D38834"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5560 [1800,6144]</w:t>
            </w:r>
          </w:p>
        </w:tc>
      </w:tr>
      <w:tr w:rsidR="00BF35BC" w:rsidRPr="000255F3" w14:paraId="23D17267" w14:textId="77777777" w:rsidTr="00AB3DAD">
        <w:trPr>
          <w:trHeight w:val="300"/>
        </w:trPr>
        <w:tc>
          <w:tcPr>
            <w:tcW w:w="2101" w:type="dxa"/>
            <w:tcMar>
              <w:left w:w="108" w:type="dxa"/>
              <w:right w:w="108" w:type="dxa"/>
            </w:tcMar>
          </w:tcPr>
          <w:p w14:paraId="67FCD96C"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Post challenge glucose (mmol/L)</w:t>
            </w:r>
          </w:p>
        </w:tc>
        <w:tc>
          <w:tcPr>
            <w:tcW w:w="735" w:type="dxa"/>
            <w:tcMar>
              <w:left w:w="108" w:type="dxa"/>
              <w:right w:w="108" w:type="dxa"/>
            </w:tcMar>
          </w:tcPr>
          <w:p w14:paraId="6A2DFD9E"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117</w:t>
            </w:r>
          </w:p>
        </w:tc>
        <w:tc>
          <w:tcPr>
            <w:tcW w:w="1843" w:type="dxa"/>
            <w:tcMar>
              <w:left w:w="108" w:type="dxa"/>
              <w:right w:w="108" w:type="dxa"/>
            </w:tcMar>
          </w:tcPr>
          <w:p w14:paraId="01677A22"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13.7 [8.6,19.4]</w:t>
            </w:r>
          </w:p>
        </w:tc>
        <w:tc>
          <w:tcPr>
            <w:tcW w:w="850" w:type="dxa"/>
            <w:tcMar>
              <w:left w:w="108" w:type="dxa"/>
              <w:right w:w="108" w:type="dxa"/>
            </w:tcMar>
          </w:tcPr>
          <w:p w14:paraId="79C514C2"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105</w:t>
            </w:r>
          </w:p>
        </w:tc>
        <w:tc>
          <w:tcPr>
            <w:tcW w:w="1985" w:type="dxa"/>
            <w:tcMar>
              <w:left w:w="108" w:type="dxa"/>
              <w:right w:w="108" w:type="dxa"/>
            </w:tcMar>
          </w:tcPr>
          <w:p w14:paraId="18BA4F57"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13.4 [8.2,19.8]</w:t>
            </w:r>
          </w:p>
        </w:tc>
        <w:tc>
          <w:tcPr>
            <w:tcW w:w="709" w:type="dxa"/>
            <w:tcMar>
              <w:left w:w="108" w:type="dxa"/>
              <w:right w:w="108" w:type="dxa"/>
            </w:tcMar>
          </w:tcPr>
          <w:p w14:paraId="3E827B0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12</w:t>
            </w:r>
          </w:p>
        </w:tc>
        <w:tc>
          <w:tcPr>
            <w:tcW w:w="1984" w:type="dxa"/>
            <w:tcMar>
              <w:left w:w="108" w:type="dxa"/>
              <w:right w:w="108" w:type="dxa"/>
            </w:tcMar>
          </w:tcPr>
          <w:p w14:paraId="2EB6546C"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14.1 [10.2,18.7]</w:t>
            </w:r>
          </w:p>
        </w:tc>
      </w:tr>
      <w:tr w:rsidR="00BF35BC" w:rsidRPr="000255F3" w14:paraId="3B4AD538" w14:textId="77777777" w:rsidTr="00AB3DAD">
        <w:trPr>
          <w:trHeight w:val="300"/>
        </w:trPr>
        <w:tc>
          <w:tcPr>
            <w:tcW w:w="2101" w:type="dxa"/>
            <w:tcMar>
              <w:left w:w="108" w:type="dxa"/>
              <w:right w:w="108" w:type="dxa"/>
            </w:tcMar>
          </w:tcPr>
          <w:p w14:paraId="351E919D"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Leptin (ug/L)</w:t>
            </w:r>
          </w:p>
        </w:tc>
        <w:tc>
          <w:tcPr>
            <w:tcW w:w="735" w:type="dxa"/>
            <w:tcMar>
              <w:left w:w="108" w:type="dxa"/>
              <w:right w:w="108" w:type="dxa"/>
            </w:tcMar>
          </w:tcPr>
          <w:p w14:paraId="70C516B7"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33</w:t>
            </w:r>
          </w:p>
        </w:tc>
        <w:tc>
          <w:tcPr>
            <w:tcW w:w="1843" w:type="dxa"/>
            <w:tcMar>
              <w:left w:w="108" w:type="dxa"/>
              <w:right w:w="108" w:type="dxa"/>
            </w:tcMar>
          </w:tcPr>
          <w:p w14:paraId="54054CC9"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2.7 [0.5,5.0]</w:t>
            </w:r>
          </w:p>
        </w:tc>
        <w:tc>
          <w:tcPr>
            <w:tcW w:w="850" w:type="dxa"/>
            <w:tcMar>
              <w:left w:w="108" w:type="dxa"/>
              <w:right w:w="108" w:type="dxa"/>
            </w:tcMar>
          </w:tcPr>
          <w:p w14:paraId="6A5FA0D8"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32</w:t>
            </w:r>
          </w:p>
        </w:tc>
        <w:tc>
          <w:tcPr>
            <w:tcW w:w="1985" w:type="dxa"/>
            <w:tcMar>
              <w:left w:w="108" w:type="dxa"/>
              <w:right w:w="108" w:type="dxa"/>
            </w:tcMar>
          </w:tcPr>
          <w:p w14:paraId="71AA78E6"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2.8 [0.5,5.1]</w:t>
            </w:r>
          </w:p>
        </w:tc>
        <w:tc>
          <w:tcPr>
            <w:tcW w:w="709" w:type="dxa"/>
            <w:tcMar>
              <w:left w:w="108" w:type="dxa"/>
              <w:right w:w="108" w:type="dxa"/>
            </w:tcMar>
          </w:tcPr>
          <w:p w14:paraId="33ED081E"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w:t>
            </w:r>
          </w:p>
        </w:tc>
        <w:tc>
          <w:tcPr>
            <w:tcW w:w="1984" w:type="dxa"/>
            <w:tcMar>
              <w:left w:w="108" w:type="dxa"/>
              <w:right w:w="108" w:type="dxa"/>
            </w:tcMar>
          </w:tcPr>
          <w:p w14:paraId="275D246B"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0.1</w:t>
            </w:r>
          </w:p>
        </w:tc>
      </w:tr>
      <w:tr w:rsidR="00BF35BC" w:rsidRPr="000255F3" w14:paraId="3D6A3D42" w14:textId="77777777" w:rsidTr="00AB3DAD">
        <w:trPr>
          <w:trHeight w:val="300"/>
        </w:trPr>
        <w:tc>
          <w:tcPr>
            <w:tcW w:w="2101" w:type="dxa"/>
            <w:tcMar>
              <w:left w:w="108" w:type="dxa"/>
              <w:right w:w="108" w:type="dxa"/>
            </w:tcMar>
          </w:tcPr>
          <w:p w14:paraId="40E28F99"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Adiponectin (mg/L)</w:t>
            </w:r>
          </w:p>
        </w:tc>
        <w:tc>
          <w:tcPr>
            <w:tcW w:w="735" w:type="dxa"/>
            <w:tcMar>
              <w:left w:w="108" w:type="dxa"/>
              <w:right w:w="108" w:type="dxa"/>
            </w:tcMar>
          </w:tcPr>
          <w:p w14:paraId="4EABBAA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16</w:t>
            </w:r>
          </w:p>
        </w:tc>
        <w:tc>
          <w:tcPr>
            <w:tcW w:w="1843" w:type="dxa"/>
            <w:tcMar>
              <w:left w:w="108" w:type="dxa"/>
              <w:right w:w="108" w:type="dxa"/>
            </w:tcMar>
          </w:tcPr>
          <w:p w14:paraId="2D24328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17.9 [10.1,30.8]</w:t>
            </w:r>
          </w:p>
        </w:tc>
        <w:tc>
          <w:tcPr>
            <w:tcW w:w="850" w:type="dxa"/>
            <w:tcMar>
              <w:left w:w="108" w:type="dxa"/>
              <w:right w:w="108" w:type="dxa"/>
            </w:tcMar>
          </w:tcPr>
          <w:p w14:paraId="60B2E557"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15</w:t>
            </w:r>
          </w:p>
        </w:tc>
        <w:tc>
          <w:tcPr>
            <w:tcW w:w="1985" w:type="dxa"/>
            <w:tcMar>
              <w:left w:w="108" w:type="dxa"/>
              <w:right w:w="108" w:type="dxa"/>
            </w:tcMar>
          </w:tcPr>
          <w:p w14:paraId="4A153051"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20.2 [10.9,32.8]</w:t>
            </w:r>
          </w:p>
        </w:tc>
        <w:tc>
          <w:tcPr>
            <w:tcW w:w="709" w:type="dxa"/>
            <w:tcMar>
              <w:left w:w="108" w:type="dxa"/>
              <w:right w:w="108" w:type="dxa"/>
            </w:tcMar>
          </w:tcPr>
          <w:p w14:paraId="29EB7AFA"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w:t>
            </w:r>
          </w:p>
        </w:tc>
        <w:tc>
          <w:tcPr>
            <w:tcW w:w="1984" w:type="dxa"/>
            <w:tcMar>
              <w:left w:w="108" w:type="dxa"/>
              <w:right w:w="108" w:type="dxa"/>
            </w:tcMar>
          </w:tcPr>
          <w:p w14:paraId="49D9A3B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9.4</w:t>
            </w:r>
          </w:p>
        </w:tc>
      </w:tr>
      <w:tr w:rsidR="00BF35BC" w:rsidRPr="000255F3" w14:paraId="0FA01F39" w14:textId="77777777" w:rsidTr="00AB3DAD">
        <w:trPr>
          <w:trHeight w:val="300"/>
        </w:trPr>
        <w:tc>
          <w:tcPr>
            <w:tcW w:w="2101" w:type="dxa"/>
            <w:tcMar>
              <w:left w:w="108" w:type="dxa"/>
              <w:right w:w="108" w:type="dxa"/>
            </w:tcMar>
          </w:tcPr>
          <w:p w14:paraId="2FBCD309"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Triglycerides (mmol/L)</w:t>
            </w:r>
          </w:p>
        </w:tc>
        <w:tc>
          <w:tcPr>
            <w:tcW w:w="735" w:type="dxa"/>
            <w:tcMar>
              <w:left w:w="108" w:type="dxa"/>
              <w:right w:w="108" w:type="dxa"/>
            </w:tcMar>
          </w:tcPr>
          <w:p w14:paraId="79F8D3B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34</w:t>
            </w:r>
          </w:p>
        </w:tc>
        <w:tc>
          <w:tcPr>
            <w:tcW w:w="1843" w:type="dxa"/>
            <w:tcMar>
              <w:left w:w="108" w:type="dxa"/>
              <w:right w:w="108" w:type="dxa"/>
            </w:tcMar>
          </w:tcPr>
          <w:p w14:paraId="59DFE0D6"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0.8 [0.7,1.1]</w:t>
            </w:r>
          </w:p>
        </w:tc>
        <w:tc>
          <w:tcPr>
            <w:tcW w:w="850" w:type="dxa"/>
            <w:tcMar>
              <w:left w:w="108" w:type="dxa"/>
              <w:right w:w="108" w:type="dxa"/>
            </w:tcMar>
          </w:tcPr>
          <w:p w14:paraId="7CC15039"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34</w:t>
            </w:r>
          </w:p>
        </w:tc>
        <w:tc>
          <w:tcPr>
            <w:tcW w:w="1985" w:type="dxa"/>
            <w:tcMar>
              <w:left w:w="108" w:type="dxa"/>
              <w:right w:w="108" w:type="dxa"/>
            </w:tcMar>
          </w:tcPr>
          <w:p w14:paraId="1F2F9CC9"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0.8 [0.7,1.2]</w:t>
            </w:r>
          </w:p>
        </w:tc>
        <w:tc>
          <w:tcPr>
            <w:tcW w:w="709" w:type="dxa"/>
            <w:tcMar>
              <w:left w:w="108" w:type="dxa"/>
              <w:right w:w="108" w:type="dxa"/>
            </w:tcMar>
          </w:tcPr>
          <w:p w14:paraId="009E8B16"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0</w:t>
            </w:r>
          </w:p>
        </w:tc>
        <w:tc>
          <w:tcPr>
            <w:tcW w:w="1984" w:type="dxa"/>
            <w:tcMar>
              <w:left w:w="108" w:type="dxa"/>
              <w:right w:w="108" w:type="dxa"/>
            </w:tcMar>
          </w:tcPr>
          <w:p w14:paraId="5D4A8A1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n/a</w:t>
            </w:r>
          </w:p>
        </w:tc>
      </w:tr>
      <w:tr w:rsidR="00BF35BC" w:rsidRPr="000255F3" w14:paraId="0A307C32" w14:textId="77777777" w:rsidTr="00AB3DAD">
        <w:trPr>
          <w:trHeight w:val="300"/>
        </w:trPr>
        <w:tc>
          <w:tcPr>
            <w:tcW w:w="2101" w:type="dxa"/>
            <w:tcMar>
              <w:left w:w="108" w:type="dxa"/>
              <w:right w:w="108" w:type="dxa"/>
            </w:tcMar>
          </w:tcPr>
          <w:p w14:paraId="0CDA999D" w14:textId="77777777" w:rsidR="00BF35BC" w:rsidRPr="000255F3" w:rsidRDefault="00BF35BC" w:rsidP="00C034BF">
            <w:pPr>
              <w:spacing w:line="360" w:lineRule="auto"/>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HDL-C (mmol/L)</w:t>
            </w:r>
          </w:p>
        </w:tc>
        <w:tc>
          <w:tcPr>
            <w:tcW w:w="735" w:type="dxa"/>
            <w:tcMar>
              <w:left w:w="108" w:type="dxa"/>
              <w:right w:w="108" w:type="dxa"/>
            </w:tcMar>
          </w:tcPr>
          <w:p w14:paraId="3943CF96"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31</w:t>
            </w:r>
          </w:p>
        </w:tc>
        <w:tc>
          <w:tcPr>
            <w:tcW w:w="1843" w:type="dxa"/>
            <w:tcMar>
              <w:left w:w="108" w:type="dxa"/>
              <w:right w:w="108" w:type="dxa"/>
            </w:tcMar>
          </w:tcPr>
          <w:p w14:paraId="797F8621"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1.6 [1.3,1.9]</w:t>
            </w:r>
          </w:p>
        </w:tc>
        <w:tc>
          <w:tcPr>
            <w:tcW w:w="850" w:type="dxa"/>
            <w:tcMar>
              <w:left w:w="108" w:type="dxa"/>
              <w:right w:w="108" w:type="dxa"/>
            </w:tcMar>
          </w:tcPr>
          <w:p w14:paraId="2C499B9F"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30</w:t>
            </w:r>
          </w:p>
        </w:tc>
        <w:tc>
          <w:tcPr>
            <w:tcW w:w="1985" w:type="dxa"/>
            <w:tcMar>
              <w:left w:w="108" w:type="dxa"/>
              <w:right w:w="108" w:type="dxa"/>
            </w:tcMar>
          </w:tcPr>
          <w:p w14:paraId="1EE3F15D"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1.7 [1.3,1.9]</w:t>
            </w:r>
          </w:p>
        </w:tc>
        <w:tc>
          <w:tcPr>
            <w:tcW w:w="709" w:type="dxa"/>
            <w:tcMar>
              <w:left w:w="108" w:type="dxa"/>
              <w:right w:w="108" w:type="dxa"/>
            </w:tcMar>
          </w:tcPr>
          <w:p w14:paraId="29AF4505"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w:t>
            </w:r>
          </w:p>
        </w:tc>
        <w:tc>
          <w:tcPr>
            <w:tcW w:w="1984" w:type="dxa"/>
            <w:tcMar>
              <w:left w:w="108" w:type="dxa"/>
              <w:right w:w="108" w:type="dxa"/>
            </w:tcMar>
          </w:tcPr>
          <w:p w14:paraId="43F78830" w14:textId="77777777" w:rsidR="00BF35BC" w:rsidRPr="000255F3" w:rsidRDefault="00BF35BC" w:rsidP="00C034BF">
            <w:pPr>
              <w:spacing w:line="360" w:lineRule="auto"/>
              <w:jc w:val="center"/>
              <w:rPr>
                <w:rFonts w:ascii="Arial" w:eastAsia="Aptos Narrow" w:hAnsi="Arial" w:cs="Arial"/>
                <w:color w:val="000000" w:themeColor="text1"/>
                <w:sz w:val="22"/>
                <w:szCs w:val="22"/>
              </w:rPr>
            </w:pPr>
            <w:r w:rsidRPr="000255F3">
              <w:rPr>
                <w:rFonts w:ascii="Arial" w:eastAsia="Aptos Narrow" w:hAnsi="Arial" w:cs="Arial"/>
                <w:color w:val="000000" w:themeColor="text1"/>
                <w:sz w:val="22"/>
                <w:szCs w:val="22"/>
              </w:rPr>
              <w:t>1</w:t>
            </w:r>
          </w:p>
        </w:tc>
      </w:tr>
    </w:tbl>
    <w:p w14:paraId="01194D14" w14:textId="6A58E8F0" w:rsidR="00BF35BC" w:rsidRPr="000255F3" w:rsidRDefault="00BF35BC" w:rsidP="00C034BF">
      <w:pPr>
        <w:spacing w:before="240" w:line="360" w:lineRule="auto"/>
        <w:ind w:left="-567" w:right="-619"/>
        <w:jc w:val="center"/>
        <w:rPr>
          <w:rFonts w:ascii="Arial" w:eastAsia="Segoe UI" w:hAnsi="Arial" w:cs="Arial"/>
          <w:color w:val="000000" w:themeColor="text1"/>
          <w:sz w:val="22"/>
          <w:szCs w:val="22"/>
          <w:u w:val="single"/>
        </w:rPr>
      </w:pPr>
      <w:r w:rsidRPr="000255F3">
        <w:rPr>
          <w:rFonts w:ascii="Arial" w:eastAsia="Segoe UI" w:hAnsi="Arial" w:cs="Arial"/>
          <w:b/>
          <w:bCs/>
          <w:color w:val="000000" w:themeColor="text1"/>
          <w:sz w:val="22"/>
          <w:szCs w:val="22"/>
        </w:rPr>
        <w:t xml:space="preserve">Supplementary Table </w:t>
      </w:r>
      <w:r w:rsidR="00F85935">
        <w:rPr>
          <w:rFonts w:ascii="Arial" w:eastAsia="Segoe UI" w:hAnsi="Arial" w:cs="Arial"/>
          <w:b/>
          <w:bCs/>
          <w:color w:val="000000" w:themeColor="text1"/>
          <w:sz w:val="22"/>
          <w:szCs w:val="22"/>
        </w:rPr>
        <w:t>3</w:t>
      </w:r>
      <w:r w:rsidRPr="000255F3">
        <w:rPr>
          <w:rFonts w:ascii="Arial" w:eastAsia="Segoe UI" w:hAnsi="Arial" w:cs="Arial"/>
          <w:b/>
          <w:bCs/>
          <w:color w:val="000000" w:themeColor="text1"/>
          <w:sz w:val="22"/>
          <w:szCs w:val="22"/>
        </w:rPr>
        <w:t xml:space="preserve">: Continuous Clinical and Biochemical Features of Biallelic Insulin </w:t>
      </w:r>
      <w:proofErr w:type="spellStart"/>
      <w:r w:rsidRPr="000255F3">
        <w:rPr>
          <w:rFonts w:ascii="Arial" w:eastAsia="Segoe UI" w:hAnsi="Arial" w:cs="Arial"/>
          <w:b/>
          <w:bCs/>
          <w:color w:val="000000" w:themeColor="text1"/>
          <w:sz w:val="22"/>
          <w:szCs w:val="22"/>
        </w:rPr>
        <w:t>Receptoropathy</w:t>
      </w:r>
      <w:proofErr w:type="spellEnd"/>
      <w:r w:rsidRPr="000255F3">
        <w:rPr>
          <w:rFonts w:ascii="Arial" w:eastAsia="Segoe UI" w:hAnsi="Arial" w:cs="Arial"/>
          <w:color w:val="000000" w:themeColor="text1"/>
          <w:sz w:val="22"/>
          <w:szCs w:val="22"/>
        </w:rPr>
        <w:t xml:space="preserve">. </w:t>
      </w:r>
      <w:r w:rsidRPr="000255F3">
        <w:rPr>
          <w:rFonts w:ascii="Arial" w:eastAsia="Aptos" w:hAnsi="Arial" w:cs="Arial"/>
          <w:color w:val="000000" w:themeColor="text1"/>
          <w:sz w:val="22"/>
          <w:szCs w:val="22"/>
        </w:rPr>
        <w:t xml:space="preserve">KO = Knockout, as defined in methods; </w:t>
      </w:r>
      <w:proofErr w:type="gramStart"/>
      <w:r w:rsidRPr="000255F3">
        <w:rPr>
          <w:rFonts w:ascii="Arial" w:eastAsia="Aptos" w:hAnsi="Arial" w:cs="Arial"/>
          <w:color w:val="000000" w:themeColor="text1"/>
          <w:sz w:val="22"/>
          <w:szCs w:val="22"/>
        </w:rPr>
        <w:t>Non-KO</w:t>
      </w:r>
      <w:proofErr w:type="gramEnd"/>
      <w:r w:rsidRPr="000255F3">
        <w:rPr>
          <w:rFonts w:ascii="Arial" w:eastAsia="Aptos" w:hAnsi="Arial" w:cs="Arial"/>
          <w:color w:val="000000" w:themeColor="text1"/>
          <w:sz w:val="22"/>
          <w:szCs w:val="22"/>
        </w:rPr>
        <w:t xml:space="preserve"> = other genotypes not meeting KO criteria; </w:t>
      </w:r>
      <w:r w:rsidRPr="000255F3">
        <w:rPr>
          <w:rFonts w:ascii="Arial" w:eastAsia="Segoe UI" w:hAnsi="Arial" w:cs="Arial"/>
          <w:color w:val="000000" w:themeColor="text1"/>
          <w:sz w:val="22"/>
          <w:szCs w:val="22"/>
        </w:rPr>
        <w:t>SDS = Standard Deviation Score</w:t>
      </w:r>
    </w:p>
    <w:p w14:paraId="42AEB39C" w14:textId="77777777" w:rsidR="00BF35BC" w:rsidRPr="000255F3" w:rsidRDefault="00BF35BC" w:rsidP="00C034BF">
      <w:pPr>
        <w:spacing w:line="360" w:lineRule="auto"/>
        <w:jc w:val="both"/>
        <w:rPr>
          <w:rFonts w:ascii="Arial" w:hAnsi="Arial" w:cs="Arial"/>
          <w:color w:val="000000" w:themeColor="text1"/>
          <w:sz w:val="22"/>
          <w:szCs w:val="22"/>
        </w:rPr>
      </w:pPr>
    </w:p>
    <w:p w14:paraId="432D3C1E" w14:textId="77777777" w:rsidR="00BF35BC" w:rsidRPr="000255F3" w:rsidRDefault="00BF35BC" w:rsidP="00C034BF">
      <w:pPr>
        <w:spacing w:line="360" w:lineRule="auto"/>
        <w:jc w:val="both"/>
        <w:rPr>
          <w:rFonts w:ascii="Arial" w:eastAsia="Aptos" w:hAnsi="Arial" w:cs="Arial"/>
          <w:color w:val="000000" w:themeColor="text1"/>
          <w:sz w:val="22"/>
          <w:szCs w:val="22"/>
        </w:rPr>
      </w:pPr>
    </w:p>
    <w:p w14:paraId="3968250A" w14:textId="77777777" w:rsidR="00BF35BC" w:rsidRPr="000255F3" w:rsidRDefault="00BF35BC" w:rsidP="00C034BF">
      <w:pPr>
        <w:spacing w:line="360" w:lineRule="auto"/>
        <w:rPr>
          <w:rFonts w:ascii="Arial" w:hAnsi="Arial" w:cs="Arial"/>
          <w:color w:val="000000" w:themeColor="text1"/>
          <w:sz w:val="22"/>
          <w:szCs w:val="22"/>
        </w:rPr>
      </w:pPr>
    </w:p>
    <w:p w14:paraId="6B61B7D0" w14:textId="77777777" w:rsidR="00BF35BC" w:rsidRPr="000255F3" w:rsidRDefault="00BF35BC" w:rsidP="00C034BF">
      <w:pPr>
        <w:spacing w:line="360" w:lineRule="auto"/>
        <w:jc w:val="center"/>
        <w:rPr>
          <w:rFonts w:ascii="Arial" w:hAnsi="Arial" w:cs="Arial"/>
          <w:b/>
          <w:bCs/>
          <w:color w:val="000000" w:themeColor="text1"/>
          <w:sz w:val="22"/>
          <w:szCs w:val="22"/>
        </w:rPr>
      </w:pPr>
    </w:p>
    <w:p w14:paraId="540F4662" w14:textId="0B764B2C" w:rsidR="00F85935" w:rsidRDefault="00F85935" w:rsidP="00C034BF">
      <w:pPr>
        <w:spacing w:line="360" w:lineRule="auto"/>
      </w:pPr>
      <w:r>
        <w:br w:type="page"/>
      </w:r>
    </w:p>
    <w:p w14:paraId="542E98FF" w14:textId="0D85571A" w:rsidR="00004B92" w:rsidRPr="00F85935" w:rsidRDefault="00F85935" w:rsidP="00C034BF">
      <w:pPr>
        <w:spacing w:line="360" w:lineRule="auto"/>
        <w:jc w:val="center"/>
        <w:rPr>
          <w:b/>
          <w:bCs/>
        </w:rPr>
      </w:pPr>
      <w:r w:rsidRPr="00F85935">
        <w:rPr>
          <w:b/>
          <w:bCs/>
        </w:rPr>
        <w:lastRenderedPageBreak/>
        <w:t>Supplementary Figure</w:t>
      </w:r>
    </w:p>
    <w:p w14:paraId="60DB9D93" w14:textId="77777777" w:rsidR="00F85935" w:rsidRDefault="00F85935" w:rsidP="00C034BF">
      <w:pPr>
        <w:spacing w:line="360" w:lineRule="auto"/>
      </w:pPr>
    </w:p>
    <w:p w14:paraId="7895C623" w14:textId="77777777" w:rsidR="00F85935" w:rsidRDefault="00F85935" w:rsidP="00C034BF">
      <w:pPr>
        <w:spacing w:line="360" w:lineRule="auto"/>
      </w:pPr>
    </w:p>
    <w:p w14:paraId="6952B097" w14:textId="77777777" w:rsidR="00F85935" w:rsidRDefault="00F85935" w:rsidP="00C034BF">
      <w:pPr>
        <w:spacing w:line="360" w:lineRule="auto"/>
      </w:pPr>
    </w:p>
    <w:p w14:paraId="4A535134" w14:textId="77777777" w:rsidR="00F85935" w:rsidRDefault="00F85935" w:rsidP="00C034BF">
      <w:pPr>
        <w:spacing w:line="360" w:lineRule="auto"/>
      </w:pPr>
    </w:p>
    <w:p w14:paraId="51A208CD" w14:textId="77777777" w:rsidR="00F85935" w:rsidRDefault="00F85935" w:rsidP="00C034BF">
      <w:pPr>
        <w:spacing w:line="360" w:lineRule="auto"/>
      </w:pPr>
    </w:p>
    <w:p w14:paraId="211DE7B8" w14:textId="77777777" w:rsidR="00F85935" w:rsidRDefault="00F85935" w:rsidP="00C034BF">
      <w:pPr>
        <w:spacing w:line="360" w:lineRule="auto"/>
      </w:pPr>
    </w:p>
    <w:p w14:paraId="64AD3436" w14:textId="77777777" w:rsidR="00F85935" w:rsidRDefault="00F85935" w:rsidP="00C034BF">
      <w:pPr>
        <w:spacing w:line="360" w:lineRule="auto"/>
      </w:pPr>
    </w:p>
    <w:p w14:paraId="20D6849A" w14:textId="77777777" w:rsidR="00F85935" w:rsidRDefault="00F85935" w:rsidP="00C034BF">
      <w:pPr>
        <w:spacing w:line="360" w:lineRule="auto"/>
      </w:pPr>
    </w:p>
    <w:p w14:paraId="0C886F88" w14:textId="32E41C21" w:rsidR="00F85935" w:rsidRDefault="00F85935" w:rsidP="00C034BF">
      <w:pPr>
        <w:spacing w:line="360" w:lineRule="auto"/>
        <w:jc w:val="center"/>
        <w:rPr>
          <w:rFonts w:ascii="Arial" w:hAnsi="Arial" w:cs="Arial"/>
          <w:b/>
          <w:bCs/>
          <w:color w:val="000000" w:themeColor="text1"/>
          <w:sz w:val="22"/>
          <w:szCs w:val="22"/>
        </w:rPr>
      </w:pPr>
      <w:r w:rsidRPr="00F85935">
        <w:rPr>
          <w:rFonts w:ascii="Arial" w:hAnsi="Arial" w:cs="Arial"/>
          <w:b/>
          <w:bCs/>
          <w:noProof/>
          <w:color w:val="000000" w:themeColor="text1"/>
          <w:sz w:val="22"/>
          <w:szCs w:val="22"/>
        </w:rPr>
        <w:drawing>
          <wp:inline distT="0" distB="0" distL="0" distR="0" wp14:anchorId="28555E85" wp14:editId="1430C825">
            <wp:extent cx="4027930" cy="3739742"/>
            <wp:effectExtent l="0" t="0" r="0" b="0"/>
            <wp:docPr id="8" name="drawing">
              <a:extLst xmlns:a="http://schemas.openxmlformats.org/drawingml/2006/main">
                <a:ext uri="{FF2B5EF4-FFF2-40B4-BE49-F238E27FC236}">
                  <a16:creationId xmlns:a16="http://schemas.microsoft.com/office/drawing/2014/main" id="{2064129B-D069-E917-A2C4-C64250DB0A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a:extLst>
                        <a:ext uri="{FF2B5EF4-FFF2-40B4-BE49-F238E27FC236}">
                          <a16:creationId xmlns:a16="http://schemas.microsoft.com/office/drawing/2014/main" id="{2064129B-D069-E917-A2C4-C64250DB0A35}"/>
                        </a:ext>
                      </a:extLst>
                    </pic:cNvPr>
                    <pic:cNvPicPr>
                      <a:picLocks noChangeAspect="1"/>
                    </pic:cNvPicPr>
                  </pic:nvPicPr>
                  <pic:blipFill>
                    <a:blip r:embed="rId7">
                      <a:extLst>
                        <a:ext uri="{28A0092B-C50C-407E-A947-70E740481C1C}">
                          <a14:useLocalDpi xmlns:a14="http://schemas.microsoft.com/office/drawing/2010/main"/>
                        </a:ext>
                      </a:extLst>
                    </a:blip>
                    <a:stretch>
                      <a:fillRect/>
                    </a:stretch>
                  </pic:blipFill>
                  <pic:spPr>
                    <a:xfrm>
                      <a:off x="0" y="0"/>
                      <a:ext cx="4049310" cy="3759592"/>
                    </a:xfrm>
                    <a:prstGeom prst="rect">
                      <a:avLst/>
                    </a:prstGeom>
                  </pic:spPr>
                </pic:pic>
              </a:graphicData>
            </a:graphic>
          </wp:inline>
        </w:drawing>
      </w:r>
    </w:p>
    <w:p w14:paraId="71E8EB9A" w14:textId="57FB3FE4" w:rsidR="00F85935" w:rsidRPr="00C94FE4" w:rsidRDefault="00F85935" w:rsidP="00C034BF">
      <w:pPr>
        <w:spacing w:line="360" w:lineRule="auto"/>
        <w:ind w:left="851" w:right="656"/>
        <w:jc w:val="center"/>
        <w:rPr>
          <w:rFonts w:ascii="Arial" w:hAnsi="Arial" w:cs="Arial"/>
          <w:color w:val="000000" w:themeColor="text1"/>
          <w:sz w:val="22"/>
          <w:szCs w:val="22"/>
        </w:rPr>
      </w:pPr>
      <w:r>
        <w:rPr>
          <w:rFonts w:ascii="Arial" w:hAnsi="Arial" w:cs="Arial"/>
          <w:b/>
          <w:bCs/>
          <w:color w:val="000000" w:themeColor="text1"/>
          <w:sz w:val="22"/>
          <w:szCs w:val="22"/>
        </w:rPr>
        <w:t xml:space="preserve">Supplementary Figure 1: Calibration of Random Survival Forest Model. </w:t>
      </w:r>
      <w:r w:rsidRPr="00C94FE4">
        <w:rPr>
          <w:rFonts w:ascii="Arial" w:hAnsi="Arial" w:cs="Arial"/>
          <w:color w:val="000000" w:themeColor="text1"/>
          <w:sz w:val="22"/>
          <w:szCs w:val="22"/>
        </w:rPr>
        <w:t>Observed Kaplan-Meier survival plotted against mean predicted 2-year survival across five equal-sized patient quintiles (n=31 per bin). The dashed diagonal line representing perfect calibration indicates that the RSF model possesses excellent predictive accuracy, particularly within moderate-to-high survival brackets.</w:t>
      </w:r>
    </w:p>
    <w:p w14:paraId="77FEA04F" w14:textId="77777777" w:rsidR="00F85935" w:rsidRDefault="00F85935" w:rsidP="00C034BF">
      <w:pPr>
        <w:spacing w:line="360" w:lineRule="auto"/>
      </w:pPr>
    </w:p>
    <w:p w14:paraId="33AC089F" w14:textId="77777777" w:rsidR="00F85935" w:rsidRDefault="00F85935" w:rsidP="00C034BF">
      <w:pPr>
        <w:spacing w:line="360" w:lineRule="auto"/>
      </w:pPr>
    </w:p>
    <w:sectPr w:rsidR="00F85935" w:rsidSect="00C034BF">
      <w:headerReference w:type="default" r:id="rId8"/>
      <w:footerReference w:type="even" r:id="rId9"/>
      <w:footerReference w:type="default" r:id="rId10"/>
      <w:pgSz w:w="11900" w:h="16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EBDD5" w14:textId="77777777" w:rsidR="00E814F2" w:rsidRDefault="00E814F2" w:rsidP="00F85935">
      <w:r>
        <w:separator/>
      </w:r>
    </w:p>
  </w:endnote>
  <w:endnote w:type="continuationSeparator" w:id="0">
    <w:p w14:paraId="3CE96D32" w14:textId="77777777" w:rsidR="00E814F2" w:rsidRDefault="00E814F2" w:rsidP="00F8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486155"/>
      <w:docPartObj>
        <w:docPartGallery w:val="Page Numbers (Bottom of Page)"/>
        <w:docPartUnique/>
      </w:docPartObj>
    </w:sdtPr>
    <w:sdtContent>
      <w:p w14:paraId="57B044B7" w14:textId="2CA65738" w:rsidR="00C034BF" w:rsidRDefault="00C034BF" w:rsidP="007D0B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3921EB1" w14:textId="77777777" w:rsidR="00C034BF" w:rsidRDefault="00C034BF" w:rsidP="00C034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8131410"/>
      <w:docPartObj>
        <w:docPartGallery w:val="Page Numbers (Bottom of Page)"/>
        <w:docPartUnique/>
      </w:docPartObj>
    </w:sdtPr>
    <w:sdtContent>
      <w:p w14:paraId="34E134D2" w14:textId="29787125" w:rsidR="00C034BF" w:rsidRDefault="00C034BF" w:rsidP="007D0B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30DED3" w14:textId="77777777" w:rsidR="00C034BF" w:rsidRDefault="00C034BF" w:rsidP="00C034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FD766C" w14:textId="77777777" w:rsidR="00E814F2" w:rsidRDefault="00E814F2" w:rsidP="00F85935">
      <w:r>
        <w:separator/>
      </w:r>
    </w:p>
  </w:footnote>
  <w:footnote w:type="continuationSeparator" w:id="0">
    <w:p w14:paraId="63AD259C" w14:textId="77777777" w:rsidR="00E814F2" w:rsidRDefault="00E814F2" w:rsidP="00F85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432BC" w14:textId="71F505E5" w:rsidR="00F85935" w:rsidRDefault="00F85935" w:rsidP="00C034BF">
    <w:pPr>
      <w:pStyle w:val="Header"/>
      <w:jc w:val="center"/>
      <w:rPr>
        <w:i/>
        <w:iCs/>
      </w:rPr>
    </w:pPr>
    <w:r w:rsidRPr="00F85935">
      <w:rPr>
        <w:i/>
        <w:iCs/>
      </w:rPr>
      <w:t xml:space="preserve">Comprehensive review of the genotype-phenotype spectrum, natural history and treatment for biallelic insulin </w:t>
    </w:r>
    <w:proofErr w:type="spellStart"/>
    <w:r w:rsidRPr="00F85935">
      <w:rPr>
        <w:i/>
        <w:iCs/>
      </w:rPr>
      <w:t>receptoropathy</w:t>
    </w:r>
    <w:proofErr w:type="spellEnd"/>
    <w:r w:rsidRPr="00F85935">
      <w:rPr>
        <w:i/>
        <w:iCs/>
      </w:rPr>
      <w:t xml:space="preserve"> based on 259 affected people</w:t>
    </w:r>
    <w:r>
      <w:rPr>
        <w:i/>
        <w:iCs/>
      </w:rPr>
      <w:t xml:space="preserve">, </w:t>
    </w:r>
    <w:r w:rsidRPr="00F85935">
      <w:t xml:space="preserve">D’Silva </w:t>
    </w:r>
    <w:r w:rsidRPr="00F85935">
      <w:rPr>
        <w:i/>
        <w:iCs/>
      </w:rPr>
      <w:t>et al</w:t>
    </w:r>
  </w:p>
  <w:p w14:paraId="3D6E63A9" w14:textId="77777777" w:rsidR="00F85935" w:rsidRPr="00F85935" w:rsidRDefault="00F85935" w:rsidP="00F85935">
    <w:pPr>
      <w:pStyle w:val="Header"/>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4D5F23"/>
    <w:multiLevelType w:val="hybridMultilevel"/>
    <w:tmpl w:val="21AE52B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0862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235"/>
    <w:rsid w:val="00004B92"/>
    <w:rsid w:val="00006AA6"/>
    <w:rsid w:val="00014D43"/>
    <w:rsid w:val="00020ADB"/>
    <w:rsid w:val="000270E9"/>
    <w:rsid w:val="00034E2D"/>
    <w:rsid w:val="00037148"/>
    <w:rsid w:val="000420D9"/>
    <w:rsid w:val="00042D8A"/>
    <w:rsid w:val="00045000"/>
    <w:rsid w:val="00054678"/>
    <w:rsid w:val="00062F77"/>
    <w:rsid w:val="00081B9A"/>
    <w:rsid w:val="00084173"/>
    <w:rsid w:val="00085163"/>
    <w:rsid w:val="0008759B"/>
    <w:rsid w:val="000A787E"/>
    <w:rsid w:val="000B0BD6"/>
    <w:rsid w:val="000B1BB7"/>
    <w:rsid w:val="000B6E40"/>
    <w:rsid w:val="000C7D53"/>
    <w:rsid w:val="000D1303"/>
    <w:rsid w:val="000E42EE"/>
    <w:rsid w:val="000F0DC3"/>
    <w:rsid w:val="000F5CD2"/>
    <w:rsid w:val="00104E02"/>
    <w:rsid w:val="00113DEB"/>
    <w:rsid w:val="0013294C"/>
    <w:rsid w:val="0013384C"/>
    <w:rsid w:val="00135F60"/>
    <w:rsid w:val="0014396A"/>
    <w:rsid w:val="0014537A"/>
    <w:rsid w:val="0016313A"/>
    <w:rsid w:val="0018025E"/>
    <w:rsid w:val="0018465B"/>
    <w:rsid w:val="00190452"/>
    <w:rsid w:val="00190AFA"/>
    <w:rsid w:val="00194692"/>
    <w:rsid w:val="001A7D4A"/>
    <w:rsid w:val="001B14AC"/>
    <w:rsid w:val="001B34FF"/>
    <w:rsid w:val="001F1C10"/>
    <w:rsid w:val="001F6B3F"/>
    <w:rsid w:val="002071FF"/>
    <w:rsid w:val="002127A6"/>
    <w:rsid w:val="00223ACD"/>
    <w:rsid w:val="002264B4"/>
    <w:rsid w:val="00230D52"/>
    <w:rsid w:val="00233BB7"/>
    <w:rsid w:val="00233CBD"/>
    <w:rsid w:val="00237A93"/>
    <w:rsid w:val="00247FE8"/>
    <w:rsid w:val="0025735E"/>
    <w:rsid w:val="002649E4"/>
    <w:rsid w:val="002773B6"/>
    <w:rsid w:val="00277FED"/>
    <w:rsid w:val="00286818"/>
    <w:rsid w:val="00287C11"/>
    <w:rsid w:val="0029331B"/>
    <w:rsid w:val="002A2D4F"/>
    <w:rsid w:val="002A6BEA"/>
    <w:rsid w:val="002B40EF"/>
    <w:rsid w:val="002D2F82"/>
    <w:rsid w:val="002D769E"/>
    <w:rsid w:val="002E53C0"/>
    <w:rsid w:val="002F5287"/>
    <w:rsid w:val="00303EDC"/>
    <w:rsid w:val="003056FD"/>
    <w:rsid w:val="00326F5C"/>
    <w:rsid w:val="003274AD"/>
    <w:rsid w:val="00340932"/>
    <w:rsid w:val="00342DB3"/>
    <w:rsid w:val="003470C1"/>
    <w:rsid w:val="00347B75"/>
    <w:rsid w:val="00350550"/>
    <w:rsid w:val="00353F88"/>
    <w:rsid w:val="00356871"/>
    <w:rsid w:val="00375AD2"/>
    <w:rsid w:val="003C22E4"/>
    <w:rsid w:val="003C30ED"/>
    <w:rsid w:val="003C3529"/>
    <w:rsid w:val="003D0CA2"/>
    <w:rsid w:val="003E77CF"/>
    <w:rsid w:val="003F409F"/>
    <w:rsid w:val="004011D4"/>
    <w:rsid w:val="0040525D"/>
    <w:rsid w:val="0042597E"/>
    <w:rsid w:val="00425D7A"/>
    <w:rsid w:val="00430C72"/>
    <w:rsid w:val="0043263C"/>
    <w:rsid w:val="00462442"/>
    <w:rsid w:val="0047497A"/>
    <w:rsid w:val="004770FF"/>
    <w:rsid w:val="00482410"/>
    <w:rsid w:val="004842D0"/>
    <w:rsid w:val="00490923"/>
    <w:rsid w:val="0049484A"/>
    <w:rsid w:val="004C31FC"/>
    <w:rsid w:val="004D14D7"/>
    <w:rsid w:val="004D32B0"/>
    <w:rsid w:val="004E20BB"/>
    <w:rsid w:val="004E3D9D"/>
    <w:rsid w:val="005017A7"/>
    <w:rsid w:val="00545ED7"/>
    <w:rsid w:val="00563285"/>
    <w:rsid w:val="00575C08"/>
    <w:rsid w:val="00576AC0"/>
    <w:rsid w:val="0058345D"/>
    <w:rsid w:val="005854A4"/>
    <w:rsid w:val="005869BD"/>
    <w:rsid w:val="0059063E"/>
    <w:rsid w:val="00594164"/>
    <w:rsid w:val="005B6B03"/>
    <w:rsid w:val="005B78EC"/>
    <w:rsid w:val="005C03FA"/>
    <w:rsid w:val="005C2463"/>
    <w:rsid w:val="005C5B0B"/>
    <w:rsid w:val="005D028C"/>
    <w:rsid w:val="005F3829"/>
    <w:rsid w:val="005F5303"/>
    <w:rsid w:val="006117E0"/>
    <w:rsid w:val="006138AC"/>
    <w:rsid w:val="00620AB9"/>
    <w:rsid w:val="0062103C"/>
    <w:rsid w:val="00627E91"/>
    <w:rsid w:val="00653784"/>
    <w:rsid w:val="00657425"/>
    <w:rsid w:val="00665029"/>
    <w:rsid w:val="00672D7E"/>
    <w:rsid w:val="00675142"/>
    <w:rsid w:val="006803D0"/>
    <w:rsid w:val="00681248"/>
    <w:rsid w:val="00683DF9"/>
    <w:rsid w:val="0068441D"/>
    <w:rsid w:val="00685E62"/>
    <w:rsid w:val="0069026E"/>
    <w:rsid w:val="00692C1E"/>
    <w:rsid w:val="00692F1F"/>
    <w:rsid w:val="006A0469"/>
    <w:rsid w:val="006A2E0E"/>
    <w:rsid w:val="006A3F64"/>
    <w:rsid w:val="006E02FA"/>
    <w:rsid w:val="006E180C"/>
    <w:rsid w:val="006E6A29"/>
    <w:rsid w:val="006F4CD2"/>
    <w:rsid w:val="00707B68"/>
    <w:rsid w:val="00710A0A"/>
    <w:rsid w:val="00722104"/>
    <w:rsid w:val="007223E8"/>
    <w:rsid w:val="007265C3"/>
    <w:rsid w:val="00741336"/>
    <w:rsid w:val="00755A54"/>
    <w:rsid w:val="00761427"/>
    <w:rsid w:val="00765B3C"/>
    <w:rsid w:val="00773ABB"/>
    <w:rsid w:val="00776417"/>
    <w:rsid w:val="00781815"/>
    <w:rsid w:val="00790474"/>
    <w:rsid w:val="00791BF9"/>
    <w:rsid w:val="007942AB"/>
    <w:rsid w:val="007A1FEB"/>
    <w:rsid w:val="007A24ED"/>
    <w:rsid w:val="007A4FB0"/>
    <w:rsid w:val="007B60E8"/>
    <w:rsid w:val="007D7B17"/>
    <w:rsid w:val="007E5B0A"/>
    <w:rsid w:val="007E6D85"/>
    <w:rsid w:val="007E763F"/>
    <w:rsid w:val="008314BE"/>
    <w:rsid w:val="00835888"/>
    <w:rsid w:val="00844AE0"/>
    <w:rsid w:val="00847371"/>
    <w:rsid w:val="008530A4"/>
    <w:rsid w:val="00853CDF"/>
    <w:rsid w:val="00861299"/>
    <w:rsid w:val="00861C4F"/>
    <w:rsid w:val="0088140B"/>
    <w:rsid w:val="00892E59"/>
    <w:rsid w:val="008962D1"/>
    <w:rsid w:val="008A14F4"/>
    <w:rsid w:val="008A24D0"/>
    <w:rsid w:val="008B24A6"/>
    <w:rsid w:val="008B30B9"/>
    <w:rsid w:val="008B7B32"/>
    <w:rsid w:val="008C2472"/>
    <w:rsid w:val="008C745F"/>
    <w:rsid w:val="008E0E08"/>
    <w:rsid w:val="00900969"/>
    <w:rsid w:val="009169E1"/>
    <w:rsid w:val="009276D9"/>
    <w:rsid w:val="00943B70"/>
    <w:rsid w:val="0095074D"/>
    <w:rsid w:val="009537A6"/>
    <w:rsid w:val="00967DF3"/>
    <w:rsid w:val="009772E4"/>
    <w:rsid w:val="0098186E"/>
    <w:rsid w:val="00987B97"/>
    <w:rsid w:val="00990888"/>
    <w:rsid w:val="009A1A16"/>
    <w:rsid w:val="009A4187"/>
    <w:rsid w:val="009C44C5"/>
    <w:rsid w:val="009D31F9"/>
    <w:rsid w:val="009F732A"/>
    <w:rsid w:val="00A018E9"/>
    <w:rsid w:val="00A02438"/>
    <w:rsid w:val="00A05404"/>
    <w:rsid w:val="00A1087D"/>
    <w:rsid w:val="00A24764"/>
    <w:rsid w:val="00A34F8C"/>
    <w:rsid w:val="00A36295"/>
    <w:rsid w:val="00A445B5"/>
    <w:rsid w:val="00A44900"/>
    <w:rsid w:val="00A6645D"/>
    <w:rsid w:val="00A76C25"/>
    <w:rsid w:val="00A76D03"/>
    <w:rsid w:val="00A96181"/>
    <w:rsid w:val="00AA0C98"/>
    <w:rsid w:val="00AB0BC7"/>
    <w:rsid w:val="00AB11C1"/>
    <w:rsid w:val="00AB1333"/>
    <w:rsid w:val="00AB3DAD"/>
    <w:rsid w:val="00AC0BDB"/>
    <w:rsid w:val="00AC12C0"/>
    <w:rsid w:val="00AC3F47"/>
    <w:rsid w:val="00AD200E"/>
    <w:rsid w:val="00AF39AD"/>
    <w:rsid w:val="00B07593"/>
    <w:rsid w:val="00B179AA"/>
    <w:rsid w:val="00B22718"/>
    <w:rsid w:val="00B310C7"/>
    <w:rsid w:val="00B32C35"/>
    <w:rsid w:val="00B4292D"/>
    <w:rsid w:val="00B431AB"/>
    <w:rsid w:val="00B44583"/>
    <w:rsid w:val="00B4566F"/>
    <w:rsid w:val="00B53F49"/>
    <w:rsid w:val="00B61272"/>
    <w:rsid w:val="00B725E8"/>
    <w:rsid w:val="00B86710"/>
    <w:rsid w:val="00B920C2"/>
    <w:rsid w:val="00B92E52"/>
    <w:rsid w:val="00BA55B7"/>
    <w:rsid w:val="00BA62D9"/>
    <w:rsid w:val="00BB3CA2"/>
    <w:rsid w:val="00BC36A6"/>
    <w:rsid w:val="00BC50E8"/>
    <w:rsid w:val="00BC6B59"/>
    <w:rsid w:val="00BC73D3"/>
    <w:rsid w:val="00BD0585"/>
    <w:rsid w:val="00BF1294"/>
    <w:rsid w:val="00BF35BC"/>
    <w:rsid w:val="00BF7DC6"/>
    <w:rsid w:val="00C034BF"/>
    <w:rsid w:val="00C1346A"/>
    <w:rsid w:val="00C1722B"/>
    <w:rsid w:val="00C22703"/>
    <w:rsid w:val="00C24412"/>
    <w:rsid w:val="00C36ACE"/>
    <w:rsid w:val="00C41404"/>
    <w:rsid w:val="00C45F4B"/>
    <w:rsid w:val="00C55711"/>
    <w:rsid w:val="00C61025"/>
    <w:rsid w:val="00C75171"/>
    <w:rsid w:val="00C85A58"/>
    <w:rsid w:val="00C95B52"/>
    <w:rsid w:val="00CA1FB5"/>
    <w:rsid w:val="00CA4BB4"/>
    <w:rsid w:val="00CB0F60"/>
    <w:rsid w:val="00CB29C4"/>
    <w:rsid w:val="00CC2861"/>
    <w:rsid w:val="00CC2B2C"/>
    <w:rsid w:val="00CC4315"/>
    <w:rsid w:val="00CD2121"/>
    <w:rsid w:val="00CD606B"/>
    <w:rsid w:val="00D0030F"/>
    <w:rsid w:val="00D00C73"/>
    <w:rsid w:val="00D021C6"/>
    <w:rsid w:val="00D03EAE"/>
    <w:rsid w:val="00D2573F"/>
    <w:rsid w:val="00D55503"/>
    <w:rsid w:val="00D56010"/>
    <w:rsid w:val="00D64C90"/>
    <w:rsid w:val="00D7150C"/>
    <w:rsid w:val="00D817CE"/>
    <w:rsid w:val="00D872C4"/>
    <w:rsid w:val="00D87A75"/>
    <w:rsid w:val="00DA436E"/>
    <w:rsid w:val="00DA5959"/>
    <w:rsid w:val="00DB31F8"/>
    <w:rsid w:val="00DB562F"/>
    <w:rsid w:val="00DB6231"/>
    <w:rsid w:val="00DC74FE"/>
    <w:rsid w:val="00DE0931"/>
    <w:rsid w:val="00DE3602"/>
    <w:rsid w:val="00DE4636"/>
    <w:rsid w:val="00DE67DB"/>
    <w:rsid w:val="00DF32D4"/>
    <w:rsid w:val="00DF7D55"/>
    <w:rsid w:val="00E01275"/>
    <w:rsid w:val="00E01BDE"/>
    <w:rsid w:val="00E05694"/>
    <w:rsid w:val="00E065E9"/>
    <w:rsid w:val="00E129D1"/>
    <w:rsid w:val="00E16D10"/>
    <w:rsid w:val="00E16DD1"/>
    <w:rsid w:val="00E239A9"/>
    <w:rsid w:val="00E312BF"/>
    <w:rsid w:val="00E70A1B"/>
    <w:rsid w:val="00E77117"/>
    <w:rsid w:val="00E814F2"/>
    <w:rsid w:val="00E85D78"/>
    <w:rsid w:val="00EB05E6"/>
    <w:rsid w:val="00EB3A4D"/>
    <w:rsid w:val="00EC5FB5"/>
    <w:rsid w:val="00ED7235"/>
    <w:rsid w:val="00ED74D7"/>
    <w:rsid w:val="00EF5EF8"/>
    <w:rsid w:val="00F04073"/>
    <w:rsid w:val="00F34FAD"/>
    <w:rsid w:val="00F41CA6"/>
    <w:rsid w:val="00F43D12"/>
    <w:rsid w:val="00F727FB"/>
    <w:rsid w:val="00F72D9F"/>
    <w:rsid w:val="00F85935"/>
    <w:rsid w:val="00F909C9"/>
    <w:rsid w:val="00F9551A"/>
    <w:rsid w:val="00FA2AE4"/>
    <w:rsid w:val="00FB254B"/>
    <w:rsid w:val="00FC2F69"/>
    <w:rsid w:val="00FD0E57"/>
    <w:rsid w:val="00FE1019"/>
    <w:rsid w:val="00FE3AD4"/>
    <w:rsid w:val="00FF344F"/>
    <w:rsid w:val="00FF4A79"/>
    <w:rsid w:val="00FF5EC2"/>
    <w:rsid w:val="00FF7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3120"/>
  <w14:defaultImageDpi w14:val="32767"/>
  <w15:chartTrackingRefBased/>
  <w15:docId w15:val="{10387C86-A2C2-8F4C-AB8E-50D6574B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F35BC"/>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D7235"/>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D7235"/>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D7235"/>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D7235"/>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D7235"/>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D7235"/>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D7235"/>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D7235"/>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D7235"/>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2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2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2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2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2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2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2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2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235"/>
    <w:rPr>
      <w:rFonts w:eastAsiaTheme="majorEastAsia" w:cstheme="majorBidi"/>
      <w:color w:val="272727" w:themeColor="text1" w:themeTint="D8"/>
    </w:rPr>
  </w:style>
  <w:style w:type="paragraph" w:styleId="Title">
    <w:name w:val="Title"/>
    <w:basedOn w:val="Normal"/>
    <w:next w:val="Normal"/>
    <w:link w:val="TitleChar"/>
    <w:uiPriority w:val="10"/>
    <w:qFormat/>
    <w:rsid w:val="00ED723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D72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235"/>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D72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235"/>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D7235"/>
    <w:rPr>
      <w:i/>
      <w:iCs/>
      <w:color w:val="404040" w:themeColor="text1" w:themeTint="BF"/>
    </w:rPr>
  </w:style>
  <w:style w:type="paragraph" w:styleId="ListParagraph">
    <w:name w:val="List Paragraph"/>
    <w:basedOn w:val="Normal"/>
    <w:uiPriority w:val="34"/>
    <w:qFormat/>
    <w:rsid w:val="00ED7235"/>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D7235"/>
    <w:rPr>
      <w:i/>
      <w:iCs/>
      <w:color w:val="0F4761" w:themeColor="accent1" w:themeShade="BF"/>
    </w:rPr>
  </w:style>
  <w:style w:type="paragraph" w:styleId="IntenseQuote">
    <w:name w:val="Intense Quote"/>
    <w:basedOn w:val="Normal"/>
    <w:next w:val="Normal"/>
    <w:link w:val="IntenseQuoteChar"/>
    <w:uiPriority w:val="30"/>
    <w:qFormat/>
    <w:rsid w:val="00ED723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D7235"/>
    <w:rPr>
      <w:i/>
      <w:iCs/>
      <w:color w:val="0F4761" w:themeColor="accent1" w:themeShade="BF"/>
    </w:rPr>
  </w:style>
  <w:style w:type="character" w:styleId="IntenseReference">
    <w:name w:val="Intense Reference"/>
    <w:basedOn w:val="DefaultParagraphFont"/>
    <w:uiPriority w:val="32"/>
    <w:qFormat/>
    <w:rsid w:val="00ED7235"/>
    <w:rPr>
      <w:b/>
      <w:bCs/>
      <w:smallCaps/>
      <w:color w:val="0F4761" w:themeColor="accent1" w:themeShade="BF"/>
      <w:spacing w:val="5"/>
    </w:rPr>
  </w:style>
  <w:style w:type="table" w:styleId="TableGrid">
    <w:name w:val="Table Grid"/>
    <w:basedOn w:val="TableNormal"/>
    <w:uiPriority w:val="39"/>
    <w:rsid w:val="00BF35B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BF35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85935"/>
    <w:pPr>
      <w:tabs>
        <w:tab w:val="center" w:pos="4680"/>
        <w:tab w:val="right" w:pos="9360"/>
      </w:tabs>
    </w:pPr>
  </w:style>
  <w:style w:type="character" w:customStyle="1" w:styleId="HeaderChar">
    <w:name w:val="Header Char"/>
    <w:basedOn w:val="DefaultParagraphFont"/>
    <w:link w:val="Header"/>
    <w:uiPriority w:val="99"/>
    <w:rsid w:val="00F85935"/>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F85935"/>
    <w:pPr>
      <w:tabs>
        <w:tab w:val="center" w:pos="4680"/>
        <w:tab w:val="right" w:pos="9360"/>
      </w:tabs>
    </w:pPr>
  </w:style>
  <w:style w:type="character" w:customStyle="1" w:styleId="FooterChar">
    <w:name w:val="Footer Char"/>
    <w:basedOn w:val="DefaultParagraphFont"/>
    <w:link w:val="Footer"/>
    <w:uiPriority w:val="99"/>
    <w:rsid w:val="00F85935"/>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C034BF"/>
  </w:style>
  <w:style w:type="character" w:styleId="LineNumber">
    <w:name w:val="line number"/>
    <w:basedOn w:val="DefaultParagraphFont"/>
    <w:uiPriority w:val="99"/>
    <w:semiHidden/>
    <w:unhideWhenUsed/>
    <w:rsid w:val="00C03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Semple</dc:creator>
  <cp:keywords/>
  <dc:description/>
  <cp:lastModifiedBy>Robert Semple</cp:lastModifiedBy>
  <cp:revision>2</cp:revision>
  <dcterms:created xsi:type="dcterms:W3CDTF">2026-10-02T13:48:00Z</dcterms:created>
  <dcterms:modified xsi:type="dcterms:W3CDTF">2026-10-02T13:48:00Z</dcterms:modified>
</cp:coreProperties>
</file>