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6F2A" w14:textId="65221D01" w:rsidR="005E6601" w:rsidRPr="00F3645C" w:rsidRDefault="00B65E68">
      <w:pPr>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SUPPLEMENTARY MATERIAL</w:t>
      </w:r>
    </w:p>
    <w:p w14:paraId="21AC9F98" w14:textId="77777777" w:rsidR="003125B0" w:rsidRPr="00F3645C" w:rsidRDefault="003125B0" w:rsidP="003125B0">
      <w:pPr>
        <w:spacing w:after="0" w:line="360" w:lineRule="auto"/>
        <w:jc w:val="both"/>
        <w:rPr>
          <w:rFonts w:ascii="Times New Roman" w:hAnsi="Times New Roman" w:cs="Times New Roman"/>
          <w:b/>
          <w:sz w:val="20"/>
          <w:szCs w:val="20"/>
          <w:lang w:val="en-US"/>
        </w:rPr>
      </w:pPr>
    </w:p>
    <w:p w14:paraId="621FBB3A" w14:textId="77777777" w:rsidR="00EA7B96" w:rsidRPr="00F3645C" w:rsidRDefault="00EA7B96" w:rsidP="003125B0">
      <w:pPr>
        <w:spacing w:after="0" w:line="360" w:lineRule="auto"/>
        <w:jc w:val="both"/>
        <w:rPr>
          <w:rFonts w:ascii="Times New Roman" w:hAnsi="Times New Roman" w:cs="Times New Roman"/>
          <w:b/>
          <w:sz w:val="20"/>
          <w:szCs w:val="20"/>
          <w:lang w:val="en-US"/>
        </w:rPr>
      </w:pPr>
      <w:r w:rsidRPr="00F3645C">
        <w:rPr>
          <w:rFonts w:ascii="Times New Roman" w:hAnsi="Times New Roman" w:cs="Times New Roman"/>
          <w:b/>
          <w:sz w:val="20"/>
          <w:szCs w:val="20"/>
          <w:lang w:val="en-US"/>
        </w:rPr>
        <w:t>Supplementary Methods</w:t>
      </w:r>
    </w:p>
    <w:p w14:paraId="333471FE" w14:textId="722A87F8" w:rsidR="00C426E4" w:rsidRPr="00F3645C" w:rsidRDefault="00C426E4" w:rsidP="00C426E4">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Spinal Excitability: H Reflex and M Wave</w:t>
      </w:r>
    </w:p>
    <w:p w14:paraId="7E05EAD2" w14:textId="7494D44C" w:rsidR="00C426E4" w:rsidRPr="00F3645C" w:rsidRDefault="00C426E4" w:rsidP="00C426E4">
      <w:pPr>
        <w:spacing w:after="0" w:line="360" w:lineRule="auto"/>
        <w:ind w:firstLine="720"/>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 xml:space="preserve">Spinal excitability was assessed via H-reflex and M-wave measurements immediately after the MET assessment. Recruitment curves were generated using 1.0 ms monophasic pulses from a high-voltage stimulator (DIGITIMER DS8R, London, UK). Forty stimuli were delivered at intensities ranging from below </w:t>
      </w:r>
      <w:r w:rsidR="00FC58DA" w:rsidRPr="00F3645C">
        <w:rPr>
          <w:rFonts w:ascii="Times New Roman" w:hAnsi="Times New Roman" w:cs="Times New Roman"/>
          <w:sz w:val="20"/>
          <w:szCs w:val="20"/>
          <w:lang w:val="en-US"/>
        </w:rPr>
        <w:t xml:space="preserve">the </w:t>
      </w:r>
      <w:r w:rsidRPr="00F3645C">
        <w:rPr>
          <w:rFonts w:ascii="Times New Roman" w:hAnsi="Times New Roman" w:cs="Times New Roman"/>
          <w:sz w:val="20"/>
          <w:szCs w:val="20"/>
          <w:lang w:val="en-US"/>
        </w:rPr>
        <w:t xml:space="preserve">motor threshold to ~1.4 × Mmax, with inter-stimulus intervals of 8–12 seconds. Key outcomes included the Hmax:Mmax ratio (mean </w:t>
      </w:r>
      <w:r w:rsidR="001C0268" w:rsidRPr="00F3645C">
        <w:rPr>
          <w:rFonts w:ascii="Times New Roman" w:hAnsi="Times New Roman" w:cs="Times New Roman"/>
          <w:sz w:val="20"/>
          <w:szCs w:val="20"/>
          <w:lang w:val="en-US"/>
        </w:rPr>
        <w:t xml:space="preserve">value </w:t>
      </w:r>
      <w:r w:rsidRPr="00F3645C">
        <w:rPr>
          <w:rFonts w:ascii="Times New Roman" w:hAnsi="Times New Roman" w:cs="Times New Roman"/>
          <w:sz w:val="20"/>
          <w:szCs w:val="20"/>
          <w:lang w:val="en-US"/>
        </w:rPr>
        <w:t>of the three largest H-reflex amplitudes divided by the maximal M-wave) and the M-wave amplitude corresponding to the maximal H-reflexes (mean of the three M-waves at peak H-reflex).</w:t>
      </w:r>
    </w:p>
    <w:p w14:paraId="440E7A6B" w14:textId="77777777" w:rsidR="00C426E4" w:rsidRPr="00F3645C" w:rsidRDefault="00C426E4" w:rsidP="00C426E4">
      <w:pPr>
        <w:spacing w:after="0" w:line="360" w:lineRule="auto"/>
        <w:jc w:val="both"/>
        <w:rPr>
          <w:rFonts w:ascii="Times New Roman" w:hAnsi="Times New Roman" w:cs="Times New Roman"/>
          <w:sz w:val="20"/>
          <w:szCs w:val="20"/>
          <w:lang w:val="en-US"/>
        </w:rPr>
      </w:pPr>
    </w:p>
    <w:p w14:paraId="7A7B25B9" w14:textId="77777777" w:rsidR="00C426E4" w:rsidRPr="00F3645C" w:rsidRDefault="00C426E4" w:rsidP="00C426E4">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 xml:space="preserve">Mechanical properties and central activation ratio (CAR) </w:t>
      </w:r>
    </w:p>
    <w:p w14:paraId="616315A7" w14:textId="3EFD406B" w:rsidR="00C426E4" w:rsidRPr="00F3645C" w:rsidRDefault="00A230B1" w:rsidP="00C426E4">
      <w:pPr>
        <w:spacing w:after="0" w:line="360" w:lineRule="auto"/>
        <w:ind w:firstLine="720"/>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The m</w:t>
      </w:r>
      <w:r w:rsidR="00C426E4" w:rsidRPr="00F3645C">
        <w:rPr>
          <w:rFonts w:ascii="Times New Roman" w:hAnsi="Times New Roman" w:cs="Times New Roman"/>
          <w:sz w:val="20"/>
          <w:szCs w:val="20"/>
          <w:lang w:val="en-US"/>
        </w:rPr>
        <w:t>echanical properties (torque and force-time integral) of the plantar flexors and the central activation ratio (CAR) were assessed using the twitch interpolation technique</w:t>
      </w:r>
      <w:r w:rsidR="00705FBB" w:rsidRPr="00F3645C">
        <w:rPr>
          <w:rFonts w:ascii="Times New Roman" w:hAnsi="Times New Roman" w:cs="Times New Roman"/>
          <w:sz w:val="20"/>
          <w:szCs w:val="20"/>
          <w:vertAlign w:val="superscript"/>
          <w:lang w:val="en-US"/>
        </w:rPr>
        <w:t>1</w:t>
      </w:r>
      <w:r w:rsidR="00C426E4" w:rsidRPr="00F3645C">
        <w:rPr>
          <w:rFonts w:ascii="Times New Roman" w:hAnsi="Times New Roman" w:cs="Times New Roman"/>
          <w:sz w:val="20"/>
          <w:szCs w:val="20"/>
          <w:lang w:val="en-US"/>
        </w:rPr>
        <w:t>. Stimulation electrodes were placed on the tibial nerve in the popliteal fossa (cathode, 8 mm self-adhesive) and below the patella (anode, 5 × 10 cm self-adhesive), positioned to elicit the strongest visible contraction of the triceps surae. For each subject, the best representative H-reflex, M-wave, and maximal stimulation curves were identified. Single-square-wave stimuli (1 ms duration, max 100 V) were delivered with increasing current until the evoked isometric contraction plateaued. Peak contractions (average of two) and corresponding maximal stimulation intensity were recorded. Paired stimuli (two 1 ms pulses separated by 10 ms) were applied at three time points: at rest, superimposed on the MVC, and during relaxation</w:t>
      </w:r>
      <w:r w:rsidR="00C426E4" w:rsidRPr="00F3645C">
        <w:rPr>
          <w:rFonts w:ascii="Times New Roman" w:hAnsi="Times New Roman" w:cs="Times New Roman"/>
          <w:sz w:val="20"/>
          <w:szCs w:val="20"/>
          <w:vertAlign w:val="superscript"/>
          <w:lang w:val="en-US"/>
        </w:rPr>
        <w:t>2</w:t>
      </w:r>
      <w:r w:rsidR="00C426E4" w:rsidRPr="00F3645C">
        <w:rPr>
          <w:rFonts w:ascii="Times New Roman" w:hAnsi="Times New Roman" w:cs="Times New Roman"/>
          <w:sz w:val="20"/>
          <w:szCs w:val="20"/>
          <w:lang w:val="en-US"/>
        </w:rPr>
        <w:t xml:space="preserve">. </w:t>
      </w:r>
      <w:r w:rsidRPr="00F3645C">
        <w:rPr>
          <w:rFonts w:ascii="Times New Roman" w:hAnsi="Times New Roman" w:cs="Times New Roman"/>
          <w:sz w:val="20"/>
          <w:szCs w:val="20"/>
          <w:lang w:val="en-US"/>
        </w:rPr>
        <w:t xml:space="preserve">The </w:t>
      </w:r>
      <w:r w:rsidR="00C426E4" w:rsidRPr="00F3645C">
        <w:rPr>
          <w:rFonts w:ascii="Times New Roman" w:hAnsi="Times New Roman" w:cs="Times New Roman"/>
          <w:sz w:val="20"/>
          <w:szCs w:val="20"/>
          <w:lang w:val="en-US"/>
        </w:rPr>
        <w:t>CAR was calculated as: CAR (%) = [maximum voluntary torque / (maximum voluntary torque + superimposed torque – maximum voluntary torque)] × 100</w:t>
      </w:r>
      <w:r w:rsidR="00C426E4" w:rsidRPr="00F3645C">
        <w:rPr>
          <w:rFonts w:ascii="Times New Roman" w:hAnsi="Times New Roman" w:cs="Times New Roman"/>
          <w:sz w:val="20"/>
          <w:szCs w:val="20"/>
          <w:vertAlign w:val="superscript"/>
          <w:lang w:val="en-US"/>
        </w:rPr>
        <w:t>3</w:t>
      </w:r>
      <w:r w:rsidR="00C426E4" w:rsidRPr="00F3645C">
        <w:rPr>
          <w:rFonts w:ascii="Times New Roman" w:hAnsi="Times New Roman" w:cs="Times New Roman"/>
          <w:sz w:val="20"/>
          <w:szCs w:val="20"/>
          <w:lang w:val="en-US"/>
        </w:rPr>
        <w:t>.</w:t>
      </w:r>
    </w:p>
    <w:p w14:paraId="314293CA" w14:textId="77777777" w:rsidR="00C426E4" w:rsidRPr="00F3645C" w:rsidRDefault="00C426E4" w:rsidP="00C426E4">
      <w:pPr>
        <w:spacing w:after="0" w:line="360" w:lineRule="auto"/>
        <w:jc w:val="both"/>
        <w:rPr>
          <w:rFonts w:ascii="Times New Roman" w:hAnsi="Times New Roman" w:cs="Times New Roman"/>
          <w:sz w:val="20"/>
          <w:szCs w:val="20"/>
          <w:lang w:val="en-US"/>
        </w:rPr>
      </w:pPr>
    </w:p>
    <w:p w14:paraId="622C8A57" w14:textId="77777777" w:rsidR="00C426E4" w:rsidRPr="00F3645C" w:rsidRDefault="00C426E4" w:rsidP="00C426E4">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 xml:space="preserve">Electromyographic activity (EMG) </w:t>
      </w:r>
    </w:p>
    <w:p w14:paraId="61C42344" w14:textId="725C034D" w:rsidR="00C426E4" w:rsidRPr="00F3645C" w:rsidRDefault="00C426E4" w:rsidP="00C426E4">
      <w:pPr>
        <w:spacing w:after="0" w:line="360" w:lineRule="auto"/>
        <w:ind w:firstLine="720"/>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 xml:space="preserve">H-reflex and M-wave electromyographic (EMG) activity were recorded using a portable surface EMG system (MP160, Biopac, Aero Camino, Goleta, CA, USA; Octopus AMT-8, Bortec Biomedical Ltd, Calgary, AB, Canada) with </w:t>
      </w:r>
      <w:r w:rsidR="00CE4719" w:rsidRPr="00F3645C">
        <w:rPr>
          <w:rFonts w:ascii="Times New Roman" w:hAnsi="Times New Roman" w:cs="Times New Roman"/>
          <w:sz w:val="20"/>
          <w:szCs w:val="20"/>
          <w:lang w:val="en-US"/>
        </w:rPr>
        <w:t xml:space="preserve">a </w:t>
      </w:r>
      <w:r w:rsidRPr="00F3645C">
        <w:rPr>
          <w:rFonts w:ascii="Times New Roman" w:hAnsi="Times New Roman" w:cs="Times New Roman"/>
          <w:sz w:val="20"/>
          <w:szCs w:val="20"/>
          <w:lang w:val="en-US"/>
        </w:rPr>
        <w:t>14-bit resolution, &lt;2 LSB noise, and 110 dB common-mode rejection. Electrodes were positioned according to SENIAM guidelines for the medial gastrocnemius (GM), lateral gastrocnemius (GL), and soleus (SL) muscles</w:t>
      </w:r>
      <w:r w:rsidRPr="00F3645C">
        <w:rPr>
          <w:rFonts w:ascii="Times New Roman" w:hAnsi="Times New Roman" w:cs="Times New Roman"/>
          <w:sz w:val="20"/>
          <w:szCs w:val="20"/>
          <w:vertAlign w:val="superscript"/>
          <w:lang w:val="en-US"/>
        </w:rPr>
        <w:t>4</w:t>
      </w:r>
      <w:r w:rsidRPr="00F3645C">
        <w:rPr>
          <w:rFonts w:ascii="Times New Roman" w:hAnsi="Times New Roman" w:cs="Times New Roman"/>
          <w:sz w:val="20"/>
          <w:szCs w:val="20"/>
          <w:lang w:val="en-US"/>
        </w:rPr>
        <w:t xml:space="preserve">. </w:t>
      </w:r>
      <w:r w:rsidR="00B9519A" w:rsidRPr="00F3645C">
        <w:rPr>
          <w:rFonts w:ascii="Times New Roman" w:hAnsi="Times New Roman" w:cs="Times New Roman"/>
          <w:sz w:val="20"/>
          <w:szCs w:val="20"/>
          <w:lang w:val="en-US"/>
        </w:rPr>
        <w:t>EMG signals were analyzed over a 500 ms window centered on the maximum torque (250 ms before and after the peak)</w:t>
      </w:r>
      <w:r w:rsidR="00A230B1" w:rsidRPr="00F3645C">
        <w:rPr>
          <w:rFonts w:ascii="Times New Roman" w:hAnsi="Times New Roman" w:cs="Times New Roman"/>
          <w:sz w:val="20"/>
          <w:szCs w:val="20"/>
          <w:lang w:val="en-US"/>
        </w:rPr>
        <w:t>,</w:t>
      </w:r>
      <w:r w:rsidR="00B9519A" w:rsidRPr="00F3645C">
        <w:rPr>
          <w:rFonts w:ascii="Times New Roman" w:hAnsi="Times New Roman" w:cs="Times New Roman"/>
          <w:sz w:val="20"/>
          <w:szCs w:val="20"/>
          <w:lang w:val="en-US"/>
        </w:rPr>
        <w:t xml:space="preserve"> by calculating the root mean square (RMS) (bandpass 10–500 Hz) and the median frequency (mFREQ) of the power spectrum (low-pass 50 Hz)</w:t>
      </w:r>
      <w:r w:rsidR="00A230B1" w:rsidRPr="00F3645C">
        <w:rPr>
          <w:rFonts w:ascii="Times New Roman" w:hAnsi="Times New Roman" w:cs="Times New Roman"/>
          <w:sz w:val="20"/>
          <w:szCs w:val="20"/>
          <w:lang w:val="en-US"/>
        </w:rPr>
        <w:t>,</w:t>
      </w:r>
      <w:r w:rsidR="00B9519A" w:rsidRPr="00F3645C">
        <w:rPr>
          <w:rFonts w:ascii="Times New Roman" w:hAnsi="Times New Roman" w:cs="Times New Roman"/>
          <w:sz w:val="20"/>
          <w:szCs w:val="20"/>
          <w:lang w:val="en-US"/>
        </w:rPr>
        <w:t xml:space="preserve"> obtained via Fast Fourier Transformation from each MVC.</w:t>
      </w:r>
    </w:p>
    <w:p w14:paraId="18D10C9D" w14:textId="77777777" w:rsidR="00B65E68" w:rsidRPr="00F3645C" w:rsidRDefault="00B65E68">
      <w:pPr>
        <w:rPr>
          <w:rFonts w:ascii="Times New Roman" w:hAnsi="Times New Roman" w:cs="Times New Roman"/>
          <w:sz w:val="20"/>
          <w:szCs w:val="20"/>
          <w:lang w:val="en-US"/>
        </w:rPr>
      </w:pPr>
    </w:p>
    <w:p w14:paraId="434AE77A" w14:textId="5C5B6C1E" w:rsidR="00C426E4" w:rsidRPr="00F3645C" w:rsidRDefault="00EA7B96">
      <w:pPr>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 xml:space="preserve">SUPLEMENTARY </w:t>
      </w:r>
      <w:r w:rsidR="00C426E4" w:rsidRPr="00F3645C">
        <w:rPr>
          <w:rFonts w:ascii="Times New Roman" w:hAnsi="Times New Roman" w:cs="Times New Roman"/>
          <w:b/>
          <w:bCs/>
          <w:sz w:val="20"/>
          <w:szCs w:val="20"/>
          <w:lang w:val="en-US"/>
        </w:rPr>
        <w:t>RESULTS</w:t>
      </w:r>
    </w:p>
    <w:p w14:paraId="05AB2FFC" w14:textId="77777777" w:rsidR="00C426E4" w:rsidRPr="00F3645C" w:rsidRDefault="00C426E4" w:rsidP="00C426E4">
      <w:pPr>
        <w:spacing w:after="0" w:line="360" w:lineRule="auto"/>
        <w:jc w:val="both"/>
        <w:rPr>
          <w:rFonts w:ascii="Times New Roman" w:hAnsi="Times New Roman" w:cs="Times New Roman"/>
          <w:b/>
          <w:sz w:val="20"/>
          <w:szCs w:val="20"/>
          <w:lang w:val="en-US"/>
        </w:rPr>
      </w:pPr>
      <w:r w:rsidRPr="00F3645C">
        <w:rPr>
          <w:rFonts w:ascii="Times New Roman" w:hAnsi="Times New Roman" w:cs="Times New Roman"/>
          <w:b/>
          <w:bCs/>
          <w:sz w:val="20"/>
          <w:szCs w:val="20"/>
          <w:lang w:val="en-US"/>
        </w:rPr>
        <w:t xml:space="preserve">Spinal </w:t>
      </w:r>
      <w:r w:rsidRPr="00F3645C">
        <w:rPr>
          <w:rFonts w:ascii="Times New Roman" w:hAnsi="Times New Roman" w:cs="Times New Roman"/>
          <w:b/>
          <w:sz w:val="20"/>
          <w:szCs w:val="20"/>
          <w:lang w:val="en-US"/>
        </w:rPr>
        <w:t>Excitability</w:t>
      </w:r>
      <w:r w:rsidRPr="00F3645C">
        <w:rPr>
          <w:rFonts w:ascii="Times New Roman" w:hAnsi="Times New Roman" w:cs="Times New Roman"/>
          <w:sz w:val="20"/>
          <w:szCs w:val="20"/>
          <w:lang w:val="en-US"/>
        </w:rPr>
        <w:t xml:space="preserve"> </w:t>
      </w:r>
    </w:p>
    <w:p w14:paraId="135C9963" w14:textId="205CC69E" w:rsidR="00C426E4" w:rsidRPr="00F3645C" w:rsidRDefault="00EA7B96" w:rsidP="00C426E4">
      <w:pPr>
        <w:spacing w:after="0" w:line="360" w:lineRule="auto"/>
        <w:ind w:firstLine="851"/>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In the soleus muscle, the M-wave showed no interaction between current and time (F = 0.215, P = 0.885) but a main effect of time (F = 4.007, P = 0.046); current type had no effect. The H-reflex and Hmax:</w:t>
      </w:r>
      <w:r w:rsidR="00F3645C" w:rsidRPr="00F3645C">
        <w:rPr>
          <w:rFonts w:ascii="Times New Roman" w:hAnsi="Times New Roman" w:cs="Times New Roman"/>
          <w:sz w:val="20"/>
          <w:szCs w:val="20"/>
          <w:lang w:val="en-US"/>
        </w:rPr>
        <w:t xml:space="preserve"> </w:t>
      </w:r>
      <w:r w:rsidRPr="00F3645C">
        <w:rPr>
          <w:rFonts w:ascii="Times New Roman" w:hAnsi="Times New Roman" w:cs="Times New Roman"/>
          <w:sz w:val="20"/>
          <w:szCs w:val="20"/>
          <w:lang w:val="en-US"/>
        </w:rPr>
        <w:t xml:space="preserve">Mmax ratio showed no interactions or main effects. In the lateral gastrocnemius, the M-wave </w:t>
      </w:r>
      <w:r w:rsidRPr="00F3645C">
        <w:rPr>
          <w:rFonts w:ascii="Times New Roman" w:hAnsi="Times New Roman" w:cs="Times New Roman"/>
          <w:sz w:val="20"/>
          <w:szCs w:val="20"/>
          <w:lang w:val="en-US"/>
        </w:rPr>
        <w:lastRenderedPageBreak/>
        <w:t>showed no interaction, but a time effect (F = 11.791, P &lt; 0.001); current type had no effect. The H-reflex showed no interaction, but a time effect (F = 7.763, P &lt; 0.001); current type had no effect. The Hmax:</w:t>
      </w:r>
      <w:r w:rsidR="00F3645C" w:rsidRPr="00F3645C">
        <w:rPr>
          <w:rFonts w:ascii="Times New Roman" w:hAnsi="Times New Roman" w:cs="Times New Roman"/>
          <w:sz w:val="20"/>
          <w:szCs w:val="20"/>
          <w:lang w:val="en-US"/>
        </w:rPr>
        <w:t xml:space="preserve"> </w:t>
      </w:r>
      <w:r w:rsidRPr="00F3645C">
        <w:rPr>
          <w:rFonts w:ascii="Times New Roman" w:hAnsi="Times New Roman" w:cs="Times New Roman"/>
          <w:sz w:val="20"/>
          <w:szCs w:val="20"/>
          <w:lang w:val="en-US"/>
        </w:rPr>
        <w:t>Mmax ratio showed no interactions or main effects (Supplementary Table S1 for further details).</w:t>
      </w:r>
      <w:r w:rsidR="00C426E4" w:rsidRPr="00F3645C">
        <w:rPr>
          <w:rFonts w:ascii="Times New Roman" w:hAnsi="Times New Roman" w:cs="Times New Roman"/>
          <w:sz w:val="20"/>
          <w:szCs w:val="20"/>
          <w:lang w:val="en-US"/>
        </w:rPr>
        <w:t>:Mmax ratio showed no interactions or main effects (Table 2 for further details).</w:t>
      </w:r>
    </w:p>
    <w:p w14:paraId="36960777" w14:textId="77777777" w:rsidR="00C426E4" w:rsidRPr="00F3645C" w:rsidRDefault="00C426E4">
      <w:pPr>
        <w:rPr>
          <w:rFonts w:ascii="Times New Roman" w:hAnsi="Times New Roman" w:cs="Times New Roman"/>
          <w:sz w:val="20"/>
          <w:szCs w:val="20"/>
          <w:lang w:val="en-US"/>
        </w:rPr>
      </w:pPr>
    </w:p>
    <w:p w14:paraId="13EFF4D0" w14:textId="77777777" w:rsidR="00C426E4" w:rsidRPr="00F3645C" w:rsidRDefault="00C426E4" w:rsidP="00C426E4">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Mechanical properties and central activation ratio (CAR)</w:t>
      </w:r>
    </w:p>
    <w:p w14:paraId="0F5BB862" w14:textId="492C7EAE" w:rsidR="00C426E4" w:rsidRPr="00F3645C" w:rsidRDefault="00EA7B96">
      <w:pPr>
        <w:rPr>
          <w:rFonts w:ascii="Times New Roman" w:hAnsi="Times New Roman" w:cs="Times New Roman"/>
          <w:sz w:val="20"/>
          <w:szCs w:val="20"/>
          <w:lang w:val="en-US"/>
        </w:rPr>
      </w:pPr>
      <w:r w:rsidRPr="00F3645C">
        <w:rPr>
          <w:rFonts w:ascii="Times New Roman" w:hAnsi="Times New Roman" w:cs="Times New Roman"/>
          <w:sz w:val="20"/>
          <w:szCs w:val="20"/>
          <w:lang w:val="en-US"/>
        </w:rPr>
        <w:t>No interaction between current and time was found for CAR (F = 1.240, P = 0.296, ηp² = 0.021), nor were there main effects for time (F = 0.260, P = 0.609) or current (F = 1.530, P = 0.209; Supplementary Table S1).</w:t>
      </w:r>
    </w:p>
    <w:p w14:paraId="7FB8F5D1" w14:textId="06FD087C" w:rsidR="00C426E4" w:rsidRPr="00F3645C" w:rsidRDefault="00C426E4" w:rsidP="00C426E4">
      <w:pPr>
        <w:spacing w:after="0" w:line="360" w:lineRule="auto"/>
        <w:jc w:val="both"/>
        <w:rPr>
          <w:rFonts w:ascii="Times New Roman" w:hAnsi="Times New Roman" w:cs="Times New Roman"/>
          <w:sz w:val="20"/>
          <w:szCs w:val="20"/>
          <w:lang w:val="en-US"/>
        </w:rPr>
      </w:pPr>
      <w:r w:rsidRPr="00F3645C">
        <w:rPr>
          <w:rFonts w:ascii="Times New Roman" w:hAnsi="Times New Roman" w:cs="Times New Roman"/>
          <w:b/>
          <w:sz w:val="20"/>
          <w:szCs w:val="20"/>
          <w:lang w:val="en-US"/>
        </w:rPr>
        <w:t>Root mean square (RMS) and Median frequency (M</w:t>
      </w:r>
      <w:r w:rsidR="004B25FA" w:rsidRPr="00F3645C">
        <w:rPr>
          <w:rFonts w:ascii="Times New Roman" w:hAnsi="Times New Roman" w:cs="Times New Roman"/>
          <w:b/>
          <w:sz w:val="20"/>
          <w:szCs w:val="20"/>
          <w:lang w:val="en-US"/>
        </w:rPr>
        <w:t>D</w:t>
      </w:r>
      <w:r w:rsidRPr="00F3645C">
        <w:rPr>
          <w:rFonts w:ascii="Times New Roman" w:hAnsi="Times New Roman" w:cs="Times New Roman"/>
          <w:b/>
          <w:sz w:val="20"/>
          <w:szCs w:val="20"/>
          <w:lang w:val="en-US"/>
        </w:rPr>
        <w:t>F)</w:t>
      </w:r>
    </w:p>
    <w:p w14:paraId="75BB5C7E" w14:textId="28407AC8" w:rsidR="00C426E4" w:rsidRPr="00F3645C" w:rsidRDefault="00C426E4" w:rsidP="00C426E4">
      <w:pPr>
        <w:spacing w:after="0" w:line="360" w:lineRule="auto"/>
        <w:ind w:firstLine="851"/>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For RMS, no interaction between current and time was found for the soleus (F = 2.302, p=0.078, ηp² = 0.038), but a</w:t>
      </w:r>
      <w:r w:rsidR="004B25FA" w:rsidRPr="00F3645C">
        <w:rPr>
          <w:rFonts w:ascii="Times New Roman" w:hAnsi="Times New Roman" w:cs="Times New Roman"/>
          <w:sz w:val="20"/>
          <w:szCs w:val="20"/>
          <w:lang w:val="en-US"/>
        </w:rPr>
        <w:t>n</w:t>
      </w:r>
      <w:r w:rsidRPr="00F3645C">
        <w:rPr>
          <w:rFonts w:ascii="Times New Roman" w:hAnsi="Times New Roman" w:cs="Times New Roman"/>
          <w:sz w:val="20"/>
          <w:szCs w:val="20"/>
          <w:lang w:val="en-US"/>
        </w:rPr>
        <w:t xml:space="preserve"> interaction was observed for the lateral gastrocnemius (F = 8.880, p&lt;0.001, ηp² = 0.134). A main effect of time was found for both the soleus (F = 43.791, p&lt;0.001, ηp² = 0.202) and lateral gastrocnemius (F = 12.648, p&lt;0.001, ηp² = 0.068), indicating a post-fatigue reduction in RMS (p&lt;0.001 for both; Figure</w:t>
      </w:r>
      <w:r w:rsidR="004B25FA" w:rsidRPr="00F3645C">
        <w:rPr>
          <w:rFonts w:ascii="Times New Roman" w:hAnsi="Times New Roman" w:cs="Times New Roman"/>
          <w:sz w:val="20"/>
          <w:szCs w:val="20"/>
          <w:lang w:val="en-US"/>
        </w:rPr>
        <w:t>s</w:t>
      </w:r>
      <w:r w:rsidRPr="00F3645C">
        <w:rPr>
          <w:rFonts w:ascii="Times New Roman" w:hAnsi="Times New Roman" w:cs="Times New Roman"/>
          <w:sz w:val="20"/>
          <w:szCs w:val="20"/>
          <w:lang w:val="en-US"/>
        </w:rPr>
        <w:t xml:space="preserve"> 3A and 3B). A main effect of current </w:t>
      </w:r>
      <w:r w:rsidR="004B25FA" w:rsidRPr="00F3645C">
        <w:rPr>
          <w:rFonts w:ascii="Times New Roman" w:hAnsi="Times New Roman" w:cs="Times New Roman"/>
          <w:sz w:val="20"/>
          <w:szCs w:val="20"/>
          <w:lang w:val="en-US"/>
        </w:rPr>
        <w:t xml:space="preserve">type </w:t>
      </w:r>
      <w:r w:rsidRPr="00F3645C">
        <w:rPr>
          <w:rFonts w:ascii="Times New Roman" w:hAnsi="Times New Roman" w:cs="Times New Roman"/>
          <w:sz w:val="20"/>
          <w:szCs w:val="20"/>
          <w:lang w:val="en-US"/>
        </w:rPr>
        <w:t>was observed for the soleus (F = 2.797, p=0.041, ηp² = 0.046), but not for the lateral gastrocnemius (F = 0.709, p=0.549, ηp² = 0.012). For M</w:t>
      </w:r>
      <w:r w:rsidR="004B25FA" w:rsidRPr="00F3645C">
        <w:rPr>
          <w:rFonts w:ascii="Times New Roman" w:hAnsi="Times New Roman" w:cs="Times New Roman"/>
          <w:sz w:val="20"/>
          <w:szCs w:val="20"/>
          <w:lang w:val="en-US"/>
        </w:rPr>
        <w:t>D</w:t>
      </w:r>
      <w:r w:rsidRPr="00F3645C">
        <w:rPr>
          <w:rFonts w:ascii="Times New Roman" w:hAnsi="Times New Roman" w:cs="Times New Roman"/>
          <w:sz w:val="20"/>
          <w:szCs w:val="20"/>
          <w:lang w:val="en-US"/>
        </w:rPr>
        <w:t>F, the soleus showed a</w:t>
      </w:r>
      <w:r w:rsidR="004B25FA" w:rsidRPr="00F3645C">
        <w:rPr>
          <w:rFonts w:ascii="Times New Roman" w:hAnsi="Times New Roman" w:cs="Times New Roman"/>
          <w:sz w:val="20"/>
          <w:szCs w:val="20"/>
          <w:lang w:val="en-US"/>
        </w:rPr>
        <w:t>n</w:t>
      </w:r>
      <w:r w:rsidRPr="00F3645C">
        <w:rPr>
          <w:rFonts w:ascii="Times New Roman" w:hAnsi="Times New Roman" w:cs="Times New Roman"/>
          <w:sz w:val="20"/>
          <w:szCs w:val="20"/>
          <w:lang w:val="en-US"/>
        </w:rPr>
        <w:t xml:space="preserve"> interaction between current and time (F = 3.327, p=0.020, ηp² = 0.054), </w:t>
      </w:r>
      <w:r w:rsidR="00E54D0B" w:rsidRPr="00F3645C">
        <w:rPr>
          <w:rFonts w:ascii="Times New Roman" w:hAnsi="Times New Roman" w:cs="Times New Roman"/>
          <w:sz w:val="20"/>
          <w:szCs w:val="20"/>
          <w:lang w:val="en-US"/>
        </w:rPr>
        <w:t>al</w:t>
      </w:r>
      <w:r w:rsidRPr="00F3645C">
        <w:rPr>
          <w:rFonts w:ascii="Times New Roman" w:hAnsi="Times New Roman" w:cs="Times New Roman"/>
          <w:sz w:val="20"/>
          <w:szCs w:val="20"/>
          <w:lang w:val="en-US"/>
        </w:rPr>
        <w:t xml:space="preserve">though </w:t>
      </w:r>
      <w:r w:rsidR="000B02E6" w:rsidRPr="00F3645C">
        <w:rPr>
          <w:rFonts w:ascii="Times New Roman" w:hAnsi="Times New Roman" w:cs="Times New Roman"/>
          <w:sz w:val="20"/>
          <w:szCs w:val="20"/>
          <w:lang w:val="en-US"/>
        </w:rPr>
        <w:t xml:space="preserve">the </w:t>
      </w:r>
      <w:r w:rsidRPr="00F3645C">
        <w:rPr>
          <w:rFonts w:ascii="Times New Roman" w:hAnsi="Times New Roman" w:cs="Times New Roman"/>
          <w:sz w:val="20"/>
          <w:szCs w:val="20"/>
          <w:lang w:val="en-US"/>
        </w:rPr>
        <w:t xml:space="preserve">post-hoc analysis revealed no differences (p&gt;0.05). No interaction was found for the lateral gastrocnemius (F = 1.330, p=0.266, ηp² = 0.022; Table 2). No main effect of time was found for either the soleus (F = 3.377, p=0.067, ηp² = 0.019) or lateral gastrocnemius (F = 0.757, p=0.385, ηp² = 0.022). Similarly, no main effect of current </w:t>
      </w:r>
      <w:r w:rsidR="004B25FA" w:rsidRPr="00F3645C">
        <w:rPr>
          <w:rFonts w:ascii="Times New Roman" w:hAnsi="Times New Roman" w:cs="Times New Roman"/>
          <w:sz w:val="20"/>
          <w:szCs w:val="20"/>
          <w:lang w:val="en-US"/>
        </w:rPr>
        <w:t xml:space="preserve">type </w:t>
      </w:r>
      <w:r w:rsidRPr="00F3645C">
        <w:rPr>
          <w:rFonts w:ascii="Times New Roman" w:hAnsi="Times New Roman" w:cs="Times New Roman"/>
          <w:sz w:val="20"/>
          <w:szCs w:val="20"/>
          <w:lang w:val="en-US"/>
        </w:rPr>
        <w:t>was observed for either muscle (soleus: F = 0.436, p=0.727, ηp² = 0.007; lateral gastrocnemius: F = 0.597, p=0.617, ηp² = 0.010).</w:t>
      </w:r>
    </w:p>
    <w:p w14:paraId="1FC978C6" w14:textId="77777777" w:rsidR="00C426E4" w:rsidRPr="00F3645C" w:rsidRDefault="00C426E4" w:rsidP="00C426E4">
      <w:pPr>
        <w:spacing w:after="0" w:line="360" w:lineRule="auto"/>
        <w:jc w:val="both"/>
        <w:rPr>
          <w:rFonts w:ascii="Times New Roman" w:hAnsi="Times New Roman" w:cs="Times New Roman"/>
          <w:sz w:val="20"/>
          <w:szCs w:val="20"/>
          <w:lang w:val="en-US"/>
        </w:rPr>
      </w:pPr>
    </w:p>
    <w:p w14:paraId="02D46F3E" w14:textId="1AD63952" w:rsidR="00C426E4" w:rsidRPr="00F3645C" w:rsidRDefault="00C426E4" w:rsidP="00C426E4">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DISCUSSION</w:t>
      </w:r>
    </w:p>
    <w:p w14:paraId="4AA167F1" w14:textId="1B82CA14" w:rsidR="00A66CC7" w:rsidRPr="00F3645C" w:rsidRDefault="00A66CC7" w:rsidP="00471DE4">
      <w:pPr>
        <w:spacing w:after="0" w:line="360" w:lineRule="auto"/>
        <w:ind w:firstLine="720"/>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Our analysis of M-wave and H-reflex responses revealed time effects but no interactions between current type and time, suggesting that fatigue-induced changes in spinal excitability were similar across all NMES protocols</w:t>
      </w:r>
      <w:r w:rsidR="00C04EC0" w:rsidRPr="00F3645C">
        <w:rPr>
          <w:rFonts w:ascii="Times New Roman" w:hAnsi="Times New Roman" w:cs="Times New Roman"/>
          <w:sz w:val="20"/>
          <w:szCs w:val="20"/>
          <w:vertAlign w:val="superscript"/>
          <w:lang w:val="en-US"/>
        </w:rPr>
        <w:t>5</w:t>
      </w:r>
      <w:r w:rsidRPr="00F3645C">
        <w:rPr>
          <w:rFonts w:ascii="Times New Roman" w:hAnsi="Times New Roman" w:cs="Times New Roman"/>
          <w:sz w:val="20"/>
          <w:szCs w:val="20"/>
          <w:lang w:val="en-US"/>
        </w:rPr>
        <w:t xml:space="preserve">. </w:t>
      </w:r>
      <w:r w:rsidR="00B64223" w:rsidRPr="00F3645C">
        <w:rPr>
          <w:rFonts w:ascii="Times New Roman" w:hAnsi="Times New Roman" w:cs="Times New Roman"/>
          <w:sz w:val="20"/>
          <w:szCs w:val="20"/>
          <w:lang w:val="en-US"/>
        </w:rPr>
        <w:t>The observed time effect on M-wave amplitude in both the soleus and lateral gastrocnemius muscles indicates a decrease in muscle fiber excitability following fatigue, consistent with previous research on NMES-induced peripheral fatigue mechanisms</w:t>
      </w:r>
      <w:r w:rsidR="00C04EC0" w:rsidRPr="00F3645C">
        <w:rPr>
          <w:rFonts w:ascii="Times New Roman" w:hAnsi="Times New Roman" w:cs="Times New Roman"/>
          <w:sz w:val="20"/>
          <w:szCs w:val="20"/>
          <w:vertAlign w:val="superscript"/>
          <w:lang w:val="en-US"/>
        </w:rPr>
        <w:t>5</w:t>
      </w:r>
      <w:r w:rsidRPr="00F3645C">
        <w:rPr>
          <w:rFonts w:ascii="Times New Roman" w:hAnsi="Times New Roman" w:cs="Times New Roman"/>
          <w:sz w:val="20"/>
          <w:szCs w:val="20"/>
          <w:vertAlign w:val="superscript"/>
          <w:lang w:val="en-US"/>
        </w:rPr>
        <w:t>,</w:t>
      </w:r>
      <w:r w:rsidR="00C04EC0" w:rsidRPr="00F3645C">
        <w:rPr>
          <w:rFonts w:ascii="Times New Roman" w:hAnsi="Times New Roman" w:cs="Times New Roman"/>
          <w:sz w:val="20"/>
          <w:szCs w:val="20"/>
          <w:vertAlign w:val="superscript"/>
          <w:lang w:val="en-US"/>
        </w:rPr>
        <w:t>6</w:t>
      </w:r>
      <w:r w:rsidRPr="00F3645C">
        <w:rPr>
          <w:rFonts w:ascii="Times New Roman" w:hAnsi="Times New Roman" w:cs="Times New Roman"/>
          <w:sz w:val="20"/>
          <w:szCs w:val="20"/>
          <w:lang w:val="en-US"/>
        </w:rPr>
        <w:t>. Moreover, the lack of changes in the Hmax/Mmax ratio indicates that spinal excitability was largely maintained across all protocols, contrasting with previous reports of reduced motoneuron excitability following NMES-induced fatigue</w:t>
      </w:r>
      <w:r w:rsidR="00C04EC0" w:rsidRPr="00F3645C">
        <w:rPr>
          <w:rFonts w:ascii="Times New Roman" w:hAnsi="Times New Roman" w:cs="Times New Roman"/>
          <w:sz w:val="20"/>
          <w:szCs w:val="20"/>
          <w:vertAlign w:val="superscript"/>
          <w:lang w:val="en-US"/>
        </w:rPr>
        <w:t>7</w:t>
      </w:r>
      <w:r w:rsidRPr="00F3645C">
        <w:rPr>
          <w:rFonts w:ascii="Times New Roman" w:hAnsi="Times New Roman" w:cs="Times New Roman"/>
          <w:sz w:val="20"/>
          <w:szCs w:val="20"/>
          <w:lang w:val="en-US"/>
        </w:rPr>
        <w:t xml:space="preserve">. </w:t>
      </w:r>
      <w:r w:rsidR="00471DE4" w:rsidRPr="00F3645C">
        <w:rPr>
          <w:rFonts w:ascii="Times New Roman" w:hAnsi="Times New Roman" w:cs="Times New Roman"/>
          <w:sz w:val="20"/>
          <w:szCs w:val="20"/>
          <w:lang w:val="en-US"/>
        </w:rPr>
        <w:t>Th</w:t>
      </w:r>
      <w:r w:rsidR="005218FB" w:rsidRPr="00F3645C">
        <w:rPr>
          <w:rFonts w:ascii="Times New Roman" w:hAnsi="Times New Roman" w:cs="Times New Roman"/>
          <w:sz w:val="20"/>
          <w:szCs w:val="20"/>
          <w:lang w:val="en-US"/>
        </w:rPr>
        <w:t>is</w:t>
      </w:r>
      <w:r w:rsidR="00471DE4" w:rsidRPr="00F3645C">
        <w:rPr>
          <w:rFonts w:ascii="Times New Roman" w:hAnsi="Times New Roman" w:cs="Times New Roman"/>
          <w:sz w:val="20"/>
          <w:szCs w:val="20"/>
          <w:lang w:val="en-US"/>
        </w:rPr>
        <w:t xml:space="preserve"> discrepancy from previous studies is likely attributable to the specific features of our protocol rather than motor unit recruitment patterns. Since NMES recruits motor units based on the proximity of motoneuron axons to the electrodes, the type and number of units activated cannot be determined. A more plausible explanation is that the number of evoked contractions at 20% MVC was insufficient to elicit central or neural fatigue but sufficient to induce peripheral fatigue</w:t>
      </w:r>
      <w:r w:rsidR="004D299A" w:rsidRPr="00F3645C">
        <w:rPr>
          <w:rFonts w:ascii="Times New Roman" w:hAnsi="Times New Roman" w:cs="Times New Roman"/>
          <w:sz w:val="20"/>
          <w:szCs w:val="20"/>
          <w:vertAlign w:val="superscript"/>
          <w:lang w:val="en-US"/>
        </w:rPr>
        <w:t>8</w:t>
      </w:r>
      <w:r w:rsidR="004D299A" w:rsidRPr="00F3645C">
        <w:rPr>
          <w:rFonts w:ascii="Times New Roman" w:hAnsi="Times New Roman" w:cs="Times New Roman"/>
          <w:sz w:val="20"/>
          <w:szCs w:val="20"/>
          <w:lang w:val="en-US"/>
        </w:rPr>
        <w:t>.</w:t>
      </w:r>
      <w:r w:rsidRPr="00F3645C">
        <w:rPr>
          <w:rFonts w:ascii="Times New Roman" w:hAnsi="Times New Roman" w:cs="Times New Roman"/>
          <w:sz w:val="20"/>
          <w:szCs w:val="20"/>
          <w:lang w:val="en-US"/>
        </w:rPr>
        <w:t xml:space="preserve"> Finally, the absence of significant changes in the CAR following our NMES protocols indicates that central fatigue mechanisms were not substantially involved in the observed performance decrements</w:t>
      </w:r>
      <w:r w:rsidR="004D299A" w:rsidRPr="00F3645C">
        <w:rPr>
          <w:rFonts w:ascii="Times New Roman" w:hAnsi="Times New Roman" w:cs="Times New Roman"/>
          <w:sz w:val="20"/>
          <w:szCs w:val="20"/>
          <w:vertAlign w:val="superscript"/>
          <w:lang w:val="en-US"/>
        </w:rPr>
        <w:t>9</w:t>
      </w:r>
      <w:r w:rsidRPr="00F3645C">
        <w:rPr>
          <w:rFonts w:ascii="Times New Roman" w:hAnsi="Times New Roman" w:cs="Times New Roman"/>
          <w:sz w:val="20"/>
          <w:szCs w:val="20"/>
          <w:lang w:val="en-US"/>
        </w:rPr>
        <w:t xml:space="preserve">. This finding contrasts with some previous studies that reported central contributions to NMES-induced fatigue, particularly at higher stimulation </w:t>
      </w:r>
      <w:r w:rsidRPr="00F3645C">
        <w:rPr>
          <w:rFonts w:ascii="Times New Roman" w:hAnsi="Times New Roman" w:cs="Times New Roman"/>
          <w:sz w:val="20"/>
          <w:szCs w:val="20"/>
          <w:lang w:val="en-US"/>
        </w:rPr>
        <w:lastRenderedPageBreak/>
        <w:t>intensities</w:t>
      </w:r>
      <w:r w:rsidR="004D299A" w:rsidRPr="00F3645C">
        <w:rPr>
          <w:rFonts w:ascii="Times New Roman" w:hAnsi="Times New Roman" w:cs="Times New Roman"/>
          <w:sz w:val="20"/>
          <w:szCs w:val="20"/>
          <w:vertAlign w:val="superscript"/>
          <w:lang w:val="en-US"/>
        </w:rPr>
        <w:t>10</w:t>
      </w:r>
      <w:r w:rsidRPr="00F3645C">
        <w:rPr>
          <w:rFonts w:ascii="Times New Roman" w:hAnsi="Times New Roman" w:cs="Times New Roman"/>
          <w:sz w:val="20"/>
          <w:szCs w:val="20"/>
          <w:lang w:val="en-US"/>
        </w:rPr>
        <w:t>. Th</w:t>
      </w:r>
      <w:r w:rsidR="005218FB" w:rsidRPr="00F3645C">
        <w:rPr>
          <w:rFonts w:ascii="Times New Roman" w:hAnsi="Times New Roman" w:cs="Times New Roman"/>
          <w:sz w:val="20"/>
          <w:szCs w:val="20"/>
          <w:lang w:val="en-US"/>
        </w:rPr>
        <w:t>is</w:t>
      </w:r>
      <w:r w:rsidRPr="00F3645C">
        <w:rPr>
          <w:rFonts w:ascii="Times New Roman" w:hAnsi="Times New Roman" w:cs="Times New Roman"/>
          <w:sz w:val="20"/>
          <w:szCs w:val="20"/>
          <w:lang w:val="en-US"/>
        </w:rPr>
        <w:t xml:space="preserve"> discrepancy may be explained by our use of submaximal stimulation intensities and longer rest periods, which may have minimized central fatigue development</w:t>
      </w:r>
      <w:r w:rsidR="00C04EC0" w:rsidRPr="00F3645C">
        <w:rPr>
          <w:rFonts w:ascii="Times New Roman" w:hAnsi="Times New Roman" w:cs="Times New Roman"/>
          <w:sz w:val="20"/>
          <w:szCs w:val="20"/>
          <w:vertAlign w:val="superscript"/>
          <w:lang w:val="en-US"/>
        </w:rPr>
        <w:t>1</w:t>
      </w:r>
      <w:r w:rsidR="004D299A" w:rsidRPr="00F3645C">
        <w:rPr>
          <w:rFonts w:ascii="Times New Roman" w:hAnsi="Times New Roman" w:cs="Times New Roman"/>
          <w:sz w:val="20"/>
          <w:szCs w:val="20"/>
          <w:vertAlign w:val="superscript"/>
          <w:lang w:val="en-US"/>
        </w:rPr>
        <w:t>1</w:t>
      </w:r>
      <w:r w:rsidRPr="00F3645C">
        <w:rPr>
          <w:rFonts w:ascii="Times New Roman" w:hAnsi="Times New Roman" w:cs="Times New Roman"/>
          <w:sz w:val="20"/>
          <w:szCs w:val="20"/>
          <w:lang w:val="en-US"/>
        </w:rPr>
        <w:t>.</w:t>
      </w:r>
    </w:p>
    <w:p w14:paraId="58875630" w14:textId="4B04BF43" w:rsidR="003125B0" w:rsidRPr="00F3645C" w:rsidRDefault="00EA7B96" w:rsidP="003125B0">
      <w:pPr>
        <w:spacing w:after="0" w:line="360" w:lineRule="auto"/>
        <w:ind w:firstLine="720"/>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A</w:t>
      </w:r>
      <w:r w:rsidR="003125B0" w:rsidRPr="00F3645C">
        <w:rPr>
          <w:rFonts w:ascii="Times New Roman" w:hAnsi="Times New Roman" w:cs="Times New Roman"/>
          <w:sz w:val="20"/>
          <w:szCs w:val="20"/>
          <w:lang w:val="en-US"/>
        </w:rPr>
        <w:t xml:space="preserve">although no interaction </w:t>
      </w:r>
      <w:r w:rsidR="005218FB" w:rsidRPr="00F3645C">
        <w:rPr>
          <w:rFonts w:ascii="Times New Roman" w:hAnsi="Times New Roman" w:cs="Times New Roman"/>
          <w:sz w:val="20"/>
          <w:szCs w:val="20"/>
          <w:lang w:val="en-US"/>
        </w:rPr>
        <w:t xml:space="preserve">was observed </w:t>
      </w:r>
      <w:r w:rsidR="003125B0" w:rsidRPr="00F3645C">
        <w:rPr>
          <w:rFonts w:ascii="Times New Roman" w:hAnsi="Times New Roman" w:cs="Times New Roman"/>
          <w:sz w:val="20"/>
          <w:szCs w:val="20"/>
          <w:lang w:val="en-US"/>
        </w:rPr>
        <w:t xml:space="preserve">between current type and time for MVC, RMS, or spinal excitability, the consistent superiority of 500 µs over 200 µs pulse durations suggests that longer pulses deliver </w:t>
      </w:r>
      <w:r w:rsidR="0057316C" w:rsidRPr="00F3645C">
        <w:rPr>
          <w:rFonts w:ascii="Times New Roman" w:hAnsi="Times New Roman" w:cs="Times New Roman"/>
          <w:sz w:val="20"/>
          <w:szCs w:val="20"/>
          <w:lang w:val="en-US"/>
        </w:rPr>
        <w:t xml:space="preserve">a </w:t>
      </w:r>
      <w:r w:rsidR="003125B0" w:rsidRPr="00F3645C">
        <w:rPr>
          <w:rFonts w:ascii="Times New Roman" w:hAnsi="Times New Roman" w:cs="Times New Roman"/>
          <w:sz w:val="20"/>
          <w:szCs w:val="20"/>
          <w:lang w:val="en-US"/>
        </w:rPr>
        <w:t xml:space="preserve">greater NMES charge, enhancing motor unit recruitment and delaying fatigue. This was evidenced by the higher number of contractions until a 50% drop </w:t>
      </w:r>
      <w:r w:rsidR="00D9311B" w:rsidRPr="00F3645C">
        <w:rPr>
          <w:rFonts w:ascii="Times New Roman" w:hAnsi="Times New Roman" w:cs="Times New Roman"/>
          <w:sz w:val="20"/>
          <w:szCs w:val="20"/>
          <w:lang w:val="en-US"/>
        </w:rPr>
        <w:t xml:space="preserve">in torque </w:t>
      </w:r>
      <w:r w:rsidR="003125B0" w:rsidRPr="00F3645C">
        <w:rPr>
          <w:rFonts w:ascii="Times New Roman" w:hAnsi="Times New Roman" w:cs="Times New Roman"/>
          <w:sz w:val="20"/>
          <w:szCs w:val="20"/>
          <w:lang w:val="en-US"/>
        </w:rPr>
        <w:t xml:space="preserve">and a reduced decline in TTI. These findings are consistent with </w:t>
      </w:r>
      <w:r w:rsidR="000B77D1" w:rsidRPr="00F3645C">
        <w:rPr>
          <w:rFonts w:ascii="Times New Roman" w:hAnsi="Times New Roman" w:cs="Times New Roman"/>
          <w:sz w:val="20"/>
          <w:szCs w:val="20"/>
          <w:lang w:val="en-US"/>
        </w:rPr>
        <w:t xml:space="preserve">the </w:t>
      </w:r>
      <w:r w:rsidR="003125B0" w:rsidRPr="00F3645C">
        <w:rPr>
          <w:rFonts w:ascii="Times New Roman" w:hAnsi="Times New Roman" w:cs="Times New Roman"/>
          <w:sz w:val="20"/>
          <w:szCs w:val="20"/>
          <w:lang w:val="en-US"/>
        </w:rPr>
        <w:t>previous literature</w:t>
      </w:r>
      <w:r w:rsidR="00DA5748" w:rsidRPr="00F3645C">
        <w:rPr>
          <w:rFonts w:ascii="Times New Roman" w:hAnsi="Times New Roman" w:cs="Times New Roman"/>
          <w:sz w:val="20"/>
          <w:szCs w:val="20"/>
          <w:vertAlign w:val="superscript"/>
          <w:lang w:val="en-US"/>
        </w:rPr>
        <w:t>1</w:t>
      </w:r>
      <w:r w:rsidR="004D299A" w:rsidRPr="00F3645C">
        <w:rPr>
          <w:rFonts w:ascii="Times New Roman" w:hAnsi="Times New Roman" w:cs="Times New Roman"/>
          <w:sz w:val="20"/>
          <w:szCs w:val="20"/>
          <w:vertAlign w:val="superscript"/>
          <w:lang w:val="en-US"/>
        </w:rPr>
        <w:t>2</w:t>
      </w:r>
      <w:r w:rsidR="003125B0" w:rsidRPr="00F3645C">
        <w:rPr>
          <w:rFonts w:ascii="Times New Roman" w:hAnsi="Times New Roman" w:cs="Times New Roman"/>
          <w:sz w:val="20"/>
          <w:szCs w:val="20"/>
          <w:vertAlign w:val="superscript"/>
          <w:lang w:val="en-US"/>
        </w:rPr>
        <w:t>,</w:t>
      </w:r>
      <w:r w:rsidR="00DA5748" w:rsidRPr="00F3645C">
        <w:rPr>
          <w:rFonts w:ascii="Times New Roman" w:hAnsi="Times New Roman" w:cs="Times New Roman"/>
          <w:sz w:val="20"/>
          <w:szCs w:val="20"/>
          <w:vertAlign w:val="superscript"/>
          <w:lang w:val="en-US"/>
        </w:rPr>
        <w:t>1</w:t>
      </w:r>
      <w:r w:rsidR="004D299A" w:rsidRPr="00F3645C">
        <w:rPr>
          <w:rFonts w:ascii="Times New Roman" w:hAnsi="Times New Roman" w:cs="Times New Roman"/>
          <w:sz w:val="20"/>
          <w:szCs w:val="20"/>
          <w:vertAlign w:val="superscript"/>
          <w:lang w:val="en-US"/>
        </w:rPr>
        <w:t>3</w:t>
      </w:r>
      <w:r w:rsidR="003125B0" w:rsidRPr="00F3645C">
        <w:rPr>
          <w:rFonts w:ascii="Times New Roman" w:hAnsi="Times New Roman" w:cs="Times New Roman"/>
          <w:sz w:val="20"/>
          <w:szCs w:val="20"/>
          <w:lang w:val="en-US"/>
        </w:rPr>
        <w:t>, which demonstrate</w:t>
      </w:r>
      <w:r w:rsidR="0057316C" w:rsidRPr="00F3645C">
        <w:rPr>
          <w:rFonts w:ascii="Times New Roman" w:hAnsi="Times New Roman" w:cs="Times New Roman"/>
          <w:sz w:val="20"/>
          <w:szCs w:val="20"/>
          <w:lang w:val="en-US"/>
        </w:rPr>
        <w:t>s</w:t>
      </w:r>
      <w:r w:rsidR="003125B0" w:rsidRPr="00F3645C">
        <w:rPr>
          <w:rFonts w:ascii="Times New Roman" w:hAnsi="Times New Roman" w:cs="Times New Roman"/>
          <w:sz w:val="20"/>
          <w:szCs w:val="20"/>
          <w:lang w:val="en-US"/>
        </w:rPr>
        <w:t xml:space="preserve"> that increased phase duration augments force output and may facilitate the recruitment of deeper motor units</w:t>
      </w:r>
      <w:r w:rsidR="0057316C" w:rsidRPr="00F3645C">
        <w:rPr>
          <w:rFonts w:ascii="Times New Roman" w:hAnsi="Times New Roman" w:cs="Times New Roman"/>
          <w:sz w:val="20"/>
          <w:szCs w:val="20"/>
          <w:lang w:val="en-US"/>
        </w:rPr>
        <w:t>,</w:t>
      </w:r>
      <w:r w:rsidR="003125B0" w:rsidRPr="00F3645C">
        <w:rPr>
          <w:rFonts w:ascii="Times New Roman" w:hAnsi="Times New Roman" w:cs="Times New Roman"/>
          <w:sz w:val="20"/>
          <w:szCs w:val="20"/>
          <w:lang w:val="en-US"/>
        </w:rPr>
        <w:t xml:space="preserve"> due to improved current penetration. While waveform differences are frequently emphasized in the literature</w:t>
      </w:r>
      <w:r w:rsidR="003125B0" w:rsidRPr="00F3645C">
        <w:rPr>
          <w:rFonts w:ascii="Times New Roman" w:hAnsi="Times New Roman" w:cs="Times New Roman"/>
          <w:sz w:val="20"/>
          <w:szCs w:val="20"/>
          <w:vertAlign w:val="superscript"/>
          <w:lang w:val="en-US"/>
        </w:rPr>
        <w:t>1,</w:t>
      </w:r>
      <w:r w:rsidR="00DA5748" w:rsidRPr="00F3645C">
        <w:rPr>
          <w:rFonts w:ascii="Times New Roman" w:hAnsi="Times New Roman" w:cs="Times New Roman"/>
          <w:sz w:val="20"/>
          <w:szCs w:val="20"/>
          <w:vertAlign w:val="superscript"/>
          <w:lang w:val="en-US"/>
        </w:rPr>
        <w:t>9</w:t>
      </w:r>
      <w:r w:rsidR="003125B0" w:rsidRPr="00F3645C">
        <w:rPr>
          <w:rFonts w:ascii="Times New Roman" w:hAnsi="Times New Roman" w:cs="Times New Roman"/>
          <w:sz w:val="20"/>
          <w:szCs w:val="20"/>
          <w:lang w:val="en-US"/>
        </w:rPr>
        <w:t>, our findings suggest that phase duration is a primary determinant of NMES-induced fatigue and efficiency when stimulation frequency and amplitude are matched and tolerable. This is further supported by the absence of differences in discomfort scores, indicating that longer pulse duration</w:t>
      </w:r>
      <w:r w:rsidR="000B77D1" w:rsidRPr="00F3645C">
        <w:rPr>
          <w:rFonts w:ascii="Times New Roman" w:hAnsi="Times New Roman" w:cs="Times New Roman"/>
          <w:sz w:val="20"/>
          <w:szCs w:val="20"/>
          <w:lang w:val="en-US"/>
        </w:rPr>
        <w:t>s</w:t>
      </w:r>
      <w:r w:rsidR="003125B0" w:rsidRPr="00F3645C">
        <w:rPr>
          <w:rFonts w:ascii="Times New Roman" w:hAnsi="Times New Roman" w:cs="Times New Roman"/>
          <w:sz w:val="20"/>
          <w:szCs w:val="20"/>
          <w:lang w:val="en-US"/>
        </w:rPr>
        <w:t xml:space="preserve"> can be used without compromising participant tolerance.</w:t>
      </w:r>
    </w:p>
    <w:p w14:paraId="5D459B26" w14:textId="77777777" w:rsidR="003125B0" w:rsidRPr="00F3645C" w:rsidRDefault="003125B0" w:rsidP="00A66CC7">
      <w:pPr>
        <w:spacing w:after="0" w:line="360" w:lineRule="auto"/>
        <w:ind w:firstLine="720"/>
        <w:jc w:val="both"/>
        <w:rPr>
          <w:rFonts w:ascii="Times New Roman" w:hAnsi="Times New Roman" w:cs="Times New Roman"/>
          <w:sz w:val="20"/>
          <w:szCs w:val="20"/>
          <w:lang w:val="en-US"/>
        </w:rPr>
      </w:pPr>
    </w:p>
    <w:p w14:paraId="6E5BFA32" w14:textId="77777777" w:rsidR="00C426E4" w:rsidRPr="00F3645C" w:rsidRDefault="00C426E4" w:rsidP="00C426E4">
      <w:pPr>
        <w:spacing w:after="0" w:line="360" w:lineRule="auto"/>
        <w:jc w:val="both"/>
        <w:rPr>
          <w:rFonts w:ascii="Times New Roman" w:hAnsi="Times New Roman" w:cs="Times New Roman"/>
          <w:sz w:val="20"/>
          <w:szCs w:val="20"/>
          <w:lang w:val="en-US"/>
        </w:rPr>
      </w:pPr>
    </w:p>
    <w:p w14:paraId="0C1065AE" w14:textId="1EFB5E4C" w:rsidR="00C426E4" w:rsidRPr="00F3645C" w:rsidRDefault="00C426E4" w:rsidP="00A62A6A">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t>REFERENCES</w:t>
      </w:r>
    </w:p>
    <w:p w14:paraId="62F3D870"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rPr>
        <w:t xml:space="preserve">Modesto KAG, Raposo PKS, da Silva Almeida I, Vaz MA, Durigan JLQ. </w:t>
      </w:r>
      <w:r w:rsidRPr="00F3645C">
        <w:rPr>
          <w:rFonts w:ascii="Times New Roman" w:hAnsi="Times New Roman" w:cs="Times New Roman"/>
          <w:sz w:val="20"/>
          <w:szCs w:val="20"/>
          <w:lang w:val="en-US"/>
        </w:rPr>
        <w:t>Influence of kilohertz frequency, burst duty cycle and burst duration on evoked torque, discomfort and muscle efficiency: A randomized crossover trial. </w:t>
      </w:r>
      <w:r w:rsidRPr="00F3645C">
        <w:rPr>
          <w:rFonts w:ascii="Times New Roman" w:hAnsi="Times New Roman" w:cs="Times New Roman"/>
          <w:i/>
          <w:iCs/>
          <w:sz w:val="20"/>
          <w:szCs w:val="20"/>
          <w:lang w:val="en-US"/>
        </w:rPr>
        <w:t>Physiol Rep</w:t>
      </w:r>
      <w:r w:rsidRPr="00F3645C">
        <w:rPr>
          <w:rFonts w:ascii="Times New Roman" w:hAnsi="Times New Roman" w:cs="Times New Roman"/>
          <w:sz w:val="20"/>
          <w:szCs w:val="20"/>
          <w:lang w:val="en-US"/>
        </w:rPr>
        <w:t>. 2024;12(20):e70039. doi:10.14814/phy2.70039</w:t>
      </w:r>
    </w:p>
    <w:p w14:paraId="530DFFAF"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Babault N, Pousson M, Michaut A, Van Hoecke J. Effect of quadriceps femoris muscle length on neural activation during isometric and concentric contractions. </w:t>
      </w:r>
      <w:r w:rsidRPr="00F3645C">
        <w:rPr>
          <w:rFonts w:ascii="Times New Roman" w:hAnsi="Times New Roman" w:cs="Times New Roman"/>
          <w:i/>
          <w:iCs/>
          <w:sz w:val="20"/>
          <w:szCs w:val="20"/>
          <w:lang w:val="en-US"/>
        </w:rPr>
        <w:t>J Appl Physiol (1985)</w:t>
      </w:r>
      <w:r w:rsidRPr="00F3645C">
        <w:rPr>
          <w:rFonts w:ascii="Times New Roman" w:hAnsi="Times New Roman" w:cs="Times New Roman"/>
          <w:sz w:val="20"/>
          <w:szCs w:val="20"/>
          <w:lang w:val="en-US"/>
        </w:rPr>
        <w:t>. 2003;94(3):983-990. doi:10.1152/japplphysiol.00717.2002</w:t>
      </w:r>
    </w:p>
    <w:p w14:paraId="30CB87B1" w14:textId="77777777" w:rsidR="00DA5748" w:rsidRPr="00F3645C" w:rsidRDefault="00DA5748" w:rsidP="00A62A6A">
      <w:pPr>
        <w:pStyle w:val="PargrafodaLista"/>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fr-FR"/>
        </w:rPr>
        <w:t xml:space="preserve">Pajoutan M, Ghesmaty Sangachin M, Cavuoto LA. </w:t>
      </w:r>
      <w:r w:rsidRPr="00F3645C">
        <w:rPr>
          <w:rFonts w:ascii="Times New Roman" w:hAnsi="Times New Roman" w:cs="Times New Roman"/>
          <w:sz w:val="20"/>
          <w:szCs w:val="20"/>
          <w:lang w:val="en-US"/>
        </w:rPr>
        <w:t>Central and peripheral fatigue development in the shoulder muscle with obesity during an isometric endurance task. </w:t>
      </w:r>
      <w:r w:rsidRPr="00F3645C">
        <w:rPr>
          <w:rFonts w:ascii="Times New Roman" w:hAnsi="Times New Roman" w:cs="Times New Roman"/>
          <w:i/>
          <w:iCs/>
          <w:sz w:val="20"/>
          <w:szCs w:val="20"/>
        </w:rPr>
        <w:t>BMC Musculoskelet Disord</w:t>
      </w:r>
      <w:r w:rsidRPr="00F3645C">
        <w:rPr>
          <w:rFonts w:ascii="Times New Roman" w:hAnsi="Times New Roman" w:cs="Times New Roman"/>
          <w:sz w:val="20"/>
          <w:szCs w:val="20"/>
        </w:rPr>
        <w:t>. 2017;18(1):314. Published 2017 Jul 21. doi:10.1186/s12891-017-1676-0</w:t>
      </w:r>
    </w:p>
    <w:p w14:paraId="7B4CCB0D"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Hermens HJ, Freriks B, Disselhorst-Klug C, Rau G. Development of recommendations for SEMG sensors and sensor placement procedures. </w:t>
      </w:r>
      <w:r w:rsidRPr="00F3645C">
        <w:rPr>
          <w:rFonts w:ascii="Times New Roman" w:hAnsi="Times New Roman" w:cs="Times New Roman"/>
          <w:i/>
          <w:iCs/>
          <w:sz w:val="20"/>
          <w:szCs w:val="20"/>
        </w:rPr>
        <w:t>J Electromyogr Kinesiol</w:t>
      </w:r>
      <w:r w:rsidRPr="00F3645C">
        <w:rPr>
          <w:rFonts w:ascii="Times New Roman" w:hAnsi="Times New Roman" w:cs="Times New Roman"/>
          <w:sz w:val="20"/>
          <w:szCs w:val="20"/>
        </w:rPr>
        <w:t>. 2000;10(5):361-374. doi:10.1016/s1050-6411(00)00027-4</w:t>
      </w:r>
    </w:p>
    <w:p w14:paraId="643CFD72"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Papaiordanidou M, Varray A, Fattal C, Guiraud D. Neural and muscular mechanisms of electrically induced fatigue in patients with spinal cord injury. </w:t>
      </w:r>
      <w:r w:rsidRPr="00F3645C">
        <w:rPr>
          <w:rFonts w:ascii="Times New Roman" w:hAnsi="Times New Roman" w:cs="Times New Roman"/>
          <w:i/>
          <w:iCs/>
          <w:sz w:val="20"/>
          <w:szCs w:val="20"/>
          <w:lang w:val="en-US"/>
        </w:rPr>
        <w:t>Spinal Cord</w:t>
      </w:r>
      <w:r w:rsidRPr="00F3645C">
        <w:rPr>
          <w:rFonts w:ascii="Times New Roman" w:hAnsi="Times New Roman" w:cs="Times New Roman"/>
          <w:sz w:val="20"/>
          <w:szCs w:val="20"/>
          <w:lang w:val="en-US"/>
        </w:rPr>
        <w:t>. 2014;52(3):246-250. doi:10.1038/sc.2013.172</w:t>
      </w:r>
    </w:p>
    <w:p w14:paraId="1AA04C11" w14:textId="327D7FF6" w:rsidR="00DA5748" w:rsidRPr="00F3645C" w:rsidRDefault="00DA5748" w:rsidP="00A62A6A">
      <w:pPr>
        <w:pStyle w:val="PargrafodaLista"/>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Vargas L, Baratta J, Hu X. Distribution of M-Wave and H-Reflex in Hand Muscles Evoked via Transcutaneous Nerve Stimulation: A Preliminary Report. </w:t>
      </w:r>
      <w:r w:rsidRPr="00F3645C">
        <w:rPr>
          <w:rFonts w:ascii="Times New Roman" w:hAnsi="Times New Roman" w:cs="Times New Roman"/>
          <w:i/>
          <w:iCs/>
          <w:sz w:val="20"/>
          <w:szCs w:val="20"/>
          <w:lang w:val="en-US"/>
        </w:rPr>
        <w:t>Annu Int Conf IEEE Eng Med Biol Soc</w:t>
      </w:r>
      <w:r w:rsidRPr="00F3645C">
        <w:rPr>
          <w:rFonts w:ascii="Times New Roman" w:hAnsi="Times New Roman" w:cs="Times New Roman"/>
          <w:sz w:val="20"/>
          <w:szCs w:val="20"/>
          <w:lang w:val="en-US"/>
        </w:rPr>
        <w:t>. 2021; 2021:5897-5900. doi:10.1109/EMBC46164.2021.9630300</w:t>
      </w:r>
    </w:p>
    <w:p w14:paraId="41284B9E"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Bergquist AJ, Wiest MJ, Okuma Y, Collins DF. H-reflexes reduce fatigue of evoked contractions after spinal cord injury. </w:t>
      </w:r>
      <w:r w:rsidRPr="00F3645C">
        <w:rPr>
          <w:rFonts w:ascii="Times New Roman" w:hAnsi="Times New Roman" w:cs="Times New Roman"/>
          <w:i/>
          <w:iCs/>
          <w:sz w:val="20"/>
          <w:szCs w:val="20"/>
          <w:lang w:val="en-US"/>
        </w:rPr>
        <w:t>Muscle Nerve</w:t>
      </w:r>
      <w:r w:rsidRPr="00F3645C">
        <w:rPr>
          <w:rFonts w:ascii="Times New Roman" w:hAnsi="Times New Roman" w:cs="Times New Roman"/>
          <w:sz w:val="20"/>
          <w:szCs w:val="20"/>
          <w:lang w:val="en-US"/>
        </w:rPr>
        <w:t>. 2014;50(2):224-234. doi:10.1002/mus.24144</w:t>
      </w:r>
    </w:p>
    <w:p w14:paraId="08A9607D" w14:textId="5640E608" w:rsidR="004D299A" w:rsidRPr="00F3645C" w:rsidRDefault="004D299A"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Bickel CS, Gregory CM, Dean JC. Motor unit recruitment during neuromuscular electrical stimulation: a critical appraisal. </w:t>
      </w:r>
      <w:r w:rsidRPr="00F3645C">
        <w:rPr>
          <w:rFonts w:ascii="Times New Roman" w:hAnsi="Times New Roman" w:cs="Times New Roman"/>
          <w:i/>
          <w:iCs/>
          <w:sz w:val="20"/>
          <w:szCs w:val="20"/>
        </w:rPr>
        <w:t>Eur J Appl Physiol</w:t>
      </w:r>
      <w:r w:rsidRPr="00F3645C">
        <w:rPr>
          <w:rFonts w:ascii="Times New Roman" w:hAnsi="Times New Roman" w:cs="Times New Roman"/>
          <w:sz w:val="20"/>
          <w:szCs w:val="20"/>
        </w:rPr>
        <w:t>. 2011;111(10):2399-2407. doi:10.1007/s00421-011-2128-4</w:t>
      </w:r>
    </w:p>
    <w:p w14:paraId="41508ED6"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lastRenderedPageBreak/>
        <w:t>Sayenko DG, Nguyen R, Popovic MR, Masani K. Reducing muscle fatigue during transcutaneous neuromuscular electrical stimulation by spatially and sequentially distributing electrical stimulation sources. </w:t>
      </w:r>
      <w:r w:rsidRPr="00F3645C">
        <w:rPr>
          <w:rFonts w:ascii="Times New Roman" w:hAnsi="Times New Roman" w:cs="Times New Roman"/>
          <w:i/>
          <w:iCs/>
          <w:sz w:val="20"/>
          <w:szCs w:val="20"/>
          <w:lang w:val="en-US"/>
        </w:rPr>
        <w:t>Eur J Appl Physiol</w:t>
      </w:r>
      <w:r w:rsidRPr="00F3645C">
        <w:rPr>
          <w:rFonts w:ascii="Times New Roman" w:hAnsi="Times New Roman" w:cs="Times New Roman"/>
          <w:sz w:val="20"/>
          <w:szCs w:val="20"/>
          <w:lang w:val="en-US"/>
        </w:rPr>
        <w:t>. 2014;114(4):793-804. doi:10.1007/s00421-013-2807-4</w:t>
      </w:r>
    </w:p>
    <w:p w14:paraId="724EEAC4"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Durigan JLQ, Kelly B, Costa R, Dyjak M, Collins D. Influence of phase duration and waveform on the relative recruitment of motor and sensory axons in a human peripheral nerve. </w:t>
      </w:r>
      <w:r w:rsidRPr="00F3645C">
        <w:rPr>
          <w:rFonts w:ascii="Times New Roman" w:hAnsi="Times New Roman" w:cs="Times New Roman"/>
          <w:i/>
          <w:iCs/>
          <w:sz w:val="20"/>
          <w:szCs w:val="20"/>
          <w:lang w:val="en-US"/>
        </w:rPr>
        <w:t>Appl Physiol Nutr Metab</w:t>
      </w:r>
      <w:r w:rsidRPr="00F3645C">
        <w:rPr>
          <w:rFonts w:ascii="Times New Roman" w:hAnsi="Times New Roman" w:cs="Times New Roman"/>
          <w:sz w:val="20"/>
          <w:szCs w:val="20"/>
          <w:lang w:val="en-US"/>
        </w:rPr>
        <w:t>. 2025;50:1-11. doi:10.1139/apnm-2024-0469</w:t>
      </w:r>
    </w:p>
    <w:p w14:paraId="756DC3C3" w14:textId="6662AB35" w:rsidR="00705FBB" w:rsidRPr="00F3645C" w:rsidRDefault="00C04EC0"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Neyroud D, Dodd D, Gondin J, Maffiuletti NA, Kayser B, Place N. Wide-pulse-high-frequency neuromuscular stimulation of triceps surae induces greater muscle fatigue compared with conventional stimulation. J Appl Physiol. 2014;116(10):1281-9. doi:10.1152/japplphysiol.00036.2014.</w:t>
      </w:r>
    </w:p>
    <w:p w14:paraId="2D1B4C1E" w14:textId="77777777" w:rsidR="00DA5748"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Maffiuletti NA. Physiological and methodological considerations for the use of neuromuscular electrical stimulation. Eur J Appl Physiol. 2010;110(2):223-234. doi:10.1007/s00421-010-1502-y</w:t>
      </w:r>
    </w:p>
    <w:p w14:paraId="13899DCD" w14:textId="5168B167" w:rsidR="00C426E4" w:rsidRPr="00F3645C" w:rsidRDefault="00DA5748" w:rsidP="00A62A6A">
      <w:pPr>
        <w:numPr>
          <w:ilvl w:val="0"/>
          <w:numId w:val="1"/>
        </w:numPr>
        <w:spacing w:after="0" w:line="360" w:lineRule="auto"/>
        <w:jc w:val="both"/>
        <w:rPr>
          <w:rFonts w:ascii="Times New Roman" w:hAnsi="Times New Roman" w:cs="Times New Roman"/>
          <w:sz w:val="20"/>
          <w:szCs w:val="20"/>
          <w:lang w:val="en-US"/>
        </w:rPr>
      </w:pPr>
      <w:r w:rsidRPr="00F3645C">
        <w:rPr>
          <w:rFonts w:ascii="Times New Roman" w:hAnsi="Times New Roman" w:cs="Times New Roman"/>
          <w:sz w:val="20"/>
          <w:szCs w:val="20"/>
          <w:lang w:val="en-US"/>
        </w:rPr>
        <w:t>Gorgey AS, Mahoney E, Kendall T, Dudley GA. Effects of neuromuscular electrical stimulation parameters on specific tension. Eur J Appl Physiol. 2006;97(6):737-744. doi:10.1007/s00421-006-0232-7</w:t>
      </w:r>
    </w:p>
    <w:p w14:paraId="248CA679" w14:textId="42DB2FCC" w:rsidR="00C426E4" w:rsidRPr="00F3645C" w:rsidRDefault="00C426E4">
      <w:pPr>
        <w:rPr>
          <w:rFonts w:ascii="Times New Roman" w:hAnsi="Times New Roman" w:cs="Times New Roman"/>
          <w:sz w:val="20"/>
          <w:szCs w:val="20"/>
          <w:lang w:val="en-US"/>
        </w:rPr>
      </w:pPr>
      <w:r w:rsidRPr="00F3645C">
        <w:rPr>
          <w:rFonts w:ascii="Times New Roman" w:hAnsi="Times New Roman" w:cs="Times New Roman"/>
          <w:sz w:val="20"/>
          <w:szCs w:val="20"/>
          <w:lang w:val="en-US"/>
        </w:rPr>
        <w:br w:type="page"/>
      </w:r>
    </w:p>
    <w:p w14:paraId="409F65A1" w14:textId="77777777" w:rsidR="00DD1899" w:rsidRPr="00A63CA5" w:rsidRDefault="00DD1899" w:rsidP="00C426E4">
      <w:pPr>
        <w:spacing w:after="0" w:line="360" w:lineRule="auto"/>
        <w:jc w:val="both"/>
        <w:rPr>
          <w:rFonts w:ascii="Times New Roman" w:hAnsi="Times New Roman" w:cs="Times New Roman"/>
          <w:lang w:val="en-US"/>
        </w:rPr>
        <w:sectPr w:rsidR="00DD1899" w:rsidRPr="00A63CA5" w:rsidSect="00F3645C">
          <w:pgSz w:w="11906" w:h="16838"/>
          <w:pgMar w:top="1417" w:right="1701" w:bottom="1417" w:left="1701" w:header="708" w:footer="708" w:gutter="0"/>
          <w:lnNumType w:countBy="1" w:restart="continuous"/>
          <w:cols w:space="708"/>
          <w:docGrid w:linePitch="360"/>
        </w:sectPr>
      </w:pPr>
    </w:p>
    <w:p w14:paraId="741E7373" w14:textId="77777777" w:rsidR="00F3645C" w:rsidRDefault="00EA7B96" w:rsidP="00EA7B96">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b/>
          <w:bCs/>
          <w:sz w:val="20"/>
          <w:szCs w:val="20"/>
          <w:lang w:val="en-US"/>
        </w:rPr>
        <w:lastRenderedPageBreak/>
        <w:t>Supplementary Table</w:t>
      </w:r>
      <w:r w:rsidR="00F3645C" w:rsidRPr="00F3645C">
        <w:rPr>
          <w:rFonts w:ascii="Times New Roman" w:hAnsi="Times New Roman" w:cs="Times New Roman"/>
          <w:b/>
          <w:bCs/>
          <w:sz w:val="20"/>
          <w:szCs w:val="20"/>
          <w:lang w:val="en-US"/>
        </w:rPr>
        <w:t xml:space="preserve"> </w:t>
      </w:r>
    </w:p>
    <w:p w14:paraId="067C5D07" w14:textId="757712F0" w:rsidR="00F3645C" w:rsidRPr="00F3645C" w:rsidRDefault="00F3645C" w:rsidP="00EA7B96">
      <w:pPr>
        <w:spacing w:after="0" w:line="360" w:lineRule="auto"/>
        <w:jc w:val="both"/>
        <w:rPr>
          <w:rFonts w:ascii="Times New Roman" w:hAnsi="Times New Roman" w:cs="Times New Roman"/>
          <w:b/>
          <w:bCs/>
          <w:sz w:val="20"/>
          <w:szCs w:val="20"/>
          <w:lang w:val="en-US"/>
        </w:rPr>
      </w:pPr>
      <w:r w:rsidRPr="00F3645C">
        <w:rPr>
          <w:rFonts w:ascii="Times New Roman" w:hAnsi="Times New Roman" w:cs="Times New Roman"/>
          <w:sz w:val="20"/>
          <w:szCs w:val="20"/>
          <w:lang w:val="en-US"/>
        </w:rPr>
        <w:t>Supplementary Table S1 Neuromuscular outcomes before and after the fatigue protocol</w:t>
      </w:r>
    </w:p>
    <w:p w14:paraId="7A471E94" w14:textId="747DD96C" w:rsidR="00C426E4" w:rsidRPr="00F3645C" w:rsidRDefault="00C426E4" w:rsidP="00F3645C">
      <w:pPr>
        <w:spacing w:after="0" w:line="360" w:lineRule="auto"/>
        <w:jc w:val="both"/>
        <w:rPr>
          <w:rFonts w:ascii="Times New Roman" w:hAnsi="Times New Roman" w:cs="Times New Roman"/>
          <w:sz w:val="20"/>
          <w:szCs w:val="20"/>
          <w:lang w:val="en-US"/>
        </w:rPr>
      </w:pPr>
    </w:p>
    <w:tbl>
      <w:tblPr>
        <w:tblStyle w:val="Tabelacomgrade"/>
        <w:tblpPr w:leftFromText="180" w:rightFromText="180" w:vertAnchor="text" w:horzAnchor="margin" w:tblpXSpec="center" w:tblpY="-347"/>
        <w:tblW w:w="15398" w:type="dxa"/>
        <w:tblLayout w:type="fixed"/>
        <w:tblLook w:val="04A0" w:firstRow="1" w:lastRow="0" w:firstColumn="1" w:lastColumn="0" w:noHBand="0" w:noVBand="1"/>
      </w:tblPr>
      <w:tblGrid>
        <w:gridCol w:w="1851"/>
        <w:gridCol w:w="1714"/>
        <w:gridCol w:w="1757"/>
        <w:gridCol w:w="1716"/>
        <w:gridCol w:w="1758"/>
        <w:gridCol w:w="1716"/>
        <w:gridCol w:w="1758"/>
        <w:gridCol w:w="1654"/>
        <w:gridCol w:w="1474"/>
      </w:tblGrid>
      <w:tr w:rsidR="00705FBB" w:rsidRPr="00A63CA5" w14:paraId="7F61D417" w14:textId="77777777" w:rsidTr="00705FBB">
        <w:trPr>
          <w:trHeight w:val="454"/>
        </w:trPr>
        <w:tc>
          <w:tcPr>
            <w:tcW w:w="1851" w:type="dxa"/>
            <w:tcBorders>
              <w:top w:val="single" w:sz="4" w:space="0" w:color="auto"/>
              <w:left w:val="nil"/>
              <w:bottom w:val="single" w:sz="4" w:space="0" w:color="auto"/>
              <w:right w:val="nil"/>
            </w:tcBorders>
            <w:vAlign w:val="center"/>
          </w:tcPr>
          <w:p w14:paraId="3D732AFE" w14:textId="77777777" w:rsidR="00705FBB" w:rsidRPr="00754C98" w:rsidRDefault="00705FBB" w:rsidP="00705FBB">
            <w:pPr>
              <w:spacing w:line="360" w:lineRule="auto"/>
              <w:jc w:val="center"/>
              <w:rPr>
                <w:rFonts w:ascii="Times New Roman" w:hAnsi="Times New Roman" w:cs="Times New Roman"/>
                <w:sz w:val="15"/>
                <w:szCs w:val="15"/>
              </w:rPr>
            </w:pPr>
          </w:p>
        </w:tc>
        <w:tc>
          <w:tcPr>
            <w:tcW w:w="3471" w:type="dxa"/>
            <w:gridSpan w:val="2"/>
            <w:tcBorders>
              <w:top w:val="single" w:sz="4" w:space="0" w:color="auto"/>
              <w:left w:val="nil"/>
              <w:bottom w:val="single" w:sz="4" w:space="0" w:color="auto"/>
              <w:right w:val="nil"/>
            </w:tcBorders>
            <w:vAlign w:val="center"/>
          </w:tcPr>
          <w:p w14:paraId="258973EB" w14:textId="2F6DB3D4" w:rsidR="00705FBB" w:rsidRPr="00754C98" w:rsidRDefault="00705FBB" w:rsidP="00705FBB">
            <w:pPr>
              <w:spacing w:line="360" w:lineRule="auto"/>
              <w:jc w:val="center"/>
              <w:rPr>
                <w:rFonts w:ascii="Times New Roman" w:hAnsi="Times New Roman" w:cs="Times New Roman"/>
                <w:sz w:val="15"/>
                <w:szCs w:val="15"/>
              </w:rPr>
            </w:pPr>
            <w:r w:rsidRPr="00754C98">
              <w:rPr>
                <w:rFonts w:ascii="Times New Roman" w:hAnsi="Times New Roman" w:cs="Times New Roman"/>
                <w:b/>
                <w:bCs/>
                <w:sz w:val="15"/>
                <w:szCs w:val="15"/>
              </w:rPr>
              <w:t>PC 500</w:t>
            </w:r>
          </w:p>
        </w:tc>
        <w:tc>
          <w:tcPr>
            <w:tcW w:w="3474" w:type="dxa"/>
            <w:gridSpan w:val="2"/>
            <w:tcBorders>
              <w:top w:val="single" w:sz="4" w:space="0" w:color="auto"/>
              <w:left w:val="nil"/>
              <w:bottom w:val="single" w:sz="4" w:space="0" w:color="auto"/>
              <w:right w:val="nil"/>
            </w:tcBorders>
            <w:vAlign w:val="center"/>
          </w:tcPr>
          <w:p w14:paraId="5A4B8AAC" w14:textId="62B96798" w:rsidR="00705FBB" w:rsidRPr="00754C98" w:rsidRDefault="00705FBB" w:rsidP="00705FBB">
            <w:pPr>
              <w:spacing w:line="360" w:lineRule="auto"/>
              <w:jc w:val="center"/>
              <w:rPr>
                <w:rFonts w:ascii="Times New Roman" w:hAnsi="Times New Roman" w:cs="Times New Roman"/>
                <w:sz w:val="15"/>
                <w:szCs w:val="15"/>
              </w:rPr>
            </w:pPr>
            <w:r w:rsidRPr="00754C98">
              <w:rPr>
                <w:rFonts w:ascii="Times New Roman" w:hAnsi="Times New Roman" w:cs="Times New Roman"/>
                <w:b/>
                <w:bCs/>
                <w:sz w:val="15"/>
                <w:szCs w:val="15"/>
              </w:rPr>
              <w:t>PC 200</w:t>
            </w:r>
          </w:p>
        </w:tc>
        <w:tc>
          <w:tcPr>
            <w:tcW w:w="3474" w:type="dxa"/>
            <w:gridSpan w:val="2"/>
            <w:tcBorders>
              <w:top w:val="single" w:sz="4" w:space="0" w:color="auto"/>
              <w:left w:val="nil"/>
              <w:bottom w:val="single" w:sz="4" w:space="0" w:color="auto"/>
              <w:right w:val="nil"/>
            </w:tcBorders>
            <w:vAlign w:val="center"/>
          </w:tcPr>
          <w:p w14:paraId="562963C5" w14:textId="77E1B7A8" w:rsidR="00705FBB" w:rsidRPr="00754C98" w:rsidRDefault="00705FBB" w:rsidP="00705FBB">
            <w:pPr>
              <w:spacing w:line="360" w:lineRule="auto"/>
              <w:jc w:val="center"/>
              <w:rPr>
                <w:rFonts w:ascii="Times New Roman" w:hAnsi="Times New Roman" w:cs="Times New Roman"/>
                <w:sz w:val="15"/>
                <w:szCs w:val="15"/>
              </w:rPr>
            </w:pPr>
            <w:r w:rsidRPr="00754C98">
              <w:rPr>
                <w:rFonts w:ascii="Times New Roman" w:hAnsi="Times New Roman" w:cs="Times New Roman"/>
                <w:b/>
                <w:bCs/>
                <w:sz w:val="15"/>
                <w:szCs w:val="15"/>
              </w:rPr>
              <w:t>KFAC 500</w:t>
            </w:r>
          </w:p>
        </w:tc>
        <w:tc>
          <w:tcPr>
            <w:tcW w:w="3128" w:type="dxa"/>
            <w:gridSpan w:val="2"/>
            <w:tcBorders>
              <w:top w:val="single" w:sz="4" w:space="0" w:color="auto"/>
              <w:left w:val="nil"/>
              <w:bottom w:val="single" w:sz="4" w:space="0" w:color="auto"/>
              <w:right w:val="nil"/>
            </w:tcBorders>
            <w:vAlign w:val="center"/>
          </w:tcPr>
          <w:p w14:paraId="553C24EF" w14:textId="48CBFB66" w:rsidR="00705FBB" w:rsidRPr="00754C98" w:rsidRDefault="00705FBB" w:rsidP="00705FBB">
            <w:pPr>
              <w:spacing w:line="360" w:lineRule="auto"/>
              <w:jc w:val="center"/>
              <w:rPr>
                <w:rFonts w:ascii="Times New Roman" w:hAnsi="Times New Roman" w:cs="Times New Roman"/>
                <w:sz w:val="15"/>
                <w:szCs w:val="15"/>
              </w:rPr>
            </w:pPr>
            <w:r w:rsidRPr="00754C98">
              <w:rPr>
                <w:rFonts w:ascii="Times New Roman" w:hAnsi="Times New Roman" w:cs="Times New Roman"/>
                <w:b/>
                <w:bCs/>
                <w:sz w:val="15"/>
                <w:szCs w:val="15"/>
              </w:rPr>
              <w:t>KFAC 200</w:t>
            </w:r>
          </w:p>
        </w:tc>
      </w:tr>
      <w:tr w:rsidR="00DD1899" w:rsidRPr="00A63CA5" w14:paraId="7B71E787" w14:textId="77777777" w:rsidTr="00705FBB">
        <w:trPr>
          <w:trHeight w:val="454"/>
        </w:trPr>
        <w:tc>
          <w:tcPr>
            <w:tcW w:w="1851" w:type="dxa"/>
            <w:tcBorders>
              <w:top w:val="nil"/>
              <w:left w:val="nil"/>
              <w:bottom w:val="single" w:sz="4" w:space="0" w:color="auto"/>
              <w:right w:val="nil"/>
            </w:tcBorders>
            <w:vAlign w:val="center"/>
          </w:tcPr>
          <w:p w14:paraId="72493731" w14:textId="77777777" w:rsidR="00C426E4" w:rsidRPr="00754C98" w:rsidRDefault="00C426E4" w:rsidP="00705FBB">
            <w:pPr>
              <w:spacing w:line="360" w:lineRule="auto"/>
              <w:jc w:val="center"/>
              <w:rPr>
                <w:rFonts w:ascii="Times New Roman" w:hAnsi="Times New Roman" w:cs="Times New Roman"/>
                <w:sz w:val="15"/>
                <w:szCs w:val="15"/>
              </w:rPr>
            </w:pPr>
          </w:p>
        </w:tc>
        <w:tc>
          <w:tcPr>
            <w:tcW w:w="1714" w:type="dxa"/>
            <w:tcBorders>
              <w:top w:val="nil"/>
              <w:left w:val="nil"/>
              <w:bottom w:val="single" w:sz="4" w:space="0" w:color="auto"/>
              <w:right w:val="nil"/>
            </w:tcBorders>
            <w:vAlign w:val="center"/>
          </w:tcPr>
          <w:p w14:paraId="7DD7376D"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PRE</w:t>
            </w:r>
          </w:p>
        </w:tc>
        <w:tc>
          <w:tcPr>
            <w:tcW w:w="1757" w:type="dxa"/>
            <w:tcBorders>
              <w:left w:val="nil"/>
              <w:bottom w:val="single" w:sz="4" w:space="0" w:color="auto"/>
              <w:right w:val="nil"/>
            </w:tcBorders>
            <w:vAlign w:val="center"/>
          </w:tcPr>
          <w:p w14:paraId="44764EB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POST</w:t>
            </w:r>
          </w:p>
        </w:tc>
        <w:tc>
          <w:tcPr>
            <w:tcW w:w="1716" w:type="dxa"/>
            <w:tcBorders>
              <w:left w:val="nil"/>
              <w:bottom w:val="single" w:sz="4" w:space="0" w:color="auto"/>
              <w:right w:val="nil"/>
            </w:tcBorders>
            <w:vAlign w:val="center"/>
          </w:tcPr>
          <w:p w14:paraId="09B61DD8"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PRE</w:t>
            </w:r>
          </w:p>
        </w:tc>
        <w:tc>
          <w:tcPr>
            <w:tcW w:w="1758" w:type="dxa"/>
            <w:tcBorders>
              <w:left w:val="nil"/>
              <w:bottom w:val="single" w:sz="4" w:space="0" w:color="auto"/>
              <w:right w:val="nil"/>
            </w:tcBorders>
            <w:vAlign w:val="center"/>
          </w:tcPr>
          <w:p w14:paraId="2AA3A1C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POST</w:t>
            </w:r>
          </w:p>
        </w:tc>
        <w:tc>
          <w:tcPr>
            <w:tcW w:w="1716" w:type="dxa"/>
            <w:tcBorders>
              <w:left w:val="nil"/>
              <w:bottom w:val="single" w:sz="4" w:space="0" w:color="auto"/>
              <w:right w:val="nil"/>
            </w:tcBorders>
            <w:vAlign w:val="center"/>
          </w:tcPr>
          <w:p w14:paraId="62819BD1"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PRE</w:t>
            </w:r>
          </w:p>
        </w:tc>
        <w:tc>
          <w:tcPr>
            <w:tcW w:w="1758" w:type="dxa"/>
            <w:tcBorders>
              <w:left w:val="nil"/>
              <w:bottom w:val="single" w:sz="4" w:space="0" w:color="auto"/>
              <w:right w:val="nil"/>
            </w:tcBorders>
            <w:vAlign w:val="center"/>
          </w:tcPr>
          <w:p w14:paraId="214382E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POST</w:t>
            </w:r>
          </w:p>
        </w:tc>
        <w:tc>
          <w:tcPr>
            <w:tcW w:w="1654" w:type="dxa"/>
            <w:tcBorders>
              <w:left w:val="nil"/>
              <w:bottom w:val="single" w:sz="4" w:space="0" w:color="auto"/>
              <w:right w:val="nil"/>
            </w:tcBorders>
            <w:vAlign w:val="center"/>
          </w:tcPr>
          <w:p w14:paraId="3602D4C8"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PRE</w:t>
            </w:r>
          </w:p>
        </w:tc>
        <w:tc>
          <w:tcPr>
            <w:tcW w:w="1474" w:type="dxa"/>
            <w:tcBorders>
              <w:left w:val="nil"/>
              <w:bottom w:val="single" w:sz="4" w:space="0" w:color="auto"/>
              <w:right w:val="nil"/>
            </w:tcBorders>
            <w:vAlign w:val="center"/>
          </w:tcPr>
          <w:p w14:paraId="25A9BAD9"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POST</w:t>
            </w:r>
          </w:p>
        </w:tc>
      </w:tr>
      <w:tr w:rsidR="00DD1899" w:rsidRPr="00A63CA5" w14:paraId="327C3C48" w14:textId="77777777" w:rsidTr="00705FBB">
        <w:trPr>
          <w:trHeight w:val="454"/>
        </w:trPr>
        <w:tc>
          <w:tcPr>
            <w:tcW w:w="1851" w:type="dxa"/>
            <w:tcBorders>
              <w:top w:val="nil"/>
              <w:left w:val="nil"/>
              <w:bottom w:val="nil"/>
              <w:right w:val="nil"/>
            </w:tcBorders>
            <w:vAlign w:val="center"/>
          </w:tcPr>
          <w:p w14:paraId="62E0D267" w14:textId="26FE8B94"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RMS-GL*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(W)</w:t>
            </w:r>
          </w:p>
        </w:tc>
        <w:tc>
          <w:tcPr>
            <w:tcW w:w="1714" w:type="dxa"/>
            <w:tcBorders>
              <w:top w:val="nil"/>
              <w:left w:val="nil"/>
              <w:bottom w:val="nil"/>
              <w:right w:val="nil"/>
            </w:tcBorders>
            <w:vAlign w:val="center"/>
          </w:tcPr>
          <w:p w14:paraId="65F49C65"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0.05 (0.03-0.06)</w:t>
            </w:r>
          </w:p>
        </w:tc>
        <w:tc>
          <w:tcPr>
            <w:tcW w:w="1757" w:type="dxa"/>
            <w:tcBorders>
              <w:top w:val="nil"/>
              <w:left w:val="nil"/>
              <w:bottom w:val="nil"/>
              <w:right w:val="nil"/>
            </w:tcBorders>
            <w:vAlign w:val="center"/>
          </w:tcPr>
          <w:p w14:paraId="29605C5B" w14:textId="4858B071"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0.02</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(0.02-0.03)</w:t>
            </w:r>
          </w:p>
        </w:tc>
        <w:tc>
          <w:tcPr>
            <w:tcW w:w="1716" w:type="dxa"/>
            <w:tcBorders>
              <w:top w:val="nil"/>
              <w:left w:val="nil"/>
              <w:bottom w:val="nil"/>
              <w:right w:val="nil"/>
            </w:tcBorders>
            <w:vAlign w:val="center"/>
          </w:tcPr>
          <w:p w14:paraId="70C3E4B3"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 (0.02-0.03)</w:t>
            </w:r>
          </w:p>
        </w:tc>
        <w:tc>
          <w:tcPr>
            <w:tcW w:w="1758" w:type="dxa"/>
            <w:tcBorders>
              <w:top w:val="nil"/>
              <w:left w:val="nil"/>
              <w:bottom w:val="nil"/>
              <w:right w:val="nil"/>
            </w:tcBorders>
            <w:vAlign w:val="center"/>
          </w:tcPr>
          <w:p w14:paraId="24CB0DBC" w14:textId="786941A4"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(0.02-0.05)</w:t>
            </w:r>
          </w:p>
        </w:tc>
        <w:tc>
          <w:tcPr>
            <w:tcW w:w="1716" w:type="dxa"/>
            <w:tcBorders>
              <w:top w:val="nil"/>
              <w:left w:val="nil"/>
              <w:bottom w:val="nil"/>
              <w:right w:val="nil"/>
            </w:tcBorders>
            <w:vAlign w:val="center"/>
          </w:tcPr>
          <w:p w14:paraId="1CDAAC7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0.05 (0.03-0.07)</w:t>
            </w:r>
          </w:p>
        </w:tc>
        <w:tc>
          <w:tcPr>
            <w:tcW w:w="1758" w:type="dxa"/>
            <w:tcBorders>
              <w:top w:val="nil"/>
              <w:left w:val="nil"/>
              <w:bottom w:val="nil"/>
              <w:right w:val="nil"/>
            </w:tcBorders>
            <w:vAlign w:val="center"/>
          </w:tcPr>
          <w:p w14:paraId="04517795" w14:textId="5E63E38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(0.02-0.4</w:t>
            </w:r>
          </w:p>
        </w:tc>
        <w:tc>
          <w:tcPr>
            <w:tcW w:w="1654" w:type="dxa"/>
            <w:tcBorders>
              <w:top w:val="nil"/>
              <w:left w:val="nil"/>
              <w:bottom w:val="nil"/>
              <w:right w:val="nil"/>
            </w:tcBorders>
            <w:vAlign w:val="center"/>
          </w:tcPr>
          <w:p w14:paraId="44654CCC"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 (0.02-0.04)</w:t>
            </w:r>
          </w:p>
        </w:tc>
        <w:tc>
          <w:tcPr>
            <w:tcW w:w="1474" w:type="dxa"/>
            <w:tcBorders>
              <w:top w:val="nil"/>
              <w:left w:val="nil"/>
              <w:bottom w:val="nil"/>
              <w:right w:val="nil"/>
            </w:tcBorders>
            <w:vAlign w:val="center"/>
          </w:tcPr>
          <w:p w14:paraId="198F88B5" w14:textId="5BDE3D6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(0.02-0.4)</w:t>
            </w:r>
          </w:p>
        </w:tc>
      </w:tr>
      <w:tr w:rsidR="00DD1899" w:rsidRPr="00A63CA5" w14:paraId="76537F95" w14:textId="77777777" w:rsidTr="00705FBB">
        <w:trPr>
          <w:trHeight w:val="454"/>
        </w:trPr>
        <w:tc>
          <w:tcPr>
            <w:tcW w:w="1851" w:type="dxa"/>
            <w:tcBorders>
              <w:top w:val="nil"/>
              <w:left w:val="nil"/>
              <w:bottom w:val="nil"/>
              <w:right w:val="nil"/>
            </w:tcBorders>
            <w:vAlign w:val="center"/>
          </w:tcPr>
          <w:p w14:paraId="24ADDE98" w14:textId="0E3D6DE2"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RMS-SOL*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(W)</w:t>
            </w:r>
          </w:p>
        </w:tc>
        <w:tc>
          <w:tcPr>
            <w:tcW w:w="1714" w:type="dxa"/>
            <w:tcBorders>
              <w:top w:val="nil"/>
              <w:left w:val="nil"/>
              <w:bottom w:val="nil"/>
              <w:right w:val="nil"/>
            </w:tcBorders>
            <w:vAlign w:val="center"/>
          </w:tcPr>
          <w:p w14:paraId="3D412E08"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0.04 (0.03-0.05)</w:t>
            </w:r>
          </w:p>
        </w:tc>
        <w:tc>
          <w:tcPr>
            <w:tcW w:w="1757" w:type="dxa"/>
            <w:tcBorders>
              <w:top w:val="nil"/>
              <w:left w:val="nil"/>
              <w:bottom w:val="nil"/>
              <w:right w:val="nil"/>
            </w:tcBorders>
            <w:vAlign w:val="center"/>
          </w:tcPr>
          <w:p w14:paraId="0EDE432C" w14:textId="7A53BCB3"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0.02</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(0.02-0.03)</w:t>
            </w:r>
          </w:p>
        </w:tc>
        <w:tc>
          <w:tcPr>
            <w:tcW w:w="1716" w:type="dxa"/>
            <w:tcBorders>
              <w:top w:val="nil"/>
              <w:left w:val="nil"/>
              <w:bottom w:val="nil"/>
              <w:right w:val="nil"/>
            </w:tcBorders>
            <w:vAlign w:val="center"/>
          </w:tcPr>
          <w:p w14:paraId="7FC3B32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 (0.02-0.03)</w:t>
            </w:r>
          </w:p>
        </w:tc>
        <w:tc>
          <w:tcPr>
            <w:tcW w:w="1758" w:type="dxa"/>
            <w:tcBorders>
              <w:top w:val="nil"/>
              <w:left w:val="nil"/>
              <w:bottom w:val="nil"/>
              <w:right w:val="nil"/>
            </w:tcBorders>
            <w:vAlign w:val="center"/>
          </w:tcPr>
          <w:p w14:paraId="28C07738" w14:textId="04B19D71"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0.02</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(0.02-0.02)</w:t>
            </w:r>
          </w:p>
        </w:tc>
        <w:tc>
          <w:tcPr>
            <w:tcW w:w="1716" w:type="dxa"/>
            <w:tcBorders>
              <w:top w:val="nil"/>
              <w:left w:val="nil"/>
              <w:bottom w:val="nil"/>
              <w:right w:val="nil"/>
            </w:tcBorders>
            <w:vAlign w:val="center"/>
          </w:tcPr>
          <w:p w14:paraId="738B7035" w14:textId="4DE0F0A1"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0.04</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(0.03-0.05)</w:t>
            </w:r>
          </w:p>
        </w:tc>
        <w:tc>
          <w:tcPr>
            <w:tcW w:w="1758" w:type="dxa"/>
            <w:tcBorders>
              <w:top w:val="nil"/>
              <w:left w:val="nil"/>
              <w:bottom w:val="nil"/>
              <w:right w:val="nil"/>
            </w:tcBorders>
            <w:vAlign w:val="center"/>
          </w:tcPr>
          <w:p w14:paraId="46F2DF87" w14:textId="3BD82588"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0.02</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(0.02-0.03)</w:t>
            </w:r>
          </w:p>
        </w:tc>
        <w:tc>
          <w:tcPr>
            <w:tcW w:w="1654" w:type="dxa"/>
            <w:tcBorders>
              <w:top w:val="nil"/>
              <w:left w:val="nil"/>
              <w:bottom w:val="nil"/>
              <w:right w:val="nil"/>
            </w:tcBorders>
            <w:vAlign w:val="center"/>
          </w:tcPr>
          <w:p w14:paraId="43C127CD" w14:textId="10A2F68B"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(0.02-0.04)</w:t>
            </w:r>
          </w:p>
        </w:tc>
        <w:tc>
          <w:tcPr>
            <w:tcW w:w="1474" w:type="dxa"/>
            <w:tcBorders>
              <w:top w:val="nil"/>
              <w:left w:val="nil"/>
              <w:bottom w:val="nil"/>
              <w:right w:val="nil"/>
            </w:tcBorders>
            <w:vAlign w:val="center"/>
          </w:tcPr>
          <w:p w14:paraId="5448578C" w14:textId="1865A0CF"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0.03</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(0.02-0.03)</w:t>
            </w:r>
          </w:p>
        </w:tc>
      </w:tr>
      <w:tr w:rsidR="00DD1899" w:rsidRPr="00A63CA5" w14:paraId="2479CD4C" w14:textId="77777777" w:rsidTr="00705FBB">
        <w:trPr>
          <w:trHeight w:val="454"/>
        </w:trPr>
        <w:tc>
          <w:tcPr>
            <w:tcW w:w="1851" w:type="dxa"/>
            <w:tcBorders>
              <w:top w:val="nil"/>
              <w:left w:val="nil"/>
              <w:bottom w:val="nil"/>
              <w:right w:val="nil"/>
            </w:tcBorders>
            <w:vAlign w:val="center"/>
          </w:tcPr>
          <w:p w14:paraId="04D36CE7" w14:textId="27BA1484" w:rsidR="00C426E4" w:rsidRPr="00754C98" w:rsidRDefault="00D9311B"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MD</w:t>
            </w:r>
            <w:r w:rsidR="00C426E4" w:rsidRPr="00754C98">
              <w:rPr>
                <w:rFonts w:ascii="Times New Roman" w:hAnsi="Times New Roman" w:cs="Times New Roman"/>
                <w:b/>
                <w:bCs/>
                <w:sz w:val="15"/>
                <w:szCs w:val="15"/>
              </w:rPr>
              <w:t>F-GL</w:t>
            </w:r>
            <w:r w:rsidR="00DD1899" w:rsidRPr="00754C98">
              <w:rPr>
                <w:rFonts w:ascii="Times New Roman" w:hAnsi="Times New Roman" w:cs="Times New Roman"/>
                <w:b/>
                <w:bCs/>
                <w:sz w:val="15"/>
                <w:szCs w:val="15"/>
              </w:rPr>
              <w:t xml:space="preserve"> </w:t>
            </w:r>
            <w:r w:rsidR="00C426E4" w:rsidRPr="00754C98">
              <w:rPr>
                <w:rFonts w:ascii="Times New Roman" w:hAnsi="Times New Roman" w:cs="Times New Roman"/>
                <w:b/>
                <w:bCs/>
                <w:sz w:val="15"/>
                <w:szCs w:val="15"/>
              </w:rPr>
              <w:t>(Hz)</w:t>
            </w:r>
          </w:p>
        </w:tc>
        <w:tc>
          <w:tcPr>
            <w:tcW w:w="1714" w:type="dxa"/>
            <w:tcBorders>
              <w:top w:val="nil"/>
              <w:left w:val="nil"/>
              <w:bottom w:val="nil"/>
              <w:right w:val="nil"/>
            </w:tcBorders>
            <w:vAlign w:val="center"/>
          </w:tcPr>
          <w:p w14:paraId="3E0592C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162.74 (143.59-181.89)</w:t>
            </w:r>
          </w:p>
        </w:tc>
        <w:tc>
          <w:tcPr>
            <w:tcW w:w="1757" w:type="dxa"/>
            <w:tcBorders>
              <w:top w:val="nil"/>
              <w:left w:val="nil"/>
              <w:bottom w:val="nil"/>
              <w:right w:val="nil"/>
            </w:tcBorders>
            <w:vAlign w:val="center"/>
          </w:tcPr>
          <w:p w14:paraId="76DD240C"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164.46 (144.10-184.82)</w:t>
            </w:r>
          </w:p>
        </w:tc>
        <w:tc>
          <w:tcPr>
            <w:tcW w:w="1716" w:type="dxa"/>
            <w:tcBorders>
              <w:top w:val="nil"/>
              <w:left w:val="nil"/>
              <w:bottom w:val="nil"/>
              <w:right w:val="nil"/>
            </w:tcBorders>
            <w:vAlign w:val="center"/>
          </w:tcPr>
          <w:p w14:paraId="1CBCEA4E"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165.12 (149.55-180.7)</w:t>
            </w:r>
          </w:p>
        </w:tc>
        <w:tc>
          <w:tcPr>
            <w:tcW w:w="1758" w:type="dxa"/>
            <w:tcBorders>
              <w:top w:val="nil"/>
              <w:left w:val="nil"/>
              <w:bottom w:val="nil"/>
              <w:right w:val="nil"/>
            </w:tcBorders>
            <w:vAlign w:val="center"/>
          </w:tcPr>
          <w:p w14:paraId="16757540"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173.65 (159.23-188.06)</w:t>
            </w:r>
          </w:p>
        </w:tc>
        <w:tc>
          <w:tcPr>
            <w:tcW w:w="1716" w:type="dxa"/>
            <w:tcBorders>
              <w:top w:val="nil"/>
              <w:left w:val="nil"/>
              <w:bottom w:val="nil"/>
              <w:right w:val="nil"/>
            </w:tcBorders>
            <w:vAlign w:val="center"/>
          </w:tcPr>
          <w:p w14:paraId="331FD398"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159.3 (142.6-176)</w:t>
            </w:r>
          </w:p>
        </w:tc>
        <w:tc>
          <w:tcPr>
            <w:tcW w:w="1758" w:type="dxa"/>
            <w:tcBorders>
              <w:top w:val="nil"/>
              <w:left w:val="nil"/>
              <w:bottom w:val="nil"/>
              <w:right w:val="nil"/>
            </w:tcBorders>
            <w:vAlign w:val="center"/>
          </w:tcPr>
          <w:p w14:paraId="670542A9"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152.26 (136.12-168.41)</w:t>
            </w:r>
          </w:p>
        </w:tc>
        <w:tc>
          <w:tcPr>
            <w:tcW w:w="1654" w:type="dxa"/>
            <w:tcBorders>
              <w:top w:val="nil"/>
              <w:left w:val="nil"/>
              <w:bottom w:val="nil"/>
              <w:right w:val="nil"/>
            </w:tcBorders>
            <w:vAlign w:val="center"/>
          </w:tcPr>
          <w:p w14:paraId="4FDB426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164.57 (147.44-181.70)</w:t>
            </w:r>
          </w:p>
        </w:tc>
        <w:tc>
          <w:tcPr>
            <w:tcW w:w="1474" w:type="dxa"/>
            <w:tcBorders>
              <w:top w:val="nil"/>
              <w:left w:val="nil"/>
              <w:bottom w:val="nil"/>
              <w:right w:val="nil"/>
            </w:tcBorders>
            <w:vAlign w:val="center"/>
          </w:tcPr>
          <w:p w14:paraId="29906B86"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172.16 (153.60-190.73)</w:t>
            </w:r>
          </w:p>
        </w:tc>
      </w:tr>
      <w:tr w:rsidR="00DD1899" w:rsidRPr="00A63CA5" w14:paraId="1C582E96" w14:textId="77777777" w:rsidTr="00705FBB">
        <w:trPr>
          <w:trHeight w:val="454"/>
        </w:trPr>
        <w:tc>
          <w:tcPr>
            <w:tcW w:w="1851" w:type="dxa"/>
            <w:tcBorders>
              <w:top w:val="nil"/>
              <w:left w:val="nil"/>
              <w:bottom w:val="nil"/>
              <w:right w:val="nil"/>
            </w:tcBorders>
            <w:vAlign w:val="center"/>
          </w:tcPr>
          <w:p w14:paraId="4BD836BD" w14:textId="28B1E0EC" w:rsidR="00C426E4" w:rsidRPr="00754C98" w:rsidRDefault="00D9311B"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MD</w:t>
            </w:r>
            <w:r w:rsidR="00C426E4" w:rsidRPr="00754C98">
              <w:rPr>
                <w:rFonts w:ascii="Times New Roman" w:hAnsi="Times New Roman" w:cs="Times New Roman"/>
                <w:b/>
                <w:bCs/>
                <w:sz w:val="15"/>
                <w:szCs w:val="15"/>
              </w:rPr>
              <w:t>F-SOL*</w:t>
            </w:r>
            <w:r w:rsidR="00DD1899" w:rsidRPr="00754C98">
              <w:rPr>
                <w:rFonts w:ascii="Times New Roman" w:hAnsi="Times New Roman" w:cs="Times New Roman"/>
                <w:b/>
                <w:bCs/>
                <w:sz w:val="15"/>
                <w:szCs w:val="15"/>
              </w:rPr>
              <w:t xml:space="preserve"> </w:t>
            </w:r>
            <w:r w:rsidR="00C426E4" w:rsidRPr="00754C98">
              <w:rPr>
                <w:rFonts w:ascii="Times New Roman" w:hAnsi="Times New Roman" w:cs="Times New Roman"/>
                <w:b/>
                <w:bCs/>
                <w:sz w:val="15"/>
                <w:szCs w:val="15"/>
              </w:rPr>
              <w:t>(Hz)</w:t>
            </w:r>
          </w:p>
        </w:tc>
        <w:tc>
          <w:tcPr>
            <w:tcW w:w="1714" w:type="dxa"/>
            <w:tcBorders>
              <w:top w:val="nil"/>
              <w:left w:val="nil"/>
              <w:bottom w:val="nil"/>
              <w:right w:val="nil"/>
            </w:tcBorders>
            <w:vAlign w:val="center"/>
          </w:tcPr>
          <w:p w14:paraId="40B8D4E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176.10 (166.60-185.60)</w:t>
            </w:r>
          </w:p>
        </w:tc>
        <w:tc>
          <w:tcPr>
            <w:tcW w:w="1757" w:type="dxa"/>
            <w:tcBorders>
              <w:top w:val="nil"/>
              <w:left w:val="nil"/>
              <w:bottom w:val="nil"/>
              <w:right w:val="nil"/>
            </w:tcBorders>
            <w:vAlign w:val="center"/>
          </w:tcPr>
          <w:p w14:paraId="0DCCF033"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166.62 (151.90-</w:t>
            </w:r>
            <w:r w:rsidRPr="00754C98">
              <w:rPr>
                <w:rFonts w:ascii="Arial" w:hAnsi="Arial" w:cs="Arial"/>
                <w:color w:val="000000"/>
                <w:kern w:val="0"/>
                <w:sz w:val="15"/>
                <w:szCs w:val="15"/>
              </w:rPr>
              <w:t xml:space="preserve"> </w:t>
            </w:r>
            <w:r w:rsidRPr="00754C98">
              <w:rPr>
                <w:rFonts w:ascii="Times New Roman" w:hAnsi="Times New Roman" w:cs="Times New Roman"/>
                <w:sz w:val="15"/>
                <w:szCs w:val="15"/>
              </w:rPr>
              <w:t>181.34)</w:t>
            </w:r>
          </w:p>
        </w:tc>
        <w:tc>
          <w:tcPr>
            <w:tcW w:w="1716" w:type="dxa"/>
            <w:tcBorders>
              <w:top w:val="nil"/>
              <w:left w:val="nil"/>
              <w:bottom w:val="nil"/>
              <w:right w:val="nil"/>
            </w:tcBorders>
            <w:vAlign w:val="center"/>
          </w:tcPr>
          <w:p w14:paraId="0A278A2E"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149.55 (165.19-183.80)</w:t>
            </w:r>
          </w:p>
        </w:tc>
        <w:tc>
          <w:tcPr>
            <w:tcW w:w="1758" w:type="dxa"/>
            <w:tcBorders>
              <w:top w:val="nil"/>
              <w:left w:val="nil"/>
              <w:bottom w:val="nil"/>
              <w:right w:val="nil"/>
            </w:tcBorders>
            <w:vAlign w:val="center"/>
          </w:tcPr>
          <w:p w14:paraId="29ECBC49"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172.50 (161.85-</w:t>
            </w:r>
            <w:r w:rsidRPr="00754C98">
              <w:rPr>
                <w:rFonts w:ascii="Arial" w:hAnsi="Arial" w:cs="Arial"/>
                <w:color w:val="000000"/>
                <w:kern w:val="0"/>
                <w:sz w:val="15"/>
                <w:szCs w:val="15"/>
              </w:rPr>
              <w:t xml:space="preserve"> </w:t>
            </w:r>
            <w:r w:rsidRPr="00754C98">
              <w:rPr>
                <w:rFonts w:ascii="Times New Roman" w:hAnsi="Times New Roman" w:cs="Times New Roman"/>
                <w:sz w:val="15"/>
                <w:szCs w:val="15"/>
              </w:rPr>
              <w:t>183.14)</w:t>
            </w:r>
          </w:p>
        </w:tc>
        <w:tc>
          <w:tcPr>
            <w:tcW w:w="1716" w:type="dxa"/>
            <w:tcBorders>
              <w:top w:val="nil"/>
              <w:left w:val="nil"/>
              <w:bottom w:val="nil"/>
              <w:right w:val="nil"/>
            </w:tcBorders>
            <w:vAlign w:val="center"/>
          </w:tcPr>
          <w:p w14:paraId="7A00117C"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174.99 (165.59-184.39)</w:t>
            </w:r>
          </w:p>
        </w:tc>
        <w:tc>
          <w:tcPr>
            <w:tcW w:w="1758" w:type="dxa"/>
            <w:tcBorders>
              <w:top w:val="nil"/>
              <w:left w:val="nil"/>
              <w:bottom w:val="nil"/>
              <w:right w:val="nil"/>
            </w:tcBorders>
            <w:vAlign w:val="center"/>
          </w:tcPr>
          <w:p w14:paraId="6FABC17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181.25 (173.16-</w:t>
            </w:r>
            <w:r w:rsidRPr="00754C98">
              <w:rPr>
                <w:rFonts w:ascii="Arial" w:hAnsi="Arial" w:cs="Arial"/>
                <w:color w:val="000000"/>
                <w:kern w:val="0"/>
                <w:sz w:val="15"/>
                <w:szCs w:val="15"/>
              </w:rPr>
              <w:t xml:space="preserve"> </w:t>
            </w:r>
            <w:r w:rsidRPr="00754C98">
              <w:rPr>
                <w:rFonts w:ascii="Times New Roman" w:hAnsi="Times New Roman" w:cs="Times New Roman"/>
                <w:sz w:val="15"/>
                <w:szCs w:val="15"/>
              </w:rPr>
              <w:t>189.35)</w:t>
            </w:r>
          </w:p>
        </w:tc>
        <w:tc>
          <w:tcPr>
            <w:tcW w:w="1654" w:type="dxa"/>
            <w:tcBorders>
              <w:top w:val="nil"/>
              <w:left w:val="nil"/>
              <w:bottom w:val="nil"/>
              <w:right w:val="nil"/>
            </w:tcBorders>
            <w:vAlign w:val="center"/>
          </w:tcPr>
          <w:p w14:paraId="2B2B244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174.49 (165.19-183.80)</w:t>
            </w:r>
          </w:p>
        </w:tc>
        <w:tc>
          <w:tcPr>
            <w:tcW w:w="1474" w:type="dxa"/>
            <w:tcBorders>
              <w:top w:val="nil"/>
              <w:left w:val="nil"/>
              <w:bottom w:val="nil"/>
              <w:right w:val="nil"/>
            </w:tcBorders>
            <w:vAlign w:val="center"/>
          </w:tcPr>
          <w:p w14:paraId="311C0E2A" w14:textId="26054C0F"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167.17 (158.11-176.24)</w:t>
            </w:r>
          </w:p>
        </w:tc>
      </w:tr>
      <w:tr w:rsidR="00DD1899" w:rsidRPr="00A63CA5" w14:paraId="5B43A3E7" w14:textId="77777777" w:rsidTr="00705FBB">
        <w:trPr>
          <w:trHeight w:val="454"/>
        </w:trPr>
        <w:tc>
          <w:tcPr>
            <w:tcW w:w="1851" w:type="dxa"/>
            <w:tcBorders>
              <w:top w:val="nil"/>
              <w:left w:val="nil"/>
              <w:bottom w:val="nil"/>
              <w:right w:val="nil"/>
            </w:tcBorders>
            <w:vAlign w:val="center"/>
          </w:tcPr>
          <w:p w14:paraId="0CE49961" w14:textId="30A8817A"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H-reflex-GL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(mA)</w:t>
            </w:r>
          </w:p>
        </w:tc>
        <w:tc>
          <w:tcPr>
            <w:tcW w:w="1714" w:type="dxa"/>
            <w:tcBorders>
              <w:top w:val="nil"/>
              <w:left w:val="nil"/>
              <w:bottom w:val="nil"/>
              <w:right w:val="nil"/>
            </w:tcBorders>
            <w:vAlign w:val="center"/>
          </w:tcPr>
          <w:p w14:paraId="38DCDE3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0.94 (0.77-1.12)</w:t>
            </w:r>
          </w:p>
        </w:tc>
        <w:tc>
          <w:tcPr>
            <w:tcW w:w="1757" w:type="dxa"/>
            <w:tcBorders>
              <w:top w:val="nil"/>
              <w:left w:val="nil"/>
              <w:bottom w:val="nil"/>
              <w:right w:val="nil"/>
            </w:tcBorders>
            <w:vAlign w:val="center"/>
          </w:tcPr>
          <w:p w14:paraId="0C46358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0.88 (0.72-1.05)</w:t>
            </w:r>
          </w:p>
        </w:tc>
        <w:tc>
          <w:tcPr>
            <w:tcW w:w="1716" w:type="dxa"/>
            <w:tcBorders>
              <w:top w:val="nil"/>
              <w:left w:val="nil"/>
              <w:bottom w:val="nil"/>
              <w:right w:val="nil"/>
            </w:tcBorders>
            <w:vAlign w:val="center"/>
          </w:tcPr>
          <w:p w14:paraId="7C81644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0.95 (0.75-1.14)</w:t>
            </w:r>
          </w:p>
        </w:tc>
        <w:tc>
          <w:tcPr>
            <w:tcW w:w="1758" w:type="dxa"/>
            <w:tcBorders>
              <w:top w:val="nil"/>
              <w:left w:val="nil"/>
              <w:bottom w:val="nil"/>
              <w:right w:val="nil"/>
            </w:tcBorders>
            <w:vAlign w:val="center"/>
          </w:tcPr>
          <w:p w14:paraId="0AF19E0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0.85 (0.68-1.02)</w:t>
            </w:r>
          </w:p>
        </w:tc>
        <w:tc>
          <w:tcPr>
            <w:tcW w:w="1716" w:type="dxa"/>
            <w:tcBorders>
              <w:top w:val="nil"/>
              <w:left w:val="nil"/>
              <w:bottom w:val="nil"/>
              <w:right w:val="nil"/>
            </w:tcBorders>
            <w:vAlign w:val="center"/>
          </w:tcPr>
          <w:p w14:paraId="7248A4C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0.92 (0.76-1.08)</w:t>
            </w:r>
          </w:p>
        </w:tc>
        <w:tc>
          <w:tcPr>
            <w:tcW w:w="1758" w:type="dxa"/>
            <w:tcBorders>
              <w:top w:val="nil"/>
              <w:left w:val="nil"/>
              <w:bottom w:val="nil"/>
              <w:right w:val="nil"/>
            </w:tcBorders>
            <w:vAlign w:val="center"/>
          </w:tcPr>
          <w:p w14:paraId="67E704A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0.86 (0.72-0.99)</w:t>
            </w:r>
          </w:p>
        </w:tc>
        <w:tc>
          <w:tcPr>
            <w:tcW w:w="1654" w:type="dxa"/>
            <w:tcBorders>
              <w:top w:val="nil"/>
              <w:left w:val="nil"/>
              <w:bottom w:val="nil"/>
              <w:right w:val="nil"/>
            </w:tcBorders>
            <w:vAlign w:val="center"/>
          </w:tcPr>
          <w:p w14:paraId="24AAF6F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0.84 (0.71-0.96)</w:t>
            </w:r>
          </w:p>
        </w:tc>
        <w:tc>
          <w:tcPr>
            <w:tcW w:w="1474" w:type="dxa"/>
            <w:tcBorders>
              <w:top w:val="nil"/>
              <w:left w:val="nil"/>
              <w:bottom w:val="nil"/>
              <w:right w:val="nil"/>
            </w:tcBorders>
            <w:vAlign w:val="center"/>
          </w:tcPr>
          <w:p w14:paraId="4DD0B885"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0.81 (0.69-0.93)</w:t>
            </w:r>
          </w:p>
        </w:tc>
      </w:tr>
      <w:tr w:rsidR="00DD1899" w:rsidRPr="00A63CA5" w14:paraId="40CAC036" w14:textId="77777777" w:rsidTr="00705FBB">
        <w:trPr>
          <w:trHeight w:val="454"/>
        </w:trPr>
        <w:tc>
          <w:tcPr>
            <w:tcW w:w="1851" w:type="dxa"/>
            <w:tcBorders>
              <w:top w:val="nil"/>
              <w:left w:val="nil"/>
              <w:bottom w:val="nil"/>
              <w:right w:val="nil"/>
            </w:tcBorders>
            <w:vAlign w:val="center"/>
          </w:tcPr>
          <w:p w14:paraId="797E4684" w14:textId="5FC2939D"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M wave-GL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(mA)</w:t>
            </w:r>
          </w:p>
        </w:tc>
        <w:tc>
          <w:tcPr>
            <w:tcW w:w="1714" w:type="dxa"/>
            <w:tcBorders>
              <w:top w:val="nil"/>
              <w:left w:val="nil"/>
              <w:bottom w:val="nil"/>
              <w:right w:val="nil"/>
            </w:tcBorders>
            <w:vAlign w:val="center"/>
          </w:tcPr>
          <w:p w14:paraId="7C6437CD"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3.54 (3.01-4.08)</w:t>
            </w:r>
          </w:p>
        </w:tc>
        <w:tc>
          <w:tcPr>
            <w:tcW w:w="1757" w:type="dxa"/>
            <w:tcBorders>
              <w:top w:val="nil"/>
              <w:left w:val="nil"/>
              <w:bottom w:val="nil"/>
              <w:right w:val="nil"/>
            </w:tcBorders>
            <w:vAlign w:val="center"/>
          </w:tcPr>
          <w:p w14:paraId="2BBDAB6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3.12 (2.56-3.68)</w:t>
            </w:r>
          </w:p>
        </w:tc>
        <w:tc>
          <w:tcPr>
            <w:tcW w:w="1716" w:type="dxa"/>
            <w:tcBorders>
              <w:top w:val="nil"/>
              <w:left w:val="nil"/>
              <w:bottom w:val="nil"/>
              <w:right w:val="nil"/>
            </w:tcBorders>
            <w:vAlign w:val="center"/>
          </w:tcPr>
          <w:p w14:paraId="266693D2"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3.92 (3.43-4.41)</w:t>
            </w:r>
          </w:p>
        </w:tc>
        <w:tc>
          <w:tcPr>
            <w:tcW w:w="1758" w:type="dxa"/>
            <w:tcBorders>
              <w:top w:val="nil"/>
              <w:left w:val="nil"/>
              <w:bottom w:val="nil"/>
              <w:right w:val="nil"/>
            </w:tcBorders>
            <w:vAlign w:val="center"/>
          </w:tcPr>
          <w:p w14:paraId="4841B89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3.42 (3.01-3.82)</w:t>
            </w:r>
          </w:p>
        </w:tc>
        <w:tc>
          <w:tcPr>
            <w:tcW w:w="1716" w:type="dxa"/>
            <w:tcBorders>
              <w:top w:val="nil"/>
              <w:left w:val="nil"/>
              <w:bottom w:val="nil"/>
              <w:right w:val="nil"/>
            </w:tcBorders>
            <w:vAlign w:val="center"/>
          </w:tcPr>
          <w:p w14:paraId="1C53D991"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3.84 (3.28-4.40)</w:t>
            </w:r>
          </w:p>
        </w:tc>
        <w:tc>
          <w:tcPr>
            <w:tcW w:w="1758" w:type="dxa"/>
            <w:tcBorders>
              <w:top w:val="nil"/>
              <w:left w:val="nil"/>
              <w:bottom w:val="nil"/>
              <w:right w:val="nil"/>
            </w:tcBorders>
            <w:vAlign w:val="center"/>
          </w:tcPr>
          <w:p w14:paraId="57CE5F8C"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3.72 (3.15-4.29)</w:t>
            </w:r>
          </w:p>
        </w:tc>
        <w:tc>
          <w:tcPr>
            <w:tcW w:w="1654" w:type="dxa"/>
            <w:tcBorders>
              <w:top w:val="nil"/>
              <w:left w:val="nil"/>
              <w:bottom w:val="nil"/>
              <w:right w:val="nil"/>
            </w:tcBorders>
            <w:vAlign w:val="center"/>
          </w:tcPr>
          <w:p w14:paraId="23346FD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3.90 (3.34-4.45)</w:t>
            </w:r>
          </w:p>
        </w:tc>
        <w:tc>
          <w:tcPr>
            <w:tcW w:w="1474" w:type="dxa"/>
            <w:tcBorders>
              <w:top w:val="nil"/>
              <w:left w:val="nil"/>
              <w:bottom w:val="nil"/>
              <w:right w:val="nil"/>
            </w:tcBorders>
            <w:vAlign w:val="center"/>
          </w:tcPr>
          <w:p w14:paraId="2DB2D60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3.71 (3.20-4.22)</w:t>
            </w:r>
          </w:p>
        </w:tc>
      </w:tr>
      <w:tr w:rsidR="00DD1899" w:rsidRPr="00A63CA5" w14:paraId="31E02DC4" w14:textId="77777777" w:rsidTr="00705FBB">
        <w:trPr>
          <w:trHeight w:val="454"/>
        </w:trPr>
        <w:tc>
          <w:tcPr>
            <w:tcW w:w="1851" w:type="dxa"/>
            <w:tcBorders>
              <w:top w:val="nil"/>
              <w:left w:val="nil"/>
              <w:bottom w:val="nil"/>
              <w:right w:val="nil"/>
            </w:tcBorders>
            <w:vAlign w:val="center"/>
          </w:tcPr>
          <w:p w14:paraId="0482C199" w14:textId="22FB46D0"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Hmax/Mmax-GL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(mA)</w:t>
            </w:r>
          </w:p>
        </w:tc>
        <w:tc>
          <w:tcPr>
            <w:tcW w:w="1714" w:type="dxa"/>
            <w:tcBorders>
              <w:top w:val="nil"/>
              <w:left w:val="nil"/>
              <w:bottom w:val="nil"/>
              <w:right w:val="nil"/>
            </w:tcBorders>
            <w:vAlign w:val="center"/>
          </w:tcPr>
          <w:p w14:paraId="2749BA7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0.32 (0.25-0.39)</w:t>
            </w:r>
          </w:p>
        </w:tc>
        <w:tc>
          <w:tcPr>
            <w:tcW w:w="1757" w:type="dxa"/>
            <w:tcBorders>
              <w:top w:val="nil"/>
              <w:left w:val="nil"/>
              <w:bottom w:val="nil"/>
              <w:right w:val="nil"/>
            </w:tcBorders>
            <w:vAlign w:val="center"/>
          </w:tcPr>
          <w:p w14:paraId="52831D5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0.35 (0.27-0.42)</w:t>
            </w:r>
          </w:p>
        </w:tc>
        <w:tc>
          <w:tcPr>
            <w:tcW w:w="1716" w:type="dxa"/>
            <w:tcBorders>
              <w:top w:val="nil"/>
              <w:left w:val="nil"/>
              <w:bottom w:val="nil"/>
              <w:right w:val="nil"/>
            </w:tcBorders>
            <w:vAlign w:val="center"/>
          </w:tcPr>
          <w:p w14:paraId="0B08FEE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0.26 (0.21-0.32)</w:t>
            </w:r>
          </w:p>
        </w:tc>
        <w:tc>
          <w:tcPr>
            <w:tcW w:w="1758" w:type="dxa"/>
            <w:tcBorders>
              <w:top w:val="nil"/>
              <w:left w:val="nil"/>
              <w:bottom w:val="nil"/>
              <w:right w:val="nil"/>
            </w:tcBorders>
            <w:vAlign w:val="center"/>
          </w:tcPr>
          <w:p w14:paraId="7327A028"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0.27 (0.21-0.32)</w:t>
            </w:r>
          </w:p>
        </w:tc>
        <w:tc>
          <w:tcPr>
            <w:tcW w:w="1716" w:type="dxa"/>
            <w:tcBorders>
              <w:top w:val="nil"/>
              <w:left w:val="nil"/>
              <w:bottom w:val="nil"/>
              <w:right w:val="nil"/>
            </w:tcBorders>
            <w:vAlign w:val="center"/>
          </w:tcPr>
          <w:p w14:paraId="5238203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0.29 (0.22-0.37)</w:t>
            </w:r>
          </w:p>
        </w:tc>
        <w:tc>
          <w:tcPr>
            <w:tcW w:w="1758" w:type="dxa"/>
            <w:tcBorders>
              <w:top w:val="nil"/>
              <w:left w:val="nil"/>
              <w:bottom w:val="nil"/>
              <w:right w:val="nil"/>
            </w:tcBorders>
            <w:vAlign w:val="center"/>
          </w:tcPr>
          <w:p w14:paraId="4E396175"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0.28 (0.22-0.34)</w:t>
            </w:r>
          </w:p>
        </w:tc>
        <w:tc>
          <w:tcPr>
            <w:tcW w:w="1654" w:type="dxa"/>
            <w:tcBorders>
              <w:top w:val="nil"/>
              <w:left w:val="nil"/>
              <w:bottom w:val="nil"/>
              <w:right w:val="nil"/>
            </w:tcBorders>
            <w:vAlign w:val="center"/>
          </w:tcPr>
          <w:p w14:paraId="0A5CA02C"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0.26 (0.20-0.32)</w:t>
            </w:r>
          </w:p>
        </w:tc>
        <w:tc>
          <w:tcPr>
            <w:tcW w:w="1474" w:type="dxa"/>
            <w:tcBorders>
              <w:top w:val="nil"/>
              <w:left w:val="nil"/>
              <w:bottom w:val="nil"/>
              <w:right w:val="nil"/>
            </w:tcBorders>
            <w:vAlign w:val="center"/>
          </w:tcPr>
          <w:p w14:paraId="1E796338"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0.25 (0.20-0.29)</w:t>
            </w:r>
          </w:p>
        </w:tc>
      </w:tr>
      <w:tr w:rsidR="00DD1899" w:rsidRPr="00A63CA5" w14:paraId="37523BE5" w14:textId="77777777" w:rsidTr="00705FBB">
        <w:trPr>
          <w:trHeight w:val="454"/>
        </w:trPr>
        <w:tc>
          <w:tcPr>
            <w:tcW w:w="1851" w:type="dxa"/>
            <w:tcBorders>
              <w:top w:val="nil"/>
              <w:left w:val="nil"/>
              <w:bottom w:val="nil"/>
              <w:right w:val="nil"/>
            </w:tcBorders>
            <w:vAlign w:val="center"/>
          </w:tcPr>
          <w:p w14:paraId="79F80E99" w14:textId="33800E3E"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H-reflex-SOL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(mA)</w:t>
            </w:r>
          </w:p>
        </w:tc>
        <w:tc>
          <w:tcPr>
            <w:tcW w:w="1714" w:type="dxa"/>
            <w:tcBorders>
              <w:top w:val="nil"/>
              <w:left w:val="nil"/>
              <w:bottom w:val="nil"/>
              <w:right w:val="nil"/>
            </w:tcBorders>
            <w:vAlign w:val="center"/>
          </w:tcPr>
          <w:p w14:paraId="3C54F972"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3.14 (2.64-3.64)</w:t>
            </w:r>
          </w:p>
        </w:tc>
        <w:tc>
          <w:tcPr>
            <w:tcW w:w="1757" w:type="dxa"/>
            <w:tcBorders>
              <w:top w:val="nil"/>
              <w:left w:val="nil"/>
              <w:bottom w:val="nil"/>
              <w:right w:val="nil"/>
            </w:tcBorders>
            <w:vAlign w:val="center"/>
          </w:tcPr>
          <w:p w14:paraId="22F26800"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3.07 (2.60-3.54)</w:t>
            </w:r>
          </w:p>
        </w:tc>
        <w:tc>
          <w:tcPr>
            <w:tcW w:w="1716" w:type="dxa"/>
            <w:tcBorders>
              <w:top w:val="nil"/>
              <w:left w:val="nil"/>
              <w:bottom w:val="nil"/>
              <w:right w:val="nil"/>
            </w:tcBorders>
            <w:vAlign w:val="center"/>
          </w:tcPr>
          <w:p w14:paraId="488C9CD2"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3.11 (2.68-3.53)</w:t>
            </w:r>
          </w:p>
        </w:tc>
        <w:tc>
          <w:tcPr>
            <w:tcW w:w="1758" w:type="dxa"/>
            <w:tcBorders>
              <w:top w:val="nil"/>
              <w:left w:val="nil"/>
              <w:bottom w:val="nil"/>
              <w:right w:val="nil"/>
            </w:tcBorders>
            <w:vAlign w:val="center"/>
          </w:tcPr>
          <w:p w14:paraId="5568EF71"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3.11 (2.69-3.52)</w:t>
            </w:r>
          </w:p>
        </w:tc>
        <w:tc>
          <w:tcPr>
            <w:tcW w:w="1716" w:type="dxa"/>
            <w:tcBorders>
              <w:top w:val="nil"/>
              <w:left w:val="nil"/>
              <w:bottom w:val="nil"/>
              <w:right w:val="nil"/>
            </w:tcBorders>
            <w:vAlign w:val="center"/>
          </w:tcPr>
          <w:p w14:paraId="35B6A302"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3.15 (2.66-3.64)</w:t>
            </w:r>
          </w:p>
        </w:tc>
        <w:tc>
          <w:tcPr>
            <w:tcW w:w="1758" w:type="dxa"/>
            <w:tcBorders>
              <w:top w:val="nil"/>
              <w:left w:val="nil"/>
              <w:bottom w:val="nil"/>
              <w:right w:val="nil"/>
            </w:tcBorders>
            <w:vAlign w:val="center"/>
          </w:tcPr>
          <w:p w14:paraId="3A985F3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3.19 (2.71-3.67)</w:t>
            </w:r>
          </w:p>
        </w:tc>
        <w:tc>
          <w:tcPr>
            <w:tcW w:w="1654" w:type="dxa"/>
            <w:tcBorders>
              <w:top w:val="nil"/>
              <w:left w:val="nil"/>
              <w:bottom w:val="nil"/>
              <w:right w:val="nil"/>
            </w:tcBorders>
            <w:vAlign w:val="center"/>
          </w:tcPr>
          <w:p w14:paraId="02899282"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2.79 (2.41-3.18)</w:t>
            </w:r>
          </w:p>
        </w:tc>
        <w:tc>
          <w:tcPr>
            <w:tcW w:w="1474" w:type="dxa"/>
            <w:tcBorders>
              <w:top w:val="nil"/>
              <w:left w:val="nil"/>
              <w:bottom w:val="nil"/>
              <w:right w:val="nil"/>
            </w:tcBorders>
            <w:vAlign w:val="center"/>
          </w:tcPr>
          <w:p w14:paraId="72C62A50"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2.98 (2.59-3.37)</w:t>
            </w:r>
          </w:p>
        </w:tc>
      </w:tr>
      <w:tr w:rsidR="00DD1899" w:rsidRPr="00A63CA5" w14:paraId="47DD777A" w14:textId="77777777" w:rsidTr="00705FBB">
        <w:trPr>
          <w:trHeight w:val="454"/>
        </w:trPr>
        <w:tc>
          <w:tcPr>
            <w:tcW w:w="1851" w:type="dxa"/>
            <w:tcBorders>
              <w:top w:val="nil"/>
              <w:left w:val="nil"/>
              <w:bottom w:val="nil"/>
              <w:right w:val="nil"/>
            </w:tcBorders>
            <w:vAlign w:val="center"/>
          </w:tcPr>
          <w:p w14:paraId="198EE521" w14:textId="6880C8EF"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M wave-SOL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(mA)</w:t>
            </w:r>
          </w:p>
        </w:tc>
        <w:tc>
          <w:tcPr>
            <w:tcW w:w="1714" w:type="dxa"/>
            <w:tcBorders>
              <w:top w:val="nil"/>
              <w:left w:val="nil"/>
              <w:bottom w:val="nil"/>
              <w:right w:val="nil"/>
            </w:tcBorders>
            <w:vAlign w:val="center"/>
          </w:tcPr>
          <w:p w14:paraId="19F8F410"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5.32 (4.63-6.02)</w:t>
            </w:r>
          </w:p>
        </w:tc>
        <w:tc>
          <w:tcPr>
            <w:tcW w:w="1757" w:type="dxa"/>
            <w:tcBorders>
              <w:top w:val="nil"/>
              <w:left w:val="nil"/>
              <w:bottom w:val="nil"/>
              <w:right w:val="nil"/>
            </w:tcBorders>
            <w:vAlign w:val="center"/>
          </w:tcPr>
          <w:p w14:paraId="7EB7D1D1"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5.45 (4.75-6.15)</w:t>
            </w:r>
          </w:p>
        </w:tc>
        <w:tc>
          <w:tcPr>
            <w:tcW w:w="1716" w:type="dxa"/>
            <w:tcBorders>
              <w:top w:val="nil"/>
              <w:left w:val="nil"/>
              <w:bottom w:val="nil"/>
              <w:right w:val="nil"/>
            </w:tcBorders>
            <w:vAlign w:val="center"/>
          </w:tcPr>
          <w:p w14:paraId="6CF92E1E"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5.34 (4.77-5.90)</w:t>
            </w:r>
          </w:p>
        </w:tc>
        <w:tc>
          <w:tcPr>
            <w:tcW w:w="1758" w:type="dxa"/>
            <w:tcBorders>
              <w:top w:val="nil"/>
              <w:left w:val="nil"/>
              <w:bottom w:val="nil"/>
              <w:right w:val="nil"/>
            </w:tcBorders>
            <w:vAlign w:val="center"/>
          </w:tcPr>
          <w:p w14:paraId="2E6B2405"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5.38 (4.78-5.97)</w:t>
            </w:r>
          </w:p>
        </w:tc>
        <w:tc>
          <w:tcPr>
            <w:tcW w:w="1716" w:type="dxa"/>
            <w:tcBorders>
              <w:top w:val="nil"/>
              <w:left w:val="nil"/>
              <w:bottom w:val="nil"/>
              <w:right w:val="nil"/>
            </w:tcBorders>
            <w:vAlign w:val="center"/>
          </w:tcPr>
          <w:p w14:paraId="57E80116" w14:textId="087C5CEB"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5.53</w:t>
            </w:r>
            <w:r w:rsidR="00DD1899" w:rsidRPr="00754C98">
              <w:rPr>
                <w:rFonts w:ascii="Times New Roman" w:hAnsi="Times New Roman" w:cs="Times New Roman"/>
                <w:sz w:val="15"/>
                <w:szCs w:val="15"/>
              </w:rPr>
              <w:t xml:space="preserve"> </w:t>
            </w:r>
            <w:r w:rsidRPr="00754C98">
              <w:rPr>
                <w:rFonts w:ascii="Times New Roman" w:hAnsi="Times New Roman" w:cs="Times New Roman"/>
                <w:sz w:val="15"/>
                <w:szCs w:val="15"/>
              </w:rPr>
              <w:t>(4.85-6.21)</w:t>
            </w:r>
          </w:p>
        </w:tc>
        <w:tc>
          <w:tcPr>
            <w:tcW w:w="1758" w:type="dxa"/>
            <w:tcBorders>
              <w:top w:val="nil"/>
              <w:left w:val="nil"/>
              <w:bottom w:val="nil"/>
              <w:right w:val="nil"/>
            </w:tcBorders>
            <w:vAlign w:val="center"/>
          </w:tcPr>
          <w:p w14:paraId="7A7E90C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5.68 (5.01-6.34)</w:t>
            </w:r>
          </w:p>
        </w:tc>
        <w:tc>
          <w:tcPr>
            <w:tcW w:w="1654" w:type="dxa"/>
            <w:tcBorders>
              <w:top w:val="nil"/>
              <w:left w:val="nil"/>
              <w:bottom w:val="nil"/>
              <w:right w:val="nil"/>
            </w:tcBorders>
            <w:vAlign w:val="center"/>
          </w:tcPr>
          <w:p w14:paraId="64849EFF"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5.23 (4.58-5.88)</w:t>
            </w:r>
          </w:p>
        </w:tc>
        <w:tc>
          <w:tcPr>
            <w:tcW w:w="1474" w:type="dxa"/>
            <w:tcBorders>
              <w:top w:val="nil"/>
              <w:left w:val="nil"/>
              <w:bottom w:val="nil"/>
              <w:right w:val="nil"/>
            </w:tcBorders>
            <w:vAlign w:val="center"/>
          </w:tcPr>
          <w:p w14:paraId="4ED476C6"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5.39 (4.80-5.99)</w:t>
            </w:r>
          </w:p>
        </w:tc>
      </w:tr>
      <w:tr w:rsidR="00DD1899" w:rsidRPr="00A63CA5" w14:paraId="7E21EC90" w14:textId="77777777" w:rsidTr="00705FBB">
        <w:trPr>
          <w:trHeight w:val="454"/>
        </w:trPr>
        <w:tc>
          <w:tcPr>
            <w:tcW w:w="1851" w:type="dxa"/>
            <w:tcBorders>
              <w:top w:val="nil"/>
              <w:left w:val="nil"/>
              <w:bottom w:val="nil"/>
              <w:right w:val="nil"/>
            </w:tcBorders>
            <w:vAlign w:val="center"/>
          </w:tcPr>
          <w:p w14:paraId="0E377BC7" w14:textId="36BE298A"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Hmax/Mmax-SOL</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(mA)</w:t>
            </w:r>
          </w:p>
        </w:tc>
        <w:tc>
          <w:tcPr>
            <w:tcW w:w="1714" w:type="dxa"/>
            <w:tcBorders>
              <w:top w:val="nil"/>
              <w:left w:val="nil"/>
              <w:bottom w:val="nil"/>
              <w:right w:val="nil"/>
            </w:tcBorders>
            <w:vAlign w:val="center"/>
          </w:tcPr>
          <w:p w14:paraId="0194479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0.61 (0.53-0.68)</w:t>
            </w:r>
          </w:p>
        </w:tc>
        <w:tc>
          <w:tcPr>
            <w:tcW w:w="1757" w:type="dxa"/>
            <w:tcBorders>
              <w:top w:val="nil"/>
              <w:left w:val="nil"/>
              <w:bottom w:val="nil"/>
              <w:right w:val="nil"/>
            </w:tcBorders>
            <w:vAlign w:val="center"/>
          </w:tcPr>
          <w:p w14:paraId="308ABAC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0.59 (0.51-0.67)</w:t>
            </w:r>
          </w:p>
        </w:tc>
        <w:tc>
          <w:tcPr>
            <w:tcW w:w="1716" w:type="dxa"/>
            <w:tcBorders>
              <w:top w:val="nil"/>
              <w:left w:val="nil"/>
              <w:bottom w:val="nil"/>
              <w:right w:val="nil"/>
            </w:tcBorders>
            <w:vAlign w:val="center"/>
          </w:tcPr>
          <w:p w14:paraId="552C3F1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0.58 (0.52-0.64)</w:t>
            </w:r>
          </w:p>
        </w:tc>
        <w:tc>
          <w:tcPr>
            <w:tcW w:w="1758" w:type="dxa"/>
            <w:tcBorders>
              <w:top w:val="nil"/>
              <w:left w:val="nil"/>
              <w:bottom w:val="nil"/>
              <w:right w:val="nil"/>
            </w:tcBorders>
            <w:vAlign w:val="center"/>
          </w:tcPr>
          <w:p w14:paraId="1D7DD9D9"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0.58 (0.52-0.64)</w:t>
            </w:r>
          </w:p>
        </w:tc>
        <w:tc>
          <w:tcPr>
            <w:tcW w:w="1716" w:type="dxa"/>
            <w:tcBorders>
              <w:top w:val="nil"/>
              <w:left w:val="nil"/>
              <w:bottom w:val="nil"/>
              <w:right w:val="nil"/>
            </w:tcBorders>
            <w:vAlign w:val="center"/>
          </w:tcPr>
          <w:p w14:paraId="001B0C5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0.58 (0.52-0.65)</w:t>
            </w:r>
          </w:p>
        </w:tc>
        <w:tc>
          <w:tcPr>
            <w:tcW w:w="1758" w:type="dxa"/>
            <w:tcBorders>
              <w:top w:val="nil"/>
              <w:left w:val="nil"/>
              <w:bottom w:val="nil"/>
              <w:right w:val="nil"/>
            </w:tcBorders>
            <w:vAlign w:val="center"/>
          </w:tcPr>
          <w:p w14:paraId="28B5030E"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0.58 (0.51-0.65)</w:t>
            </w:r>
          </w:p>
        </w:tc>
        <w:tc>
          <w:tcPr>
            <w:tcW w:w="1654" w:type="dxa"/>
            <w:tcBorders>
              <w:top w:val="nil"/>
              <w:left w:val="nil"/>
              <w:bottom w:val="nil"/>
              <w:right w:val="nil"/>
            </w:tcBorders>
            <w:vAlign w:val="center"/>
          </w:tcPr>
          <w:p w14:paraId="4342F253"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0.57 (0.50-0.64)</w:t>
            </w:r>
          </w:p>
        </w:tc>
        <w:tc>
          <w:tcPr>
            <w:tcW w:w="1474" w:type="dxa"/>
            <w:tcBorders>
              <w:top w:val="nil"/>
              <w:left w:val="nil"/>
              <w:bottom w:val="nil"/>
              <w:right w:val="nil"/>
            </w:tcBorders>
            <w:vAlign w:val="center"/>
          </w:tcPr>
          <w:p w14:paraId="7A5731E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0.57 (0.50-0.64)</w:t>
            </w:r>
          </w:p>
        </w:tc>
      </w:tr>
      <w:tr w:rsidR="00DD1899" w:rsidRPr="00A63CA5" w14:paraId="500F4F40" w14:textId="77777777" w:rsidTr="00705FBB">
        <w:trPr>
          <w:trHeight w:val="454"/>
        </w:trPr>
        <w:tc>
          <w:tcPr>
            <w:tcW w:w="1851" w:type="dxa"/>
            <w:tcBorders>
              <w:top w:val="nil"/>
              <w:left w:val="nil"/>
              <w:bottom w:val="single" w:sz="4" w:space="0" w:color="auto"/>
              <w:right w:val="nil"/>
            </w:tcBorders>
            <w:vAlign w:val="center"/>
          </w:tcPr>
          <w:p w14:paraId="4086A9B3" w14:textId="67B835B8" w:rsidR="00C426E4" w:rsidRPr="00754C98" w:rsidRDefault="00C426E4" w:rsidP="00705FBB">
            <w:pPr>
              <w:spacing w:line="360" w:lineRule="auto"/>
              <w:jc w:val="center"/>
              <w:rPr>
                <w:rFonts w:ascii="Times New Roman" w:hAnsi="Times New Roman" w:cs="Times New Roman"/>
                <w:b/>
                <w:bCs/>
                <w:sz w:val="15"/>
                <w:szCs w:val="15"/>
              </w:rPr>
            </w:pPr>
            <w:r w:rsidRPr="00754C98">
              <w:rPr>
                <w:rFonts w:ascii="Times New Roman" w:hAnsi="Times New Roman" w:cs="Times New Roman"/>
                <w:b/>
                <w:bCs/>
                <w:sz w:val="15"/>
                <w:szCs w:val="15"/>
              </w:rPr>
              <w:t>CAR</w:t>
            </w:r>
            <w:r w:rsidR="00DD1899" w:rsidRPr="00754C98">
              <w:rPr>
                <w:rFonts w:ascii="Times New Roman" w:hAnsi="Times New Roman" w:cs="Times New Roman"/>
                <w:b/>
                <w:bCs/>
                <w:sz w:val="15"/>
                <w:szCs w:val="15"/>
              </w:rPr>
              <w:t xml:space="preserve"> </w:t>
            </w:r>
            <w:r w:rsidRPr="00754C98">
              <w:rPr>
                <w:rFonts w:ascii="Times New Roman" w:hAnsi="Times New Roman" w:cs="Times New Roman"/>
                <w:b/>
                <w:bCs/>
                <w:sz w:val="15"/>
                <w:szCs w:val="15"/>
              </w:rPr>
              <w:t>(%)</w:t>
            </w:r>
          </w:p>
        </w:tc>
        <w:tc>
          <w:tcPr>
            <w:tcW w:w="1714" w:type="dxa"/>
            <w:tcBorders>
              <w:top w:val="nil"/>
              <w:left w:val="nil"/>
              <w:bottom w:val="single" w:sz="4" w:space="0" w:color="auto"/>
              <w:right w:val="nil"/>
            </w:tcBorders>
            <w:vAlign w:val="center"/>
          </w:tcPr>
          <w:p w14:paraId="0929187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94.64 (91.64-97.65)</w:t>
            </w:r>
          </w:p>
        </w:tc>
        <w:tc>
          <w:tcPr>
            <w:tcW w:w="1757" w:type="dxa"/>
            <w:tcBorders>
              <w:top w:val="nil"/>
              <w:left w:val="nil"/>
              <w:bottom w:val="single" w:sz="4" w:space="0" w:color="auto"/>
              <w:right w:val="nil"/>
            </w:tcBorders>
            <w:vAlign w:val="center"/>
          </w:tcPr>
          <w:p w14:paraId="089C37F1"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93.41 (90.03-96.80)</w:t>
            </w:r>
          </w:p>
        </w:tc>
        <w:tc>
          <w:tcPr>
            <w:tcW w:w="1716" w:type="dxa"/>
            <w:tcBorders>
              <w:top w:val="nil"/>
              <w:left w:val="nil"/>
              <w:bottom w:val="single" w:sz="4" w:space="0" w:color="auto"/>
              <w:right w:val="nil"/>
            </w:tcBorders>
            <w:vAlign w:val="center"/>
          </w:tcPr>
          <w:p w14:paraId="6C1AE08E"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95.94 (93.60-98.27)</w:t>
            </w:r>
          </w:p>
        </w:tc>
        <w:tc>
          <w:tcPr>
            <w:tcW w:w="1758" w:type="dxa"/>
            <w:tcBorders>
              <w:top w:val="nil"/>
              <w:left w:val="nil"/>
              <w:bottom w:val="single" w:sz="4" w:space="0" w:color="auto"/>
              <w:right w:val="nil"/>
            </w:tcBorders>
            <w:vAlign w:val="center"/>
          </w:tcPr>
          <w:p w14:paraId="5E2596C7"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96.02 (94.56-97.47)</w:t>
            </w:r>
          </w:p>
        </w:tc>
        <w:tc>
          <w:tcPr>
            <w:tcW w:w="1716" w:type="dxa"/>
            <w:tcBorders>
              <w:top w:val="nil"/>
              <w:left w:val="nil"/>
              <w:bottom w:val="single" w:sz="4" w:space="0" w:color="auto"/>
              <w:right w:val="nil"/>
            </w:tcBorders>
            <w:vAlign w:val="center"/>
          </w:tcPr>
          <w:p w14:paraId="63163F69"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97.00 (94.98-99.02)</w:t>
            </w:r>
          </w:p>
        </w:tc>
        <w:tc>
          <w:tcPr>
            <w:tcW w:w="1758" w:type="dxa"/>
            <w:tcBorders>
              <w:top w:val="nil"/>
              <w:left w:val="nil"/>
              <w:bottom w:val="single" w:sz="4" w:space="0" w:color="auto"/>
              <w:right w:val="nil"/>
            </w:tcBorders>
            <w:vAlign w:val="center"/>
          </w:tcPr>
          <w:p w14:paraId="678B874B"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96.48 (95.31-97.65)</w:t>
            </w:r>
          </w:p>
        </w:tc>
        <w:tc>
          <w:tcPr>
            <w:tcW w:w="1654" w:type="dxa"/>
            <w:tcBorders>
              <w:top w:val="nil"/>
              <w:left w:val="nil"/>
              <w:bottom w:val="single" w:sz="4" w:space="0" w:color="auto"/>
              <w:right w:val="nil"/>
            </w:tcBorders>
            <w:vAlign w:val="center"/>
          </w:tcPr>
          <w:p w14:paraId="6ED23484"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96.20 (94.30-98.10)</w:t>
            </w:r>
          </w:p>
        </w:tc>
        <w:tc>
          <w:tcPr>
            <w:tcW w:w="1474" w:type="dxa"/>
            <w:tcBorders>
              <w:top w:val="nil"/>
              <w:left w:val="nil"/>
              <w:bottom w:val="single" w:sz="4" w:space="0" w:color="auto"/>
              <w:right w:val="nil"/>
            </w:tcBorders>
            <w:vAlign w:val="center"/>
          </w:tcPr>
          <w:p w14:paraId="113597DA" w14:textId="77777777" w:rsidR="00C426E4" w:rsidRPr="00754C98" w:rsidRDefault="00C426E4" w:rsidP="00705FBB">
            <w:pPr>
              <w:spacing w:line="360" w:lineRule="auto"/>
              <w:jc w:val="center"/>
              <w:rPr>
                <w:rFonts w:ascii="Times New Roman" w:hAnsi="Times New Roman" w:cs="Times New Roman"/>
                <w:sz w:val="15"/>
                <w:szCs w:val="15"/>
              </w:rPr>
            </w:pPr>
            <w:r w:rsidRPr="00754C98">
              <w:rPr>
                <w:rFonts w:ascii="Times New Roman" w:hAnsi="Times New Roman" w:cs="Times New Roman"/>
                <w:sz w:val="15"/>
                <w:szCs w:val="15"/>
              </w:rPr>
              <w:t>97.05 (95.77-98.34)</w:t>
            </w:r>
          </w:p>
        </w:tc>
      </w:tr>
    </w:tbl>
    <w:p w14:paraId="6B8C4D0C" w14:textId="0691A40B" w:rsidR="00754C98" w:rsidRPr="00F3645C" w:rsidRDefault="00EA7B96" w:rsidP="00EA7B96">
      <w:pPr>
        <w:rPr>
          <w:rFonts w:ascii="Times New Roman" w:hAnsi="Times New Roman" w:cs="Times New Roman"/>
          <w:sz w:val="20"/>
          <w:szCs w:val="20"/>
          <w:lang w:val="en-GB"/>
        </w:rPr>
      </w:pPr>
      <w:r w:rsidRPr="00F3645C">
        <w:rPr>
          <w:rFonts w:ascii="Times New Roman" w:hAnsi="Times New Roman" w:cs="Times New Roman"/>
          <w:sz w:val="20"/>
          <w:szCs w:val="20"/>
          <w:lang w:val="en-US"/>
        </w:rPr>
        <w:t>Data are mean (95% CI). *Main effect of time, P &lt; 0.001. CAR, central activation ratio; GL, lateral gastrocnemius; KFAC, kilohertz-frequency alternating current; MDF, median frequency; PC, pulsed current; RMS, root mean square; SOL, soleus.</w:t>
      </w:r>
    </w:p>
    <w:p w14:paraId="4F400321" w14:textId="77777777" w:rsidR="00F3645C" w:rsidRPr="00754C98" w:rsidRDefault="00F3645C">
      <w:pPr>
        <w:rPr>
          <w:rFonts w:ascii="Times New Roman" w:hAnsi="Times New Roman" w:cs="Times New Roman"/>
          <w:lang w:val="en-GB"/>
        </w:rPr>
      </w:pPr>
    </w:p>
    <w:sectPr w:rsidR="00F3645C" w:rsidRPr="00754C98" w:rsidSect="0084458E">
      <w:pgSz w:w="16838" w:h="11906"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D5818"/>
    <w:multiLevelType w:val="multilevel"/>
    <w:tmpl w:val="9800B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554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E68"/>
    <w:rsid w:val="000001CF"/>
    <w:rsid w:val="00034828"/>
    <w:rsid w:val="00061EA6"/>
    <w:rsid w:val="00085CB2"/>
    <w:rsid w:val="000B02E6"/>
    <w:rsid w:val="000B77D1"/>
    <w:rsid w:val="00101729"/>
    <w:rsid w:val="00143196"/>
    <w:rsid w:val="001C0268"/>
    <w:rsid w:val="0026579E"/>
    <w:rsid w:val="002A4FDB"/>
    <w:rsid w:val="002A7DC7"/>
    <w:rsid w:val="003125B0"/>
    <w:rsid w:val="00366806"/>
    <w:rsid w:val="00471DE4"/>
    <w:rsid w:val="004722D4"/>
    <w:rsid w:val="004B25FA"/>
    <w:rsid w:val="004D299A"/>
    <w:rsid w:val="005218FB"/>
    <w:rsid w:val="0057316C"/>
    <w:rsid w:val="005E6601"/>
    <w:rsid w:val="00621CF7"/>
    <w:rsid w:val="006B66C8"/>
    <w:rsid w:val="006C4BFA"/>
    <w:rsid w:val="006C6CFA"/>
    <w:rsid w:val="00705FBB"/>
    <w:rsid w:val="007161E1"/>
    <w:rsid w:val="00754C98"/>
    <w:rsid w:val="00792027"/>
    <w:rsid w:val="0084458E"/>
    <w:rsid w:val="00844936"/>
    <w:rsid w:val="008A0B88"/>
    <w:rsid w:val="008D1993"/>
    <w:rsid w:val="008E103F"/>
    <w:rsid w:val="00913F16"/>
    <w:rsid w:val="00A05780"/>
    <w:rsid w:val="00A230B1"/>
    <w:rsid w:val="00A420C2"/>
    <w:rsid w:val="00A45258"/>
    <w:rsid w:val="00A62A6A"/>
    <w:rsid w:val="00A63CA5"/>
    <w:rsid w:val="00A66CC7"/>
    <w:rsid w:val="00AA14C9"/>
    <w:rsid w:val="00AD1B2A"/>
    <w:rsid w:val="00AD2440"/>
    <w:rsid w:val="00B4541A"/>
    <w:rsid w:val="00B64223"/>
    <w:rsid w:val="00B65E68"/>
    <w:rsid w:val="00B9519A"/>
    <w:rsid w:val="00C04EC0"/>
    <w:rsid w:val="00C426E4"/>
    <w:rsid w:val="00C47784"/>
    <w:rsid w:val="00C62F41"/>
    <w:rsid w:val="00C67AD3"/>
    <w:rsid w:val="00C90D09"/>
    <w:rsid w:val="00CE4719"/>
    <w:rsid w:val="00D30654"/>
    <w:rsid w:val="00D30865"/>
    <w:rsid w:val="00D9311B"/>
    <w:rsid w:val="00DA5748"/>
    <w:rsid w:val="00DD1899"/>
    <w:rsid w:val="00DD7995"/>
    <w:rsid w:val="00E54D0B"/>
    <w:rsid w:val="00EA7B96"/>
    <w:rsid w:val="00F3645C"/>
    <w:rsid w:val="00FB1F3A"/>
    <w:rsid w:val="00FC58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E441"/>
  <w15:chartTrackingRefBased/>
  <w15:docId w15:val="{9A526AA2-93F6-4257-B0AE-F378CDCD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65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65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65E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65E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65E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65E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65E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65E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65E6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65E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65E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65E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65E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65E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65E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65E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65E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65E68"/>
    <w:rPr>
      <w:rFonts w:eastAsiaTheme="majorEastAsia" w:cstheme="majorBidi"/>
      <w:color w:val="272727" w:themeColor="text1" w:themeTint="D8"/>
    </w:rPr>
  </w:style>
  <w:style w:type="paragraph" w:styleId="Ttulo">
    <w:name w:val="Title"/>
    <w:basedOn w:val="Normal"/>
    <w:next w:val="Normal"/>
    <w:link w:val="TtuloChar"/>
    <w:uiPriority w:val="10"/>
    <w:qFormat/>
    <w:rsid w:val="00B65E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65E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65E6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65E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65E68"/>
    <w:pPr>
      <w:spacing w:before="160"/>
      <w:jc w:val="center"/>
    </w:pPr>
    <w:rPr>
      <w:i/>
      <w:iCs/>
      <w:color w:val="404040" w:themeColor="text1" w:themeTint="BF"/>
    </w:rPr>
  </w:style>
  <w:style w:type="character" w:customStyle="1" w:styleId="CitaoChar">
    <w:name w:val="Citação Char"/>
    <w:basedOn w:val="Fontepargpadro"/>
    <w:link w:val="Citao"/>
    <w:uiPriority w:val="29"/>
    <w:rsid w:val="00B65E68"/>
    <w:rPr>
      <w:i/>
      <w:iCs/>
      <w:color w:val="404040" w:themeColor="text1" w:themeTint="BF"/>
    </w:rPr>
  </w:style>
  <w:style w:type="paragraph" w:styleId="PargrafodaLista">
    <w:name w:val="List Paragraph"/>
    <w:basedOn w:val="Normal"/>
    <w:uiPriority w:val="34"/>
    <w:qFormat/>
    <w:rsid w:val="00B65E68"/>
    <w:pPr>
      <w:ind w:left="720"/>
      <w:contextualSpacing/>
    </w:pPr>
  </w:style>
  <w:style w:type="character" w:styleId="nfaseIntensa">
    <w:name w:val="Intense Emphasis"/>
    <w:basedOn w:val="Fontepargpadro"/>
    <w:uiPriority w:val="21"/>
    <w:qFormat/>
    <w:rsid w:val="00B65E68"/>
    <w:rPr>
      <w:i/>
      <w:iCs/>
      <w:color w:val="0F4761" w:themeColor="accent1" w:themeShade="BF"/>
    </w:rPr>
  </w:style>
  <w:style w:type="paragraph" w:styleId="CitaoIntensa">
    <w:name w:val="Intense Quote"/>
    <w:basedOn w:val="Normal"/>
    <w:next w:val="Normal"/>
    <w:link w:val="CitaoIntensaChar"/>
    <w:uiPriority w:val="30"/>
    <w:qFormat/>
    <w:rsid w:val="00B65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65E68"/>
    <w:rPr>
      <w:i/>
      <w:iCs/>
      <w:color w:val="0F4761" w:themeColor="accent1" w:themeShade="BF"/>
    </w:rPr>
  </w:style>
  <w:style w:type="character" w:styleId="RefernciaIntensa">
    <w:name w:val="Intense Reference"/>
    <w:basedOn w:val="Fontepargpadro"/>
    <w:uiPriority w:val="32"/>
    <w:qFormat/>
    <w:rsid w:val="00B65E68"/>
    <w:rPr>
      <w:b/>
      <w:bCs/>
      <w:smallCaps/>
      <w:color w:val="0F4761" w:themeColor="accent1" w:themeShade="BF"/>
      <w:spacing w:val="5"/>
    </w:rPr>
  </w:style>
  <w:style w:type="table" w:styleId="Tabelacomgrade">
    <w:name w:val="Table Grid"/>
    <w:basedOn w:val="Tabelanormal"/>
    <w:uiPriority w:val="39"/>
    <w:rsid w:val="00C426E4"/>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426E4"/>
    <w:pPr>
      <w:spacing w:after="200" w:line="240" w:lineRule="auto"/>
    </w:pPr>
    <w:rPr>
      <w:rFonts w:ascii="Times New Roman" w:eastAsia="Times New Roman" w:hAnsi="Times New Roman" w:cs="Times New Roman"/>
      <w:i/>
      <w:iCs/>
      <w:color w:val="0E2841" w:themeColor="text2"/>
      <w:kern w:val="0"/>
      <w:sz w:val="18"/>
      <w:szCs w:val="18"/>
      <w:lang w:val="fr-FR" w:eastAsia="fr-FR"/>
      <w14:ligatures w14:val="none"/>
    </w:rPr>
  </w:style>
  <w:style w:type="paragraph" w:styleId="Reviso">
    <w:name w:val="Revision"/>
    <w:hidden/>
    <w:uiPriority w:val="99"/>
    <w:semiHidden/>
    <w:rsid w:val="003125B0"/>
    <w:pPr>
      <w:spacing w:after="0" w:line="240" w:lineRule="auto"/>
    </w:pPr>
  </w:style>
  <w:style w:type="character" w:styleId="Refdecomentrio">
    <w:name w:val="annotation reference"/>
    <w:basedOn w:val="Fontepargpadro"/>
    <w:uiPriority w:val="99"/>
    <w:semiHidden/>
    <w:unhideWhenUsed/>
    <w:rsid w:val="006C4BFA"/>
    <w:rPr>
      <w:sz w:val="16"/>
      <w:szCs w:val="16"/>
    </w:rPr>
  </w:style>
  <w:style w:type="paragraph" w:styleId="Textodecomentrio">
    <w:name w:val="annotation text"/>
    <w:basedOn w:val="Normal"/>
    <w:link w:val="TextodecomentrioChar"/>
    <w:uiPriority w:val="99"/>
    <w:unhideWhenUsed/>
    <w:rsid w:val="006C4BFA"/>
    <w:pPr>
      <w:spacing w:line="240" w:lineRule="auto"/>
    </w:pPr>
    <w:rPr>
      <w:sz w:val="20"/>
      <w:szCs w:val="20"/>
    </w:rPr>
  </w:style>
  <w:style w:type="character" w:customStyle="1" w:styleId="TextodecomentrioChar">
    <w:name w:val="Texto de comentário Char"/>
    <w:basedOn w:val="Fontepargpadro"/>
    <w:link w:val="Textodecomentrio"/>
    <w:uiPriority w:val="99"/>
    <w:rsid w:val="006C4BFA"/>
    <w:rPr>
      <w:sz w:val="20"/>
      <w:szCs w:val="20"/>
    </w:rPr>
  </w:style>
  <w:style w:type="paragraph" w:styleId="Assuntodocomentrio">
    <w:name w:val="annotation subject"/>
    <w:basedOn w:val="Textodecomentrio"/>
    <w:next w:val="Textodecomentrio"/>
    <w:link w:val="AssuntodocomentrioChar"/>
    <w:uiPriority w:val="99"/>
    <w:semiHidden/>
    <w:unhideWhenUsed/>
    <w:rsid w:val="006C4BFA"/>
    <w:rPr>
      <w:b/>
      <w:bCs/>
    </w:rPr>
  </w:style>
  <w:style w:type="character" w:customStyle="1" w:styleId="AssuntodocomentrioChar">
    <w:name w:val="Assunto do comentário Char"/>
    <w:basedOn w:val="TextodecomentrioChar"/>
    <w:link w:val="Assuntodocomentrio"/>
    <w:uiPriority w:val="99"/>
    <w:semiHidden/>
    <w:rsid w:val="006C4BFA"/>
    <w:rPr>
      <w:b/>
      <w:bCs/>
      <w:sz w:val="20"/>
      <w:szCs w:val="20"/>
    </w:rPr>
  </w:style>
  <w:style w:type="table" w:customStyle="1" w:styleId="Style2">
    <w:name w:val="Style2"/>
    <w:basedOn w:val="Tabelanormal"/>
    <w:rsid w:val="00754C98"/>
    <w:pPr>
      <w:spacing w:after="0" w:line="480" w:lineRule="auto"/>
    </w:pPr>
    <w:rPr>
      <w:rFonts w:ascii="Times New Roman" w:eastAsia="Times New Roman" w:hAnsi="Times New Roman" w:cs="Times New Roman"/>
      <w:color w:val="333333"/>
      <w:kern w:val="0"/>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754C98"/>
    <w:pPr>
      <w:spacing w:after="0" w:line="240" w:lineRule="auto"/>
    </w:pPr>
    <w:rPr>
      <w:rFonts w:ascii="Times New Roman" w:eastAsia="Calibri" w:hAnsi="Times New Roman" w:cs="Times New Roman"/>
      <w:kern w:val="0"/>
      <w:sz w:val="20"/>
      <w:szCs w:val="20"/>
      <w:lang w:val="en-GB"/>
      <w14:ligatures w14:val="none"/>
    </w:rPr>
  </w:style>
  <w:style w:type="paragraph" w:customStyle="1" w:styleId="TableHeader">
    <w:name w:val="TableHeader"/>
    <w:basedOn w:val="Normal"/>
    <w:next w:val="Normal"/>
    <w:rsid w:val="00754C98"/>
    <w:pPr>
      <w:spacing w:after="0" w:line="240" w:lineRule="auto"/>
    </w:pPr>
    <w:rPr>
      <w:rFonts w:ascii="Times New Roman" w:eastAsia="Calibri" w:hAnsi="Times New Roman" w:cs="Times New Roman"/>
      <w:b/>
      <w:kern w:val="0"/>
      <w:szCs w:val="20"/>
      <w:lang w:val="en-GB"/>
      <w14:ligatures w14:val="none"/>
    </w:rPr>
  </w:style>
  <w:style w:type="character" w:customStyle="1" w:styleId="TableBodyChar">
    <w:name w:val="TableBody Char"/>
    <w:basedOn w:val="Fontepargpadro"/>
    <w:link w:val="TableBody"/>
    <w:rsid w:val="00754C98"/>
    <w:rPr>
      <w:rFonts w:ascii="Times New Roman" w:eastAsia="Calibri" w:hAnsi="Times New Roman" w:cs="Times New Roman"/>
      <w:kern w:val="0"/>
      <w:sz w:val="20"/>
      <w:szCs w:val="20"/>
      <w:lang w:val="en-GB"/>
      <w14:ligatures w14:val="none"/>
    </w:rPr>
  </w:style>
  <w:style w:type="paragraph" w:customStyle="1" w:styleId="TableNote">
    <w:name w:val="TableNote"/>
    <w:basedOn w:val="Normal"/>
    <w:rsid w:val="00754C98"/>
    <w:pPr>
      <w:spacing w:after="0" w:line="300" w:lineRule="exact"/>
    </w:pPr>
    <w:rPr>
      <w:rFonts w:ascii="Times New Roman" w:eastAsia="Times New Roman" w:hAnsi="Times New Roman" w:cs="Times New Roman"/>
      <w:kern w:val="0"/>
      <w:szCs w:val="20"/>
      <w:lang w:val="en-GB"/>
      <w14:ligatures w14:val="none"/>
    </w:rPr>
  </w:style>
  <w:style w:type="character" w:styleId="Hyperlink">
    <w:name w:val="Hyperlink"/>
    <w:rsid w:val="00754C98"/>
    <w:rPr>
      <w:color w:val="0000FF"/>
      <w:u w:val="single"/>
    </w:rPr>
  </w:style>
  <w:style w:type="character" w:customStyle="1" w:styleId="MenoPendente1">
    <w:name w:val="Menção Pendente1"/>
    <w:basedOn w:val="Fontepargpadro"/>
    <w:uiPriority w:val="99"/>
    <w:semiHidden/>
    <w:unhideWhenUsed/>
    <w:rsid w:val="00471DE4"/>
    <w:rPr>
      <w:color w:val="605E5C"/>
      <w:shd w:val="clear" w:color="auto" w:fill="E1DFDD"/>
    </w:rPr>
  </w:style>
  <w:style w:type="paragraph" w:styleId="Textodebalo">
    <w:name w:val="Balloon Text"/>
    <w:basedOn w:val="Normal"/>
    <w:link w:val="TextodebaloChar"/>
    <w:uiPriority w:val="99"/>
    <w:semiHidden/>
    <w:unhideWhenUsed/>
    <w:rsid w:val="00FC58D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C58DA"/>
    <w:rPr>
      <w:rFonts w:ascii="Segoe UI" w:hAnsi="Segoe UI" w:cs="Segoe UI"/>
      <w:sz w:val="18"/>
      <w:szCs w:val="18"/>
    </w:rPr>
  </w:style>
  <w:style w:type="character" w:styleId="Nmerodelinha">
    <w:name w:val="line number"/>
    <w:basedOn w:val="Fontepargpadro"/>
    <w:uiPriority w:val="99"/>
    <w:semiHidden/>
    <w:unhideWhenUsed/>
    <w:rsid w:val="00EA7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1910</Words>
  <Characters>10892</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AURÉLIO VAZ</dc:creator>
  <cp:keywords/>
  <dc:description/>
  <cp:lastModifiedBy>Luis Andre Oliveira Soares</cp:lastModifiedBy>
  <cp:revision>4</cp:revision>
  <dcterms:created xsi:type="dcterms:W3CDTF">2026-10-07T11:33:00Z</dcterms:created>
  <dcterms:modified xsi:type="dcterms:W3CDTF">2026-10-07T13:09:00Z</dcterms:modified>
</cp:coreProperties>
</file>