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AD025" w14:textId="17AFFFFF" w:rsidR="00811170" w:rsidRPr="004A21CF" w:rsidRDefault="00811170">
      <w:pPr>
        <w:rPr>
          <w:rFonts w:ascii="Times New Roman" w:hAnsi="Times New Roman" w:cs="Times New Roman"/>
          <w:szCs w:val="20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6B78D1" w:rsidRPr="004A21CF" w14:paraId="636933E9" w14:textId="77777777" w:rsidTr="006B78D1">
        <w:tc>
          <w:tcPr>
            <w:tcW w:w="14454" w:type="dxa"/>
            <w:shd w:val="clear" w:color="auto" w:fill="E7E6E6" w:themeFill="background2"/>
          </w:tcPr>
          <w:p w14:paraId="61E9DA51" w14:textId="60D350C6" w:rsidR="006B78D1" w:rsidRPr="004A21CF" w:rsidRDefault="006B78D1" w:rsidP="0074398B">
            <w:pPr>
              <w:spacing w:after="24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1CF">
              <w:rPr>
                <w:rFonts w:ascii="Times New Roman" w:hAnsi="Times New Roman" w:cs="Times New Roman"/>
                <w:b/>
                <w:bCs/>
                <w:sz w:val="24"/>
              </w:rPr>
              <w:t>Supplementary file 5: Reviews excluded at full text screening (with reasons)</w:t>
            </w:r>
          </w:p>
        </w:tc>
      </w:tr>
    </w:tbl>
    <w:p w14:paraId="55FCAA55" w14:textId="5E22318A" w:rsidR="00811170" w:rsidRPr="004A21CF" w:rsidRDefault="00811170" w:rsidP="006B78D1">
      <w:pPr>
        <w:spacing w:after="240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"/>
        <w:tblW w:w="1445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74"/>
        <w:gridCol w:w="5393"/>
        <w:gridCol w:w="2633"/>
        <w:gridCol w:w="2127"/>
        <w:gridCol w:w="3827"/>
      </w:tblGrid>
      <w:tr w:rsidR="00D462D2" w:rsidRPr="004A21CF" w14:paraId="44DBA899" w14:textId="1C39F529" w:rsidTr="00725DCD">
        <w:tc>
          <w:tcPr>
            <w:tcW w:w="474" w:type="dxa"/>
            <w:shd w:val="clear" w:color="auto" w:fill="E7E6E6" w:themeFill="background2"/>
          </w:tcPr>
          <w:p w14:paraId="54FE38C4" w14:textId="77777777" w:rsidR="00D462D2" w:rsidRPr="004A21CF" w:rsidRDefault="00D462D2" w:rsidP="00157FD3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5393" w:type="dxa"/>
            <w:shd w:val="clear" w:color="auto" w:fill="E7E6E6" w:themeFill="background2"/>
          </w:tcPr>
          <w:p w14:paraId="37D49384" w14:textId="2256C8CA" w:rsidR="00D462D2" w:rsidRPr="004A21CF" w:rsidRDefault="00D462D2" w:rsidP="00157FD3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A21CF">
              <w:rPr>
                <w:rFonts w:ascii="Times New Roman" w:hAnsi="Times New Roman" w:cs="Times New Roman"/>
                <w:b/>
                <w:bCs/>
                <w:szCs w:val="20"/>
              </w:rPr>
              <w:t>References</w:t>
            </w:r>
          </w:p>
        </w:tc>
        <w:tc>
          <w:tcPr>
            <w:tcW w:w="2633" w:type="dxa"/>
            <w:shd w:val="clear" w:color="auto" w:fill="E7E6E6" w:themeFill="background2"/>
          </w:tcPr>
          <w:p w14:paraId="712C0066" w14:textId="23AEA3C6" w:rsidR="00D462D2" w:rsidRPr="004A21CF" w:rsidRDefault="00D462D2" w:rsidP="00157FD3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A21CF">
              <w:rPr>
                <w:rFonts w:ascii="Times New Roman" w:hAnsi="Times New Roman" w:cs="Times New Roman"/>
                <w:b/>
                <w:bCs/>
                <w:szCs w:val="20"/>
              </w:rPr>
              <w:t>Author (Year)</w:t>
            </w:r>
          </w:p>
        </w:tc>
        <w:tc>
          <w:tcPr>
            <w:tcW w:w="2127" w:type="dxa"/>
            <w:shd w:val="clear" w:color="auto" w:fill="E7E6E6" w:themeFill="background2"/>
          </w:tcPr>
          <w:p w14:paraId="401833E7" w14:textId="20D951C6" w:rsidR="00D462D2" w:rsidRPr="004A21CF" w:rsidRDefault="00D462D2" w:rsidP="00157FD3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A21CF">
              <w:rPr>
                <w:rFonts w:ascii="Times New Roman" w:hAnsi="Times New Roman" w:cs="Times New Roman"/>
                <w:b/>
                <w:bCs/>
                <w:szCs w:val="20"/>
              </w:rPr>
              <w:t xml:space="preserve">Reason </w:t>
            </w:r>
            <w:r w:rsidR="00891407" w:rsidRPr="004A21CF">
              <w:rPr>
                <w:rFonts w:ascii="Times New Roman" w:hAnsi="Times New Roman" w:cs="Times New Roman"/>
                <w:b/>
                <w:bCs/>
                <w:szCs w:val="20"/>
              </w:rPr>
              <w:t>for</w:t>
            </w:r>
            <w:r w:rsidRPr="004A21CF">
              <w:rPr>
                <w:rFonts w:ascii="Times New Roman" w:hAnsi="Times New Roman" w:cs="Times New Roman"/>
                <w:b/>
                <w:bCs/>
                <w:szCs w:val="20"/>
              </w:rPr>
              <w:t xml:space="preserve"> exclusion</w:t>
            </w:r>
          </w:p>
        </w:tc>
        <w:tc>
          <w:tcPr>
            <w:tcW w:w="3827" w:type="dxa"/>
            <w:shd w:val="clear" w:color="auto" w:fill="E7E6E6" w:themeFill="background2"/>
          </w:tcPr>
          <w:p w14:paraId="767EEE59" w14:textId="11CE0156" w:rsidR="00D462D2" w:rsidRPr="004A21CF" w:rsidRDefault="00891407" w:rsidP="00891407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A21CF">
              <w:rPr>
                <w:rFonts w:ascii="Times New Roman" w:hAnsi="Times New Roman" w:cs="Times New Roman"/>
                <w:b/>
                <w:bCs/>
                <w:szCs w:val="20"/>
              </w:rPr>
              <w:t>Details</w:t>
            </w:r>
          </w:p>
        </w:tc>
      </w:tr>
      <w:tr w:rsidR="00D462D2" w:rsidRPr="004A21CF" w14:paraId="38929236" w14:textId="7E8ABEF8" w:rsidTr="00725DCD">
        <w:tc>
          <w:tcPr>
            <w:tcW w:w="474" w:type="dxa"/>
          </w:tcPr>
          <w:p w14:paraId="39DFC408" w14:textId="77777777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5393" w:type="dxa"/>
          </w:tcPr>
          <w:p w14:paraId="58704790" w14:textId="3FBA6FEF" w:rsidR="00D462D2" w:rsidRPr="004A21CF" w:rsidRDefault="00D462D2" w:rsidP="00157FD3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Pharmacological treatment for methamphetamine withdrawal: A systematic review and meta-analysis of randomised controlled trials. </w:t>
            </w:r>
            <w:hyperlink r:id="rId4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https://doi.org/10.1111/dar.13511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2633" w:type="dxa"/>
          </w:tcPr>
          <w:p w14:paraId="6676454A" w14:textId="3B2E0D0F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Acheson et al., (2023)</w:t>
            </w:r>
          </w:p>
        </w:tc>
        <w:tc>
          <w:tcPr>
            <w:tcW w:w="2127" w:type="dxa"/>
          </w:tcPr>
          <w:p w14:paraId="624D09E3" w14:textId="199B8A54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2BCD2D00" w14:textId="75BA910E" w:rsidR="00D462D2" w:rsidRPr="004A21CF" w:rsidRDefault="007E5959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focused on</w:t>
            </w:r>
            <w:r w:rsidR="0001620E" w:rsidRPr="004A21CF">
              <w:rPr>
                <w:rFonts w:ascii="Times New Roman" w:hAnsi="Times New Roman" w:cs="Times New Roman"/>
                <w:szCs w:val="20"/>
              </w:rPr>
              <w:t xml:space="preserve"> different pharmacotherapy effectiveness and treatment for methamphetamine withdrawal</w:t>
            </w:r>
            <w:r w:rsidRPr="004A21CF">
              <w:rPr>
                <w:rFonts w:ascii="Times New Roman" w:hAnsi="Times New Roman" w:cs="Times New Roman"/>
                <w:szCs w:val="20"/>
              </w:rPr>
              <w:t xml:space="preserve"> and, does not report on physiological ADWRs</w:t>
            </w:r>
          </w:p>
        </w:tc>
      </w:tr>
      <w:tr w:rsidR="00D462D2" w:rsidRPr="004A21CF" w14:paraId="19CBC9BD" w14:textId="79442B0B" w:rsidTr="00725DCD">
        <w:tc>
          <w:tcPr>
            <w:tcW w:w="474" w:type="dxa"/>
          </w:tcPr>
          <w:p w14:paraId="69FFF250" w14:textId="77777777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5393" w:type="dxa"/>
          </w:tcPr>
          <w:p w14:paraId="1AFFD8F5" w14:textId="3ED931CE" w:rsidR="00D462D2" w:rsidRPr="004A21CF" w:rsidRDefault="00D462D2" w:rsidP="00157FD3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Prevalence, Associated Risk Factors, and Adverse Cardiovascular Outcomes of Statins Discontinuation: A Systematic Review. </w:t>
            </w:r>
            <w:hyperlink r:id="rId5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https://doi.org/10.1002/pds.5879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432E613" w14:textId="7926A949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Ageeb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(2024)</w:t>
            </w:r>
          </w:p>
        </w:tc>
        <w:tc>
          <w:tcPr>
            <w:tcW w:w="2127" w:type="dxa"/>
          </w:tcPr>
          <w:p w14:paraId="0FB15427" w14:textId="1A50BFEA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4734413A" w14:textId="6B6363CA" w:rsidR="00D462D2" w:rsidRPr="004A21CF" w:rsidRDefault="007E5959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examined disease-related outcomes post-discontinuation (e.g., cardiovascular events), prevalence and risk factors for statin discontinuation, and associated adverse cardiovascular outcomes (e.g., all-cause mortality, cardiovascular events),</w:t>
            </w:r>
            <w:r w:rsidR="005A3D65" w:rsidRPr="004A21CF">
              <w:rPr>
                <w:rFonts w:ascii="Times New Roman" w:hAnsi="Times New Roman" w:cs="Times New Roman"/>
                <w:szCs w:val="20"/>
              </w:rPr>
              <w:t xml:space="preserve"> which is </w:t>
            </w:r>
            <w:r w:rsidRPr="004A21CF">
              <w:rPr>
                <w:rFonts w:ascii="Times New Roman" w:hAnsi="Times New Roman" w:cs="Times New Roman"/>
                <w:szCs w:val="20"/>
              </w:rPr>
              <w:t>likely related to disease recurrence or lack of treatment effect rather than physiological ADWRs.</w:t>
            </w:r>
          </w:p>
        </w:tc>
      </w:tr>
      <w:tr w:rsidR="00D462D2" w:rsidRPr="004A21CF" w14:paraId="052F498F" w14:textId="3AB72E34" w:rsidTr="00725DCD">
        <w:tc>
          <w:tcPr>
            <w:tcW w:w="474" w:type="dxa"/>
          </w:tcPr>
          <w:p w14:paraId="3A0713D4" w14:textId="77777777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3. </w:t>
            </w:r>
          </w:p>
        </w:tc>
        <w:tc>
          <w:tcPr>
            <w:tcW w:w="5393" w:type="dxa"/>
          </w:tcPr>
          <w:p w14:paraId="3C908063" w14:textId="67E6FC86" w:rsidR="00D462D2" w:rsidRPr="004A21CF" w:rsidRDefault="00D462D2" w:rsidP="00157FD3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A Systematic Review and Meta-Analysis on the Safety of Antiplatelet Discontinuation Following Stent-Assisted Coil Embolization for Cerebral Aneurysms. </w:t>
            </w:r>
            <w:hyperlink r:id="rId6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https://doi.org/10.3390/neurosci6020034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E9A1DAD" w14:textId="6BA87BEC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Al-</w:t>
            </w: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Salihi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(2025)</w:t>
            </w:r>
          </w:p>
        </w:tc>
        <w:tc>
          <w:tcPr>
            <w:tcW w:w="2127" w:type="dxa"/>
          </w:tcPr>
          <w:p w14:paraId="497122CE" w14:textId="5ABE08EC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20745C75" w14:textId="7987D05E" w:rsidR="00D462D2" w:rsidRPr="004A21CF" w:rsidRDefault="00B007D9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focuse</w:t>
            </w:r>
            <w:r w:rsidR="008C2892" w:rsidRPr="004A21CF">
              <w:rPr>
                <w:rFonts w:ascii="Times New Roman" w:hAnsi="Times New Roman" w:cs="Times New Roman"/>
                <w:szCs w:val="20"/>
              </w:rPr>
              <w:t>d</w:t>
            </w:r>
            <w:r w:rsidRPr="004A21CF">
              <w:rPr>
                <w:rFonts w:ascii="Times New Roman" w:hAnsi="Times New Roman" w:cs="Times New Roman"/>
                <w:szCs w:val="20"/>
              </w:rPr>
              <w:t xml:space="preserve"> on the safety (risk of thromboembolism) following antiplatelet discontinuation, but not on physiological ADWRs. Moreover, there is no details about incidence and characteristics of physiological ADWRs. </w:t>
            </w:r>
          </w:p>
        </w:tc>
      </w:tr>
      <w:tr w:rsidR="00D462D2" w:rsidRPr="004A21CF" w14:paraId="7ACDADA5" w14:textId="2B0BA6A2" w:rsidTr="00725DCD">
        <w:tc>
          <w:tcPr>
            <w:tcW w:w="474" w:type="dxa"/>
          </w:tcPr>
          <w:p w14:paraId="0225A096" w14:textId="77777777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4. </w:t>
            </w:r>
          </w:p>
        </w:tc>
        <w:tc>
          <w:tcPr>
            <w:tcW w:w="5393" w:type="dxa"/>
          </w:tcPr>
          <w:p w14:paraId="788E3F5B" w14:textId="3A8CFCAC" w:rsidR="00D462D2" w:rsidRPr="004A21CF" w:rsidRDefault="00D462D2" w:rsidP="00157FD3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Pharmacological interventions for benzodiazepine discontinuation in chronic benzodiazepine users. </w:t>
            </w:r>
            <w:hyperlink r:id="rId7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https://doi.org/10.1002/14651858.CD011481.pub2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4216DFE" w14:textId="39A6F0C4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Baandrup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(2018)</w:t>
            </w:r>
          </w:p>
        </w:tc>
        <w:tc>
          <w:tcPr>
            <w:tcW w:w="2127" w:type="dxa"/>
          </w:tcPr>
          <w:p w14:paraId="11854AEB" w14:textId="2ADB2ED0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79045C2E" w14:textId="51EBECF8" w:rsidR="00D462D2" w:rsidRPr="004A21CF" w:rsidRDefault="00601FE1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This review  </w:t>
            </w:r>
            <w:r w:rsidR="008C2892" w:rsidRPr="004A21CF">
              <w:rPr>
                <w:rFonts w:ascii="Times New Roman" w:hAnsi="Times New Roman" w:cs="Times New Roman"/>
                <w:szCs w:val="20"/>
              </w:rPr>
              <w:t xml:space="preserve">evaluates the </w:t>
            </w:r>
            <w:r w:rsidRPr="004A21CF">
              <w:rPr>
                <w:rFonts w:ascii="Times New Roman" w:hAnsi="Times New Roman" w:cs="Times New Roman"/>
                <w:szCs w:val="20"/>
              </w:rPr>
              <w:t>pharmacological interventions to facilitate benzodiazepine discontinuation rather than ADW</w:t>
            </w:r>
            <w:r w:rsidR="000661C1" w:rsidRPr="004A21CF">
              <w:rPr>
                <w:rFonts w:ascii="Times New Roman" w:hAnsi="Times New Roman" w:cs="Times New Roman"/>
                <w:szCs w:val="20"/>
              </w:rPr>
              <w:t>R</w:t>
            </w:r>
            <w:r w:rsidRPr="004A21CF">
              <w:rPr>
                <w:rFonts w:ascii="Times New Roman" w:hAnsi="Times New Roman" w:cs="Times New Roman"/>
                <w:szCs w:val="20"/>
              </w:rPr>
              <w:t xml:space="preserve">s. </w:t>
            </w:r>
            <w:r w:rsidR="008C2892" w:rsidRPr="004A21CF">
              <w:rPr>
                <w:rFonts w:ascii="Times New Roman" w:hAnsi="Times New Roman" w:cs="Times New Roman"/>
                <w:szCs w:val="20"/>
              </w:rPr>
              <w:t>T</w:t>
            </w:r>
            <w:r w:rsidRPr="004A21CF">
              <w:rPr>
                <w:rFonts w:ascii="Times New Roman" w:hAnsi="Times New Roman" w:cs="Times New Roman"/>
                <w:szCs w:val="20"/>
              </w:rPr>
              <w:t xml:space="preserve">he primary intent </w:t>
            </w:r>
            <w:r w:rsidR="008C2892" w:rsidRPr="004A21CF">
              <w:rPr>
                <w:rFonts w:ascii="Times New Roman" w:hAnsi="Times New Roman" w:cs="Times New Roman"/>
                <w:szCs w:val="20"/>
              </w:rPr>
              <w:t>was</w:t>
            </w:r>
            <w:r w:rsidRPr="004A21CF">
              <w:rPr>
                <w:rFonts w:ascii="Times New Roman" w:hAnsi="Times New Roman" w:cs="Times New Roman"/>
                <w:szCs w:val="20"/>
              </w:rPr>
              <w:t xml:space="preserve"> to assess treatment efficacy, not to describe or quantify ADWRs.</w:t>
            </w:r>
          </w:p>
        </w:tc>
      </w:tr>
      <w:tr w:rsidR="008C1E19" w:rsidRPr="004A21CF" w14:paraId="692DC474" w14:textId="77777777" w:rsidTr="00725DCD">
        <w:tc>
          <w:tcPr>
            <w:tcW w:w="474" w:type="dxa"/>
          </w:tcPr>
          <w:p w14:paraId="0FD6A1A9" w14:textId="5AD345D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5.</w:t>
            </w:r>
          </w:p>
        </w:tc>
        <w:tc>
          <w:tcPr>
            <w:tcW w:w="5393" w:type="dxa"/>
          </w:tcPr>
          <w:p w14:paraId="38047808" w14:textId="01A47664" w:rsidR="008C1E19" w:rsidRPr="004A21CF" w:rsidRDefault="008C1E19" w:rsidP="008C1E19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Anticholinergic medication for antipsychotic‐induced tardive dyskinesia. </w:t>
            </w:r>
            <w:hyperlink r:id="rId8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https://doi.org/10.1002/14651858.CD000204.pub2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1E7DA81F" w14:textId="1D5E9D7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Bergman and Soares-Weiser (2018)</w:t>
            </w:r>
          </w:p>
        </w:tc>
        <w:tc>
          <w:tcPr>
            <w:tcW w:w="2127" w:type="dxa"/>
          </w:tcPr>
          <w:p w14:paraId="55A75F3D" w14:textId="51CBAE7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outcomes</w:t>
            </w:r>
          </w:p>
        </w:tc>
        <w:tc>
          <w:tcPr>
            <w:tcW w:w="3827" w:type="dxa"/>
          </w:tcPr>
          <w:p w14:paraId="10FD86EC" w14:textId="0DF17845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This review primarily focused on the treatment efficacy for tardive dyskinesia and not on ADWRs </w:t>
            </w:r>
          </w:p>
        </w:tc>
      </w:tr>
      <w:tr w:rsidR="008C1E19" w:rsidRPr="004A21CF" w14:paraId="7B2F0A92" w14:textId="77777777" w:rsidTr="00725DCD">
        <w:tc>
          <w:tcPr>
            <w:tcW w:w="474" w:type="dxa"/>
          </w:tcPr>
          <w:p w14:paraId="4888D500" w14:textId="084BD6B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6.</w:t>
            </w:r>
          </w:p>
        </w:tc>
        <w:tc>
          <w:tcPr>
            <w:tcW w:w="5393" w:type="dxa"/>
            <w:vAlign w:val="bottom"/>
          </w:tcPr>
          <w:p w14:paraId="44604614" w14:textId="2BC4AA8D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Discontinuing Psychotropic Drugs from Participants in Randomized Controlled Trials: A Systematic Review. </w:t>
            </w:r>
            <w:hyperlink r:id="rId9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https://doi.org/10.1159/000496733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3C6D4861" w14:textId="32CF9B1F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Cohen and </w:t>
            </w: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Recalt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(2019)</w:t>
            </w:r>
          </w:p>
        </w:tc>
        <w:tc>
          <w:tcPr>
            <w:tcW w:w="2127" w:type="dxa"/>
          </w:tcPr>
          <w:p w14:paraId="477E8648" w14:textId="617EBB1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5BF25837" w14:textId="55DB6DF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Analysis of withdrawal symptoms relates to how trials accounted for/</w:t>
            </w: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recognised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them, rather than analysis of ADWRs </w:t>
            </w:r>
          </w:p>
        </w:tc>
      </w:tr>
      <w:tr w:rsidR="008C1E19" w:rsidRPr="004A21CF" w14:paraId="1B683D69" w14:textId="77777777" w:rsidTr="00725DCD">
        <w:tc>
          <w:tcPr>
            <w:tcW w:w="474" w:type="dxa"/>
          </w:tcPr>
          <w:p w14:paraId="2FB9EEA4" w14:textId="79463279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lastRenderedPageBreak/>
              <w:t>7.</w:t>
            </w:r>
          </w:p>
        </w:tc>
        <w:tc>
          <w:tcPr>
            <w:tcW w:w="5393" w:type="dxa"/>
            <w:vAlign w:val="bottom"/>
          </w:tcPr>
          <w:p w14:paraId="0B04C60C" w14:textId="5E16810F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Withdrawal versus continuation of chronic antipsychotic drugs for behavioural and psychological symptoms in older people with dementia. </w:t>
            </w:r>
            <w:hyperlink r:id="rId10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https://doi.org/10.1002/14651858.CD007726.pub3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512E843D" w14:textId="2061FE9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Van Leeuwen et al., (2018)</w:t>
            </w:r>
          </w:p>
        </w:tc>
        <w:tc>
          <w:tcPr>
            <w:tcW w:w="2127" w:type="dxa"/>
          </w:tcPr>
          <w:p w14:paraId="0093F5C0" w14:textId="6A71583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47477535" w14:textId="195178D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evaluates relapse after antipsychotic discontinuation, which reflects the return of the underlying condition rather than physiological ADWRs.</w:t>
            </w:r>
          </w:p>
        </w:tc>
      </w:tr>
      <w:tr w:rsidR="008C1E19" w:rsidRPr="004A21CF" w14:paraId="32187D61" w14:textId="77777777" w:rsidTr="00725DCD">
        <w:tc>
          <w:tcPr>
            <w:tcW w:w="474" w:type="dxa"/>
          </w:tcPr>
          <w:p w14:paraId="65D92E5C" w14:textId="6DA95050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8.</w:t>
            </w:r>
          </w:p>
        </w:tc>
        <w:tc>
          <w:tcPr>
            <w:tcW w:w="5393" w:type="dxa"/>
            <w:vAlign w:val="bottom"/>
          </w:tcPr>
          <w:p w14:paraId="57D4646D" w14:textId="6595A18D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Benefits and Harms of Deprescribing Antihyperglycemics for Adults with Type 2 Diabetes: A Systematic Review. </w:t>
            </w:r>
            <w:hyperlink r:id="rId11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https://doi.org/10.1016/j.jcjd.2022.01.009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A1D7DBF" w14:textId="3863891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Deng et al., (2022)</w:t>
            </w:r>
          </w:p>
        </w:tc>
        <w:tc>
          <w:tcPr>
            <w:tcW w:w="2127" w:type="dxa"/>
          </w:tcPr>
          <w:p w14:paraId="286DBB31" w14:textId="5D8E5220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14B30020" w14:textId="37F1869E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Physiological ADWRs not reported </w:t>
            </w:r>
          </w:p>
        </w:tc>
      </w:tr>
      <w:tr w:rsidR="008C1E19" w:rsidRPr="004A21CF" w14:paraId="38252ADF" w14:textId="77777777" w:rsidTr="00725DCD">
        <w:tc>
          <w:tcPr>
            <w:tcW w:w="474" w:type="dxa"/>
          </w:tcPr>
          <w:p w14:paraId="7F8C704E" w14:textId="6E54CDF0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9.</w:t>
            </w:r>
          </w:p>
        </w:tc>
        <w:tc>
          <w:tcPr>
            <w:tcW w:w="5393" w:type="dxa"/>
            <w:vAlign w:val="bottom"/>
          </w:tcPr>
          <w:p w14:paraId="49BD6050" w14:textId="48C4F762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Frequency, risk factors and symptomatology of iatrogenic withdrawal from opioids and benzodiazepines in critically Ill neonates, children and adults: A systematic review of clinical studies. </w:t>
            </w:r>
            <w:hyperlink r:id="rId12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https://doi.org/10.1111/jcpt.12787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124C032" w14:textId="4753420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Duceppe et al., (2019)</w:t>
            </w:r>
          </w:p>
        </w:tc>
        <w:tc>
          <w:tcPr>
            <w:tcW w:w="2127" w:type="dxa"/>
          </w:tcPr>
          <w:p w14:paraId="79EDFD8D" w14:textId="601978D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3A24FDB0" w14:textId="4C3E7A18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focus on iatrogenic withdrawal and not on the physiological ADWRs</w:t>
            </w:r>
          </w:p>
        </w:tc>
      </w:tr>
      <w:tr w:rsidR="008C1E19" w:rsidRPr="004A21CF" w14:paraId="0EFB9AAE" w14:textId="77777777" w:rsidTr="00725DCD">
        <w:tc>
          <w:tcPr>
            <w:tcW w:w="474" w:type="dxa"/>
          </w:tcPr>
          <w:p w14:paraId="795B74FA" w14:textId="14FD4DAE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10.</w:t>
            </w:r>
          </w:p>
        </w:tc>
        <w:tc>
          <w:tcPr>
            <w:tcW w:w="5393" w:type="dxa"/>
          </w:tcPr>
          <w:p w14:paraId="44A3A13E" w14:textId="4F3266BE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Haloperidol discontinuation for people with schizophrenia. </w:t>
            </w:r>
            <w:hyperlink r:id="rId13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https://doi.org/10.1002/14651858.CD011408.pub2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546DB332" w14:textId="5B9C78B0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Essali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(2019)</w:t>
            </w:r>
          </w:p>
        </w:tc>
        <w:tc>
          <w:tcPr>
            <w:tcW w:w="2127" w:type="dxa"/>
          </w:tcPr>
          <w:p w14:paraId="0F805FAE" w14:textId="1CCEE6D5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4AE359DF" w14:textId="487A4CA0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focus on Relapse and not on the physiological ADWRs</w:t>
            </w:r>
          </w:p>
        </w:tc>
      </w:tr>
      <w:tr w:rsidR="008C1E19" w:rsidRPr="004A21CF" w14:paraId="2E5B1729" w14:textId="77777777" w:rsidTr="00725DCD">
        <w:tc>
          <w:tcPr>
            <w:tcW w:w="474" w:type="dxa"/>
          </w:tcPr>
          <w:p w14:paraId="0C5A4AA4" w14:textId="632DE308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11.</w:t>
            </w:r>
          </w:p>
        </w:tc>
        <w:tc>
          <w:tcPr>
            <w:tcW w:w="5393" w:type="dxa"/>
          </w:tcPr>
          <w:p w14:paraId="7EEE1F4F" w14:textId="16DA6866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Prothrombotic Rebound After Discontinuation of Direct Oral Anticoagulants Therapy: A Systematic Review. </w:t>
            </w:r>
            <w:hyperlink r:id="rId14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https://doi.org/10.3390/jcm13216606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</w:tcPr>
          <w:p w14:paraId="10342093" w14:textId="53E3D57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Frydrych et al., (2024)</w:t>
            </w:r>
          </w:p>
        </w:tc>
        <w:tc>
          <w:tcPr>
            <w:tcW w:w="2127" w:type="dxa"/>
          </w:tcPr>
          <w:p w14:paraId="3AD25915" w14:textId="668109D9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32B03E84" w14:textId="7F63BEF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examined "Prothrombotic Rebound" and not the physiological ADWRs</w:t>
            </w:r>
          </w:p>
        </w:tc>
      </w:tr>
      <w:tr w:rsidR="008C1E19" w:rsidRPr="004A21CF" w14:paraId="56CA3BDD" w14:textId="77777777" w:rsidTr="00725DCD">
        <w:tc>
          <w:tcPr>
            <w:tcW w:w="474" w:type="dxa"/>
          </w:tcPr>
          <w:p w14:paraId="612A18DC" w14:textId="462AC1FF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12.</w:t>
            </w:r>
          </w:p>
        </w:tc>
        <w:tc>
          <w:tcPr>
            <w:tcW w:w="5393" w:type="dxa"/>
          </w:tcPr>
          <w:p w14:paraId="270896F4" w14:textId="30A12015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Withdrawal of Inhaled Corticosteroids from Patients with COPD; Effect on Exacerbation Frequency and Lung Function: A Systematic Review. </w:t>
            </w:r>
            <w:hyperlink r:id="rId15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https://doi.org/10.2147/COPD.S436525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F93C438" w14:textId="30589B46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 Georgiou et al., (2024)</w:t>
            </w:r>
          </w:p>
        </w:tc>
        <w:tc>
          <w:tcPr>
            <w:tcW w:w="2127" w:type="dxa"/>
          </w:tcPr>
          <w:p w14:paraId="32DB46F3" w14:textId="5249978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213DB15F" w14:textId="6C46303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Focus on COPD exacerbation frequency following ICS withdrawal (return or relapse of the underlying COPD condition) and not a physiological ADWRs.</w:t>
            </w:r>
          </w:p>
        </w:tc>
      </w:tr>
      <w:tr w:rsidR="008C1E19" w:rsidRPr="004A21CF" w14:paraId="36A086C3" w14:textId="77777777" w:rsidTr="00725DCD">
        <w:tc>
          <w:tcPr>
            <w:tcW w:w="474" w:type="dxa"/>
          </w:tcPr>
          <w:p w14:paraId="1F45CB1B" w14:textId="24D9FC79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13.</w:t>
            </w:r>
          </w:p>
        </w:tc>
        <w:tc>
          <w:tcPr>
            <w:tcW w:w="5393" w:type="dxa"/>
          </w:tcPr>
          <w:p w14:paraId="538D803B" w14:textId="5BB48D96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Interventions to help patients withdraw from depression drugs: A systematic review. </w:t>
            </w:r>
            <w:hyperlink r:id="rId16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https://doi.org/10.3233/JRS-230011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767D44D3" w14:textId="38A8AB0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Gøtzsche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and </w:t>
            </w: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Demasi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(2024)</w:t>
            </w:r>
          </w:p>
        </w:tc>
        <w:tc>
          <w:tcPr>
            <w:tcW w:w="2127" w:type="dxa"/>
          </w:tcPr>
          <w:p w14:paraId="3EC65A59" w14:textId="39B5145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72DA1250" w14:textId="7777777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None of the studies reported on the incidence of withdrawal symptoms and nor reported the physiological ADWRs</w:t>
            </w:r>
          </w:p>
          <w:p w14:paraId="5A84E05F" w14:textId="7777777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8C1E19" w:rsidRPr="004A21CF" w14:paraId="6BDCBB95" w14:textId="77777777" w:rsidTr="00725DCD">
        <w:tc>
          <w:tcPr>
            <w:tcW w:w="474" w:type="dxa"/>
          </w:tcPr>
          <w:p w14:paraId="19D68A99" w14:textId="05F46E7F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14.</w:t>
            </w:r>
          </w:p>
        </w:tc>
        <w:tc>
          <w:tcPr>
            <w:tcW w:w="5393" w:type="dxa"/>
          </w:tcPr>
          <w:p w14:paraId="568FC468" w14:textId="55741E2B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Benefits and harms of long-term opioid dose reduction or discontinuation in patients with chronic pain. </w:t>
            </w:r>
            <w:hyperlink r:id="rId17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https://doi.org/10.1007/s11606-020-06253-8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46EA5CB" w14:textId="62B6334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Mackey et al., (2020)</w:t>
            </w:r>
          </w:p>
        </w:tc>
        <w:tc>
          <w:tcPr>
            <w:tcW w:w="2127" w:type="dxa"/>
          </w:tcPr>
          <w:p w14:paraId="03DB38B0" w14:textId="02D94A70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0C1A668C" w14:textId="65096DE5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does not report rate or characteristics of ADWRs</w:t>
            </w:r>
          </w:p>
        </w:tc>
      </w:tr>
      <w:tr w:rsidR="008C1E19" w:rsidRPr="004A21CF" w14:paraId="01B4376E" w14:textId="77777777" w:rsidTr="00725DCD">
        <w:tc>
          <w:tcPr>
            <w:tcW w:w="474" w:type="dxa"/>
          </w:tcPr>
          <w:p w14:paraId="00747B75" w14:textId="46807124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15.</w:t>
            </w:r>
          </w:p>
        </w:tc>
        <w:tc>
          <w:tcPr>
            <w:tcW w:w="5393" w:type="dxa"/>
          </w:tcPr>
          <w:p w14:paraId="0FB0EEF4" w14:textId="35C9E7C6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Early relapse after antidepressant discontinuation may represent antidepressant discontinuation syndrome in major depressive disorder: A meta-analysis. </w:t>
            </w:r>
            <w:hyperlink r:id="rId18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https://doi.org/10.1016/j.ajp.2023.103502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11CBCA01" w14:textId="1DCD71E5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Kishi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(2023)</w:t>
            </w:r>
          </w:p>
        </w:tc>
        <w:tc>
          <w:tcPr>
            <w:tcW w:w="2127" w:type="dxa"/>
          </w:tcPr>
          <w:p w14:paraId="521152A7" w14:textId="6D97254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7D9CC165" w14:textId="5A7EBCE9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This is review examined relapse (the return of a disease or symptoms) and not a physiological ADWRs. </w:t>
            </w:r>
          </w:p>
        </w:tc>
      </w:tr>
      <w:tr w:rsidR="008C1E19" w:rsidRPr="004A21CF" w14:paraId="34AAC96F" w14:textId="77777777" w:rsidTr="00725DCD">
        <w:tc>
          <w:tcPr>
            <w:tcW w:w="474" w:type="dxa"/>
          </w:tcPr>
          <w:p w14:paraId="648BD6D2" w14:textId="63E7F557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16.</w:t>
            </w:r>
          </w:p>
        </w:tc>
        <w:tc>
          <w:tcPr>
            <w:tcW w:w="5393" w:type="dxa"/>
          </w:tcPr>
          <w:p w14:paraId="63BD1B71" w14:textId="0E06AD24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Immediate vs Gradual Discontinuation in Antipsychotic Switching: A Systematic Review and Meta-analysis. </w:t>
            </w:r>
            <w:hyperlink r:id="rId19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https://doi.org/10.1093/schbul/sbw171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8D2A021" w14:textId="312CEDB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Takeuchi et al., (2017)</w:t>
            </w:r>
          </w:p>
        </w:tc>
        <w:tc>
          <w:tcPr>
            <w:tcW w:w="2127" w:type="dxa"/>
          </w:tcPr>
          <w:p w14:paraId="73560945" w14:textId="23A90CD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46AEA2DD" w14:textId="275EF2F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focuses on comparing immediate versus gradual discontinuation strategies during antipsychotic switching. ADWRs outcomes were not examined.</w:t>
            </w:r>
          </w:p>
        </w:tc>
      </w:tr>
      <w:tr w:rsidR="008C1E19" w:rsidRPr="004A21CF" w14:paraId="2D3D9694" w14:textId="77777777" w:rsidTr="00725DCD">
        <w:tc>
          <w:tcPr>
            <w:tcW w:w="474" w:type="dxa"/>
          </w:tcPr>
          <w:p w14:paraId="2026DD99" w14:textId="2C517D1A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17.</w:t>
            </w:r>
          </w:p>
        </w:tc>
        <w:tc>
          <w:tcPr>
            <w:tcW w:w="5393" w:type="dxa"/>
          </w:tcPr>
          <w:p w14:paraId="0E0FE9FC" w14:textId="17462366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Continuation versus discontinuation of antiplatelet therapy for bleeding and </w:t>
            </w: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ischaemic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events in adults undergoing non‐cardiac surgery. </w:t>
            </w:r>
            <w:hyperlink r:id="rId20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https://doi.org/10.1002/14651858.CD012584.pub2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</w:tcPr>
          <w:p w14:paraId="13903341" w14:textId="78C8CD14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Lewis et al., (2018)</w:t>
            </w:r>
          </w:p>
        </w:tc>
        <w:tc>
          <w:tcPr>
            <w:tcW w:w="2127" w:type="dxa"/>
          </w:tcPr>
          <w:p w14:paraId="1E0AFBC3" w14:textId="4A706DFA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266935B1" w14:textId="5637F77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This study evaluates clinical outcomes (bleeding, ischemic events, and mortality) after continuation versus discontinuation of </w:t>
            </w:r>
            <w:r w:rsidRPr="004A21CF">
              <w:rPr>
                <w:rFonts w:ascii="Times New Roman" w:hAnsi="Times New Roman" w:cs="Times New Roman"/>
                <w:szCs w:val="20"/>
              </w:rPr>
              <w:lastRenderedPageBreak/>
              <w:t>antiplatelet therapy, but does not report on physiological ADWRs</w:t>
            </w:r>
          </w:p>
        </w:tc>
      </w:tr>
      <w:tr w:rsidR="008C1E19" w:rsidRPr="004A21CF" w14:paraId="3F68966A" w14:textId="77777777" w:rsidTr="00725DCD">
        <w:tc>
          <w:tcPr>
            <w:tcW w:w="474" w:type="dxa"/>
          </w:tcPr>
          <w:p w14:paraId="279652C5" w14:textId="7E8A01BC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lastRenderedPageBreak/>
              <w:t>18.</w:t>
            </w:r>
          </w:p>
        </w:tc>
        <w:tc>
          <w:tcPr>
            <w:tcW w:w="5393" w:type="dxa"/>
          </w:tcPr>
          <w:p w14:paraId="4CF228A8" w14:textId="2478E323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Effectiveness of non-opioid interventions to reduce opioid withdrawal symptoms in patients with chronic pain: a systematic review. </w:t>
            </w:r>
            <w:hyperlink r:id="rId21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https://doi.org/10.1093/fampra/cmab159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</w:tcPr>
          <w:p w14:paraId="010E8DC0" w14:textId="4CAE7A20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Langejan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(2022)</w:t>
            </w:r>
          </w:p>
        </w:tc>
        <w:tc>
          <w:tcPr>
            <w:tcW w:w="2127" w:type="dxa"/>
          </w:tcPr>
          <w:p w14:paraId="2660B4A0" w14:textId="5C8FF13E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66FE289A" w14:textId="1926CCA4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No information on rate of ADWRs and characteristics </w:t>
            </w:r>
          </w:p>
        </w:tc>
      </w:tr>
      <w:tr w:rsidR="008C1E19" w:rsidRPr="004A21CF" w14:paraId="3B7DB229" w14:textId="77777777" w:rsidTr="00725DCD">
        <w:tc>
          <w:tcPr>
            <w:tcW w:w="474" w:type="dxa"/>
          </w:tcPr>
          <w:p w14:paraId="07EF36A2" w14:textId="557D6DED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19.</w:t>
            </w:r>
          </w:p>
        </w:tc>
        <w:tc>
          <w:tcPr>
            <w:tcW w:w="5393" w:type="dxa"/>
          </w:tcPr>
          <w:p w14:paraId="7F0F90B8" w14:textId="12403DC5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Risks and benefits of statin deprescription in palliative care: A systemic review of the literature. </w:t>
            </w:r>
            <w:hyperlink r:id="rId22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https://doi.org/10.20986/medpal.2020.1153/2020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132FDD51" w14:textId="458E6C3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Málaga et al., (2021)</w:t>
            </w:r>
          </w:p>
        </w:tc>
        <w:tc>
          <w:tcPr>
            <w:tcW w:w="2127" w:type="dxa"/>
          </w:tcPr>
          <w:p w14:paraId="2E4A2F0A" w14:textId="03DB0015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6EFB5877" w14:textId="039EE7A5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Does not meet the definition of a systematic review and adverse effects are primarily relate to the continued use of statins (</w:t>
            </w:r>
            <w:proofErr w:type="gramStart"/>
            <w:r w:rsidRPr="004A21CF">
              <w:rPr>
                <w:rFonts w:ascii="Times New Roman" w:hAnsi="Times New Roman" w:cs="Times New Roman"/>
                <w:szCs w:val="20"/>
              </w:rPr>
              <w:t>e.g.</w:t>
            </w:r>
            <w:proofErr w:type="gramEnd"/>
            <w:r w:rsidRPr="004A21CF">
              <w:rPr>
                <w:rFonts w:ascii="Times New Roman" w:hAnsi="Times New Roman" w:cs="Times New Roman"/>
                <w:szCs w:val="20"/>
              </w:rPr>
              <w:t xml:space="preserve"> drug interactions and side effects) rather than physiological ADWRs.</w:t>
            </w:r>
          </w:p>
        </w:tc>
      </w:tr>
      <w:tr w:rsidR="008C1E19" w:rsidRPr="004A21CF" w14:paraId="027E3E8A" w14:textId="77777777" w:rsidTr="00725DCD">
        <w:tc>
          <w:tcPr>
            <w:tcW w:w="474" w:type="dxa"/>
          </w:tcPr>
          <w:p w14:paraId="6E99C92D" w14:textId="1E2C0CB7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20.</w:t>
            </w:r>
          </w:p>
        </w:tc>
        <w:tc>
          <w:tcPr>
            <w:tcW w:w="5393" w:type="dxa"/>
          </w:tcPr>
          <w:p w14:paraId="1CC7A834" w14:textId="02295965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Clinical impact of medication review and deprescribing in older inpatients: A systematic review and meta-analysis. </w:t>
            </w:r>
            <w:hyperlink r:id="rId23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https://doi.org/10.1111/jgs.19035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328C9940" w14:textId="075730DE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Carollo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(2024)</w:t>
            </w:r>
          </w:p>
        </w:tc>
        <w:tc>
          <w:tcPr>
            <w:tcW w:w="2127" w:type="dxa"/>
          </w:tcPr>
          <w:p w14:paraId="56DFF53B" w14:textId="36FA5878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68CFAF20" w14:textId="3D20B75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Does not examine the incidence or characteristics of physiological ADWRs, nor does it provide evidence related to withdrawal symptoms or harms associated with medication discontinuation. </w:t>
            </w:r>
          </w:p>
        </w:tc>
      </w:tr>
      <w:tr w:rsidR="008C1E19" w:rsidRPr="004A21CF" w14:paraId="4DEE1778" w14:textId="77777777" w:rsidTr="00725DCD">
        <w:tc>
          <w:tcPr>
            <w:tcW w:w="474" w:type="dxa"/>
          </w:tcPr>
          <w:p w14:paraId="47E457A2" w14:textId="67B4573C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21.</w:t>
            </w:r>
          </w:p>
        </w:tc>
        <w:tc>
          <w:tcPr>
            <w:tcW w:w="5393" w:type="dxa"/>
          </w:tcPr>
          <w:p w14:paraId="1E02C655" w14:textId="559168E8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Methylphenidate for attention deficit hyperactivity disorder (ADHD) in children and adolescents – assessment of adverse events in non‐randomised studies. </w:t>
            </w:r>
            <w:hyperlink r:id="rId24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https://doi.org/10.1002/14651858.CD012069.pub2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B7F749B" w14:textId="467266F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Storebø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(2018)</w:t>
            </w:r>
          </w:p>
        </w:tc>
        <w:tc>
          <w:tcPr>
            <w:tcW w:w="2127" w:type="dxa"/>
          </w:tcPr>
          <w:p w14:paraId="13A95453" w14:textId="2DE42383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6214AAEC" w14:textId="4993866D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The study assessed the adverse events associated with methylphenidate treatment for children and adolescents, not adverse events related to discontinuation or withdrawal of the drug (physiological ADW</w:t>
            </w:r>
            <w:r w:rsidR="008A35F0" w:rsidRPr="004A21CF">
              <w:rPr>
                <w:rFonts w:ascii="Times New Roman" w:hAnsi="Times New Roman" w:cs="Times New Roman"/>
                <w:szCs w:val="20"/>
              </w:rPr>
              <w:t>R</w:t>
            </w:r>
            <w:r w:rsidRPr="004A21CF">
              <w:rPr>
                <w:rFonts w:ascii="Times New Roman" w:hAnsi="Times New Roman" w:cs="Times New Roman"/>
                <w:szCs w:val="20"/>
              </w:rPr>
              <w:t xml:space="preserve">s). </w:t>
            </w:r>
          </w:p>
        </w:tc>
      </w:tr>
      <w:tr w:rsidR="008C1E19" w:rsidRPr="004A21CF" w14:paraId="35CAAD81" w14:textId="77777777" w:rsidTr="00725DCD">
        <w:tc>
          <w:tcPr>
            <w:tcW w:w="474" w:type="dxa"/>
          </w:tcPr>
          <w:p w14:paraId="77B01276" w14:textId="05E95EC1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22.</w:t>
            </w:r>
          </w:p>
        </w:tc>
        <w:tc>
          <w:tcPr>
            <w:tcW w:w="5393" w:type="dxa"/>
          </w:tcPr>
          <w:p w14:paraId="38C13805" w14:textId="5A05E46F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Immediate versus wait-and-gradual discontinuation in antipsychotic switching: A meta-analysis. </w:t>
            </w:r>
            <w:hyperlink r:id="rId25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https://doi.org/10.1177/0269881120922964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78EFB18" w14:textId="2F19681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Takeuchi and Remington (2020)</w:t>
            </w:r>
          </w:p>
        </w:tc>
        <w:tc>
          <w:tcPr>
            <w:tcW w:w="2127" w:type="dxa"/>
          </w:tcPr>
          <w:p w14:paraId="7343BB68" w14:textId="7CBA23A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08797002" w14:textId="0BF772FA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systematic review focuses on antipsychotic switching strategies rather than complete discontinuation or withdrawal. Does not examine the incidence or characteristics of physiological ADWRs</w:t>
            </w:r>
          </w:p>
        </w:tc>
      </w:tr>
      <w:tr w:rsidR="008C1E19" w:rsidRPr="004A21CF" w14:paraId="28016447" w14:textId="77777777" w:rsidTr="00725DCD">
        <w:tc>
          <w:tcPr>
            <w:tcW w:w="474" w:type="dxa"/>
          </w:tcPr>
          <w:p w14:paraId="0ACA4382" w14:textId="525A82C1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23.</w:t>
            </w:r>
          </w:p>
        </w:tc>
        <w:tc>
          <w:tcPr>
            <w:tcW w:w="5393" w:type="dxa"/>
          </w:tcPr>
          <w:p w14:paraId="0C8C7DEA" w14:textId="2F028D1B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Gradual vs. wait-and-gradual discontinuation in antipsychotic switching: A meta-analysis. </w:t>
            </w:r>
            <w:hyperlink r:id="rId26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https://doi.org/10.1016/j.schres.2017.02.011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4C72984" w14:textId="0FEC05B3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Takeuchi et al., (2017)</w:t>
            </w:r>
          </w:p>
        </w:tc>
        <w:tc>
          <w:tcPr>
            <w:tcW w:w="2127" w:type="dxa"/>
          </w:tcPr>
          <w:p w14:paraId="67906692" w14:textId="6CA3630A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29BBE308" w14:textId="531B6D9E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Does not examine the incidence or characteristics of physiological ADWRs</w:t>
            </w:r>
          </w:p>
        </w:tc>
      </w:tr>
      <w:tr w:rsidR="008C1E19" w:rsidRPr="004A21CF" w14:paraId="3DE29A89" w14:textId="77777777" w:rsidTr="00725DCD">
        <w:tc>
          <w:tcPr>
            <w:tcW w:w="474" w:type="dxa"/>
          </w:tcPr>
          <w:p w14:paraId="3A7D7B32" w14:textId="43FECF0B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24.</w:t>
            </w:r>
          </w:p>
        </w:tc>
        <w:tc>
          <w:tcPr>
            <w:tcW w:w="5393" w:type="dxa"/>
          </w:tcPr>
          <w:p w14:paraId="7AEC0401" w14:textId="0DED2644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Medicine </w:t>
            </w: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Optimisation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and Deprescribing Intervention Outcomes for Older People with Dementia or Mild Cognitive Impairment: A Systematic Review. </w:t>
            </w:r>
            <w:hyperlink r:id="rId27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https://doi.org/10.1007/s40266-025-01189-2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4B628835" w14:textId="5DE1B24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Andrews et al., (2025)</w:t>
            </w:r>
          </w:p>
        </w:tc>
        <w:tc>
          <w:tcPr>
            <w:tcW w:w="2127" w:type="dxa"/>
          </w:tcPr>
          <w:p w14:paraId="1E103E2F" w14:textId="3680404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702E5E3F" w14:textId="712DD2E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Does not examine the incidence or characteristics of physiological ADWRs</w:t>
            </w:r>
          </w:p>
        </w:tc>
      </w:tr>
      <w:tr w:rsidR="008C1E19" w:rsidRPr="004A21CF" w14:paraId="3E2C3121" w14:textId="77777777" w:rsidTr="00725DCD">
        <w:tc>
          <w:tcPr>
            <w:tcW w:w="474" w:type="dxa"/>
          </w:tcPr>
          <w:p w14:paraId="4220BAAB" w14:textId="545E65D0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25.</w:t>
            </w:r>
          </w:p>
        </w:tc>
        <w:tc>
          <w:tcPr>
            <w:tcW w:w="5393" w:type="dxa"/>
          </w:tcPr>
          <w:p w14:paraId="7CA607D6" w14:textId="05FFF6B5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Cholinesterase inhibitor discontinuation in patients with Alzheimer's disease: a meta-analysis of randomized controlled trials. </w:t>
            </w:r>
            <w:hyperlink r:id="rId28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https://doi.org/10.4088/JCP.14r09237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8879528" w14:textId="47A81FB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O'Regan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(2015)</w:t>
            </w:r>
          </w:p>
        </w:tc>
        <w:tc>
          <w:tcPr>
            <w:tcW w:w="2127" w:type="dxa"/>
          </w:tcPr>
          <w:p w14:paraId="5471CF1C" w14:textId="17D4D45F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2D234C20" w14:textId="5AE3F8C8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Adverse events associated with withdrawal were related to the original condition worsening/returning (relapse)</w:t>
            </w:r>
          </w:p>
        </w:tc>
      </w:tr>
      <w:tr w:rsidR="008C1E19" w:rsidRPr="004A21CF" w14:paraId="05AE2498" w14:textId="77777777" w:rsidTr="00725DCD">
        <w:tc>
          <w:tcPr>
            <w:tcW w:w="474" w:type="dxa"/>
          </w:tcPr>
          <w:p w14:paraId="1965B260" w14:textId="13147650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26.</w:t>
            </w:r>
          </w:p>
        </w:tc>
        <w:tc>
          <w:tcPr>
            <w:tcW w:w="5393" w:type="dxa"/>
          </w:tcPr>
          <w:p w14:paraId="6D78BA21" w14:textId="76CBFA4D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Strategies for discontinuing long-term benzodiazepine use: meta-analysis. </w:t>
            </w:r>
            <w:hyperlink r:id="rId29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https://doi.org/10.1192/bjp.189.3.213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4B89791A" w14:textId="0A4E6086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Voshaar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(2006)</w:t>
            </w:r>
          </w:p>
        </w:tc>
        <w:tc>
          <w:tcPr>
            <w:tcW w:w="2127" w:type="dxa"/>
          </w:tcPr>
          <w:p w14:paraId="73F7B0AF" w14:textId="7BD9B49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00422C67" w14:textId="69F202B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This review examined the BZD discontinuation; however, its primary focus </w:t>
            </w:r>
            <w:r w:rsidRPr="004A21CF">
              <w:rPr>
                <w:rFonts w:ascii="Times New Roman" w:hAnsi="Times New Roman" w:cs="Times New Roman"/>
                <w:szCs w:val="20"/>
              </w:rPr>
              <w:lastRenderedPageBreak/>
              <w:t>is on success/effectiveness of strategies, not ADWRs harms or adverse events.</w:t>
            </w:r>
          </w:p>
        </w:tc>
      </w:tr>
      <w:tr w:rsidR="008C1E19" w:rsidRPr="004A21CF" w14:paraId="7C9A4033" w14:textId="77777777" w:rsidTr="00725DCD">
        <w:tc>
          <w:tcPr>
            <w:tcW w:w="474" w:type="dxa"/>
          </w:tcPr>
          <w:p w14:paraId="65CF75B3" w14:textId="35F781FD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lastRenderedPageBreak/>
              <w:t>27.</w:t>
            </w:r>
          </w:p>
        </w:tc>
        <w:tc>
          <w:tcPr>
            <w:tcW w:w="5393" w:type="dxa"/>
          </w:tcPr>
          <w:p w14:paraId="62E335CF" w14:textId="045FC622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Gradual dose reduction versus abrupt deprescription of antipsychotic in patients with dementia: A systematic review. </w:t>
            </w:r>
            <w:hyperlink r:id="rId30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https://doi.org/10.30827/ars.v66i2.31635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4194219D" w14:textId="6940C60A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Oyarzo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(2025)</w:t>
            </w:r>
          </w:p>
        </w:tc>
        <w:tc>
          <w:tcPr>
            <w:tcW w:w="2127" w:type="dxa"/>
          </w:tcPr>
          <w:p w14:paraId="6ADA4E96" w14:textId="74FA569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5405C66E" w14:textId="42D9648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systematic review focused on the relapse of behavioral and psychological symptoms of dementia (BPSD) following antipsychotic discontinuation. Physiological ADWRs were not a reported outcome</w:t>
            </w:r>
          </w:p>
        </w:tc>
      </w:tr>
      <w:tr w:rsidR="008C1E19" w:rsidRPr="004A21CF" w14:paraId="1CD2B860" w14:textId="77777777" w:rsidTr="00725DCD">
        <w:tc>
          <w:tcPr>
            <w:tcW w:w="474" w:type="dxa"/>
          </w:tcPr>
          <w:p w14:paraId="65A433BF" w14:textId="399AFA65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28.</w:t>
            </w:r>
          </w:p>
        </w:tc>
        <w:tc>
          <w:tcPr>
            <w:tcW w:w="5393" w:type="dxa"/>
          </w:tcPr>
          <w:p w14:paraId="67620EE9" w14:textId="578A78CA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Discontinuation of Renin-Angiotensin System Inhibitors and Clinical Outcomes in Chronic Kidney Disease: A Systemic Review and Meta-Analysis. </w:t>
            </w:r>
            <w:hyperlink r:id="rId31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https://doi.org/10.1159/000531000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37E2E965" w14:textId="7648CF32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Tang et al., (2023)</w:t>
            </w:r>
          </w:p>
        </w:tc>
        <w:tc>
          <w:tcPr>
            <w:tcW w:w="2127" w:type="dxa"/>
          </w:tcPr>
          <w:p w14:paraId="17209EFC" w14:textId="6241ADFE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597FF479" w14:textId="0CBCDAC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does not report on the incidence and characteristics of physiological ADWRs.</w:t>
            </w:r>
          </w:p>
        </w:tc>
      </w:tr>
      <w:tr w:rsidR="008C1E19" w:rsidRPr="004A21CF" w14:paraId="3B2D6968" w14:textId="77777777" w:rsidTr="00725DCD">
        <w:tc>
          <w:tcPr>
            <w:tcW w:w="474" w:type="dxa"/>
          </w:tcPr>
          <w:p w14:paraId="5A29E969" w14:textId="1390AA82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29.</w:t>
            </w:r>
          </w:p>
        </w:tc>
        <w:tc>
          <w:tcPr>
            <w:tcW w:w="5393" w:type="dxa"/>
          </w:tcPr>
          <w:p w14:paraId="14EC4687" w14:textId="44225857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Effects of discontinuation of chronic medication in primary care: a systematic review of deprescribing trials. </w:t>
            </w:r>
            <w:hyperlink r:id="rId32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https://doi.org/10.3399/bjgp18X699041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475A534D" w14:textId="74A3DD1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Thio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et al., 2018</w:t>
            </w:r>
          </w:p>
        </w:tc>
        <w:tc>
          <w:tcPr>
            <w:tcW w:w="2127" w:type="dxa"/>
          </w:tcPr>
          <w:p w14:paraId="6F3A9BE5" w14:textId="4D65B33E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367B81C0" w14:textId="519A1CFA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Focused on relapse/return of symptoms and does not examine the incidence or characteristics of physiological ADWRs</w:t>
            </w:r>
          </w:p>
        </w:tc>
      </w:tr>
      <w:tr w:rsidR="008C1E19" w:rsidRPr="004A21CF" w14:paraId="6B526831" w14:textId="77777777" w:rsidTr="00725DCD">
        <w:tc>
          <w:tcPr>
            <w:tcW w:w="474" w:type="dxa"/>
          </w:tcPr>
          <w:p w14:paraId="0971C297" w14:textId="01EE6978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30.</w:t>
            </w:r>
          </w:p>
        </w:tc>
        <w:tc>
          <w:tcPr>
            <w:tcW w:w="5393" w:type="dxa"/>
          </w:tcPr>
          <w:p w14:paraId="6C42E315" w14:textId="2056794A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Evidence database for deprescribing of antipsychotic drugs in elderly and senile patients. </w:t>
            </w:r>
            <w:hyperlink r:id="rId33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https://doi.org/10.17116/jnevro2019119051162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5D0EA0BA" w14:textId="3077D6E3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Tkacheva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et al., (2019)</w:t>
            </w:r>
          </w:p>
        </w:tc>
        <w:tc>
          <w:tcPr>
            <w:tcW w:w="2127" w:type="dxa"/>
          </w:tcPr>
          <w:p w14:paraId="1538E267" w14:textId="007B957D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4252534C" w14:textId="202299C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None of the studies assessed withdrawal symptoms and </w:t>
            </w:r>
            <w:r w:rsidRPr="004A21CF">
              <w:rPr>
                <w:rFonts w:ascii="Times New Roman" w:hAnsi="Times New Roman" w:cs="Times New Roman"/>
                <w:szCs w:val="20"/>
              </w:rPr>
              <w:t>does not report the incidence or characteristics of physiological ADWRs</w:t>
            </w:r>
          </w:p>
        </w:tc>
      </w:tr>
      <w:tr w:rsidR="008C1E19" w:rsidRPr="004A21CF" w14:paraId="01C31E69" w14:textId="77777777" w:rsidTr="00725DCD">
        <w:tc>
          <w:tcPr>
            <w:tcW w:w="474" w:type="dxa"/>
          </w:tcPr>
          <w:p w14:paraId="54D01010" w14:textId="5A43E336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31.</w:t>
            </w:r>
          </w:p>
        </w:tc>
        <w:tc>
          <w:tcPr>
            <w:tcW w:w="5393" w:type="dxa"/>
          </w:tcPr>
          <w:p w14:paraId="4D050FBA" w14:textId="6A723811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Discontinuation of alpha-blocker therapy in men with lower urinary tract symptoms: a systematic review and meta-analysis. </w:t>
            </w:r>
            <w:hyperlink r:id="rId34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https://doi.org/10.1136/bmjopen-2019-030405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56392B36" w14:textId="3ADDC22D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van der </w:t>
            </w: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Worp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et al., (2019)</w:t>
            </w:r>
          </w:p>
        </w:tc>
        <w:tc>
          <w:tcPr>
            <w:tcW w:w="2127" w:type="dxa"/>
          </w:tcPr>
          <w:p w14:paraId="6A3B8BE2" w14:textId="686EF9F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09725211" w14:textId="047916E3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Focused on worsening/return of original symptoms and </w:t>
            </w:r>
            <w:r w:rsidRPr="004A21CF">
              <w:rPr>
                <w:rFonts w:ascii="Times New Roman" w:hAnsi="Times New Roman" w:cs="Times New Roman"/>
                <w:szCs w:val="20"/>
              </w:rPr>
              <w:t>does not report the incidence or characteristics of physiological ADWRs</w:t>
            </w:r>
          </w:p>
        </w:tc>
      </w:tr>
      <w:tr w:rsidR="008C1E19" w:rsidRPr="004A21CF" w14:paraId="18DAB02F" w14:textId="77777777" w:rsidTr="00725DCD">
        <w:tc>
          <w:tcPr>
            <w:tcW w:w="474" w:type="dxa"/>
          </w:tcPr>
          <w:p w14:paraId="67EC429F" w14:textId="5C48D005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32.</w:t>
            </w:r>
          </w:p>
        </w:tc>
        <w:tc>
          <w:tcPr>
            <w:tcW w:w="5393" w:type="dxa"/>
          </w:tcPr>
          <w:p w14:paraId="6DC4AAD2" w14:textId="552DE6C3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Antipsychotic Discontinuation in Patients with Dementia: A Systematic Review and Meta-Analysis of Published Randomized Controlled Studies. </w:t>
            </w:r>
            <w:hyperlink r:id="rId35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https://doi.org/10.1159/000355418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2CDA2B0F" w14:textId="5CFAB5CF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Pan et al., (2014)</w:t>
            </w:r>
          </w:p>
        </w:tc>
        <w:tc>
          <w:tcPr>
            <w:tcW w:w="2127" w:type="dxa"/>
          </w:tcPr>
          <w:p w14:paraId="48B2A029" w14:textId="191DA06A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07B72A34" w14:textId="209FD0A9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Focused primarily on the return of symptoms (BPSD: behavioral and psychological symptoms of dementia), and not on the physiological ADWRs</w:t>
            </w:r>
          </w:p>
        </w:tc>
      </w:tr>
      <w:tr w:rsidR="008C1E19" w:rsidRPr="004A21CF" w14:paraId="60DAF397" w14:textId="77777777" w:rsidTr="00725DCD">
        <w:tc>
          <w:tcPr>
            <w:tcW w:w="474" w:type="dxa"/>
          </w:tcPr>
          <w:p w14:paraId="34F4A858" w14:textId="3F4233AA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33.</w:t>
            </w:r>
          </w:p>
        </w:tc>
        <w:tc>
          <w:tcPr>
            <w:tcW w:w="5393" w:type="dxa"/>
          </w:tcPr>
          <w:p w14:paraId="28EAF6FC" w14:textId="2E14A82E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Effectiveness of current treatment approaches for benzodiazepine discontinuation: a meta-analysis.  </w:t>
            </w:r>
            <w:hyperlink r:id="rId36" w:history="1">
              <w:r w:rsidRPr="004A21CF">
                <w:rPr>
                  <w:rStyle w:val="Hyperlink"/>
                  <w:rFonts w:ascii="Times New Roman" w:hAnsi="Times New Roman" w:cs="Times New Roman"/>
                  <w:noProof/>
                  <w:szCs w:val="20"/>
                </w:rPr>
                <w:t>https://doi.org/10.1111/j.1360-0443.2008.02364.x</w:t>
              </w:r>
            </w:hyperlink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5911F22B" w14:textId="6984BCCF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Parr et al., (2009)</w:t>
            </w:r>
          </w:p>
        </w:tc>
        <w:tc>
          <w:tcPr>
            <w:tcW w:w="2127" w:type="dxa"/>
          </w:tcPr>
          <w:p w14:paraId="2084468C" w14:textId="244C31B5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0D93240E" w14:textId="1A1BC4C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mentioned the rate or the characteristics of the ADWRs within the results/outcomes. Instead, focuses on the effectiveness of different discontinuation strategies (</w:t>
            </w:r>
            <w:proofErr w:type="gramStart"/>
            <w:r w:rsidRPr="004A21CF">
              <w:rPr>
                <w:rFonts w:ascii="Times New Roman" w:hAnsi="Times New Roman" w:cs="Times New Roman"/>
                <w:szCs w:val="20"/>
              </w:rPr>
              <w:t>i.e.</w:t>
            </w:r>
            <w:proofErr w:type="gramEnd"/>
            <w:r w:rsidRPr="004A21CF">
              <w:rPr>
                <w:rFonts w:ascii="Times New Roman" w:hAnsi="Times New Roman" w:cs="Times New Roman"/>
                <w:szCs w:val="20"/>
              </w:rPr>
              <w:t xml:space="preserve"> whether different strategies had increased successful cessation)</w:t>
            </w:r>
          </w:p>
        </w:tc>
      </w:tr>
      <w:tr w:rsidR="008C1E19" w:rsidRPr="004A21CF" w14:paraId="0EFB7371" w14:textId="77777777" w:rsidTr="00725DCD">
        <w:tc>
          <w:tcPr>
            <w:tcW w:w="474" w:type="dxa"/>
          </w:tcPr>
          <w:p w14:paraId="44E24D2E" w14:textId="599BB7C5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34.</w:t>
            </w:r>
          </w:p>
        </w:tc>
        <w:tc>
          <w:tcPr>
            <w:tcW w:w="5393" w:type="dxa"/>
          </w:tcPr>
          <w:p w14:paraId="38B7C3EA" w14:textId="365989FF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Effects of Beta-Blocker Withdrawal in Acute Decompensated Heart Failure: A Systematic Review and Meta-Analysis. </w:t>
            </w:r>
            <w:hyperlink r:id="rId37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https://doi.org/10.1016/j.jchf.2015.03.008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7CE3B88D" w14:textId="240FC4D8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Prins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(2015)</w:t>
            </w:r>
          </w:p>
        </w:tc>
        <w:tc>
          <w:tcPr>
            <w:tcW w:w="2127" w:type="dxa"/>
          </w:tcPr>
          <w:p w14:paraId="472C038A" w14:textId="0BFF57B5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7E90AAF5" w14:textId="70885979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focused on the  risk of in-hospital mortality, short-term mortality, and short-term combined rehospitalization or death as outcome. No details about physiological ADW</w:t>
            </w:r>
            <w:r w:rsidR="008A35F0" w:rsidRPr="004A21CF">
              <w:rPr>
                <w:rFonts w:ascii="Times New Roman" w:hAnsi="Times New Roman" w:cs="Times New Roman"/>
                <w:szCs w:val="20"/>
              </w:rPr>
              <w:t>R</w:t>
            </w:r>
            <w:r w:rsidRPr="004A21CF">
              <w:rPr>
                <w:rFonts w:ascii="Times New Roman" w:hAnsi="Times New Roman" w:cs="Times New Roman"/>
                <w:szCs w:val="20"/>
              </w:rPr>
              <w:t xml:space="preserve">s. </w:t>
            </w:r>
          </w:p>
        </w:tc>
      </w:tr>
      <w:tr w:rsidR="008C1E19" w:rsidRPr="004A21CF" w14:paraId="7E8487EE" w14:textId="77777777" w:rsidTr="00725DCD">
        <w:tc>
          <w:tcPr>
            <w:tcW w:w="474" w:type="dxa"/>
          </w:tcPr>
          <w:p w14:paraId="5A70DCA3" w14:textId="64E59650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35.</w:t>
            </w:r>
          </w:p>
        </w:tc>
        <w:tc>
          <w:tcPr>
            <w:tcW w:w="5393" w:type="dxa"/>
          </w:tcPr>
          <w:p w14:paraId="36CD49C2" w14:textId="38A429F8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Early magnesium discontinuation postpartum and eclampsia risk: A systematic review and meta-analysis. </w:t>
            </w:r>
            <w:hyperlink r:id="rId38" w:history="1">
              <w:r w:rsidRPr="004A21CF">
                <w:rPr>
                  <w:rStyle w:val="Hyperlink"/>
                  <w:rFonts w:ascii="Times New Roman" w:hAnsi="Times New Roman" w:cs="Times New Roman"/>
                  <w:noProof/>
                  <w:szCs w:val="20"/>
                </w:rPr>
                <w:t>https://doi.org/10.1016/j.preghy.2024.101141</w:t>
              </w:r>
            </w:hyperlink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7C936A92" w14:textId="0CEAE963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Quist-Nelson et al., (2024)</w:t>
            </w:r>
          </w:p>
        </w:tc>
        <w:tc>
          <w:tcPr>
            <w:tcW w:w="2127" w:type="dxa"/>
          </w:tcPr>
          <w:p w14:paraId="3E6C4DBD" w14:textId="2B0829B9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5BEF184F" w14:textId="73355EDE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Outcome focuses on the return of the condition/relapse</w:t>
            </w:r>
          </w:p>
        </w:tc>
      </w:tr>
      <w:tr w:rsidR="008C1E19" w:rsidRPr="004A21CF" w14:paraId="10BE0584" w14:textId="77777777" w:rsidTr="00725DCD">
        <w:tc>
          <w:tcPr>
            <w:tcW w:w="474" w:type="dxa"/>
          </w:tcPr>
          <w:p w14:paraId="13FBB76D" w14:textId="7E29811F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lastRenderedPageBreak/>
              <w:t>36.</w:t>
            </w:r>
          </w:p>
        </w:tc>
        <w:tc>
          <w:tcPr>
            <w:tcW w:w="5393" w:type="dxa"/>
          </w:tcPr>
          <w:p w14:paraId="3AB89DED" w14:textId="6185617C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Risks and benefits of continuation and discontinuation of aspirin in elective craniotomies: a systematic review and pooled-analysis. </w:t>
            </w:r>
            <w:hyperlink r:id="rId39" w:history="1">
              <w:r w:rsidRPr="004A21CF">
                <w:rPr>
                  <w:rStyle w:val="Hyperlink"/>
                  <w:rFonts w:ascii="Times New Roman" w:hAnsi="Times New Roman" w:cs="Times New Roman"/>
                  <w:noProof/>
                  <w:szCs w:val="20"/>
                </w:rPr>
                <w:t>https://doi.org/10.1007/s00701-022-05416-2</w:t>
              </w:r>
            </w:hyperlink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578F51F5" w14:textId="54F9AF2F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Rychen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(2023)</w:t>
            </w:r>
          </w:p>
        </w:tc>
        <w:tc>
          <w:tcPr>
            <w:tcW w:w="2127" w:type="dxa"/>
          </w:tcPr>
          <w:p w14:paraId="3047FB12" w14:textId="09C26F73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5477BDED" w14:textId="033A4C4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This systematic review examines the risks and benefits (outcomes: hemorrhagic and thromboembolic complications) of continuing vs. discontinuing aspirin in patients undergoing elective craniotomies. The review does not investigate physiological ADWRs and mainly focus on the perioperative surgical outcomes. </w:t>
            </w:r>
          </w:p>
        </w:tc>
      </w:tr>
      <w:tr w:rsidR="008C1E19" w:rsidRPr="004A21CF" w14:paraId="34665C16" w14:textId="77777777" w:rsidTr="00725DCD">
        <w:tc>
          <w:tcPr>
            <w:tcW w:w="474" w:type="dxa"/>
          </w:tcPr>
          <w:p w14:paraId="02AE6A1B" w14:textId="3938716B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37.</w:t>
            </w:r>
          </w:p>
        </w:tc>
        <w:tc>
          <w:tcPr>
            <w:tcW w:w="5393" w:type="dxa"/>
          </w:tcPr>
          <w:p w14:paraId="78293A03" w14:textId="4F9C9265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What are the risks and benefits of temporarily discontinuing medications to prevent acute kidney injury? A systematic review and meta-analysis. </w:t>
            </w:r>
            <w:hyperlink r:id="rId40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https://doi.org/10.1136/bmjopen-2016-012674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0A38BBD" w14:textId="44A90734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Whiting et al., (2017)</w:t>
            </w:r>
          </w:p>
        </w:tc>
        <w:tc>
          <w:tcPr>
            <w:tcW w:w="2127" w:type="dxa"/>
          </w:tcPr>
          <w:p w14:paraId="7D34ABCC" w14:textId="23863FE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68AF9EA7" w14:textId="704ECEAB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examined acute kidney injury, which is a clinical outcome rather than a physiological ADWR, and this review also does not report the incidence or characteristics of physiological ADWRs</w:t>
            </w:r>
          </w:p>
        </w:tc>
      </w:tr>
      <w:tr w:rsidR="008C1E19" w:rsidRPr="004A21CF" w14:paraId="2020ADCE" w14:textId="77777777" w:rsidTr="00725DCD">
        <w:tc>
          <w:tcPr>
            <w:tcW w:w="474" w:type="dxa"/>
          </w:tcPr>
          <w:p w14:paraId="429470D9" w14:textId="234412C7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38.</w:t>
            </w:r>
          </w:p>
        </w:tc>
        <w:tc>
          <w:tcPr>
            <w:tcW w:w="5393" w:type="dxa"/>
          </w:tcPr>
          <w:p w14:paraId="53BA0BBF" w14:textId="1E2512B2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The Effect of Melatonin on Benzodiazepine Discontinuation and Sleep Quality in Adults Attempting to Discontinue Benzodiazepines: A Systematic Review and Meta-Analysis. </w:t>
            </w:r>
            <w:hyperlink r:id="rId41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https://doi.org/10.1007/s40266-015-0322-5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23619334" w14:textId="0F4AF528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Wright et al., (2015)</w:t>
            </w:r>
          </w:p>
        </w:tc>
        <w:tc>
          <w:tcPr>
            <w:tcW w:w="2127" w:type="dxa"/>
          </w:tcPr>
          <w:p w14:paraId="7158EC2F" w14:textId="49ABC5BD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7B69AD0C" w14:textId="5DCDC511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This review focused on treatment (melatonin) to improve discontinuation success (Benzodiazepine Discontinuation) and sleep quality, and </w:t>
            </w:r>
            <w:r w:rsidRPr="004A21CF">
              <w:rPr>
                <w:rFonts w:ascii="Times New Roman" w:hAnsi="Times New Roman" w:cs="Times New Roman"/>
                <w:szCs w:val="20"/>
              </w:rPr>
              <w:t>does not report the incidence or characteristics of physiological ADWRs</w:t>
            </w:r>
          </w:p>
        </w:tc>
      </w:tr>
      <w:tr w:rsidR="008C1E19" w:rsidRPr="004A21CF" w14:paraId="2A4C416D" w14:textId="77777777" w:rsidTr="00725DCD">
        <w:tc>
          <w:tcPr>
            <w:tcW w:w="474" w:type="dxa"/>
          </w:tcPr>
          <w:p w14:paraId="5B5A750B" w14:textId="55BFFC85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39.</w:t>
            </w:r>
          </w:p>
        </w:tc>
        <w:tc>
          <w:tcPr>
            <w:tcW w:w="5393" w:type="dxa"/>
          </w:tcPr>
          <w:p w14:paraId="3849185D" w14:textId="2ED14521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Deprescribing Interventions for Older Patients: A Systematic Review and Meta-Analysis. </w:t>
            </w:r>
            <w:hyperlink r:id="rId42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https://doi.org/10.1016/j.jamda.2023.07.016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</w:tcPr>
          <w:p w14:paraId="67387ACE" w14:textId="2D55C7A0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Zhou et al., (2023)</w:t>
            </w:r>
          </w:p>
        </w:tc>
        <w:tc>
          <w:tcPr>
            <w:tcW w:w="2127" w:type="dxa"/>
          </w:tcPr>
          <w:p w14:paraId="7CCC1490" w14:textId="4ED80749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3C3DCF73" w14:textId="7C7F7C43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This review examined the impact of deprescribing on clinical outcomes and does not explore ADW</w:t>
            </w:r>
            <w:r w:rsidR="008A35F0" w:rsidRPr="004A21CF">
              <w:rPr>
                <w:rFonts w:ascii="Times New Roman" w:hAnsi="Times New Roman" w:cs="Times New Roman"/>
                <w:color w:val="000000"/>
                <w:szCs w:val="20"/>
              </w:rPr>
              <w:t>R</w:t>
            </w: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s</w:t>
            </w:r>
          </w:p>
        </w:tc>
      </w:tr>
      <w:tr w:rsidR="008C1E19" w:rsidRPr="004A21CF" w14:paraId="4AF157B6" w14:textId="77777777" w:rsidTr="00725DCD">
        <w:tc>
          <w:tcPr>
            <w:tcW w:w="474" w:type="dxa"/>
          </w:tcPr>
          <w:p w14:paraId="332E2122" w14:textId="72DEFC01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40.</w:t>
            </w:r>
          </w:p>
        </w:tc>
        <w:tc>
          <w:tcPr>
            <w:tcW w:w="5393" w:type="dxa"/>
          </w:tcPr>
          <w:p w14:paraId="0BB9D15F" w14:textId="1ABF825C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Strategies for discontinuation of proton pump inhibitors: a systematic review. </w:t>
            </w:r>
            <w:hyperlink r:id="rId43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https://doi.org/10.1093/fampra/cmu050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</w:tcPr>
          <w:p w14:paraId="72A1EFF1" w14:textId="3FF8CE5A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Haastrup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et al., (2014)</w:t>
            </w:r>
          </w:p>
        </w:tc>
        <w:tc>
          <w:tcPr>
            <w:tcW w:w="2127" w:type="dxa"/>
          </w:tcPr>
          <w:p w14:paraId="497EE6DD" w14:textId="47111EBF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246B7EEF" w14:textId="3EDD589F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Only examined relapse/reoccurrence and not physiological ADW</w:t>
            </w:r>
            <w:r w:rsidR="008A35F0" w:rsidRPr="004A21CF">
              <w:rPr>
                <w:rFonts w:ascii="Times New Roman" w:hAnsi="Times New Roman" w:cs="Times New Roman"/>
                <w:color w:val="000000"/>
                <w:szCs w:val="20"/>
              </w:rPr>
              <w:t>R</w:t>
            </w: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s</w:t>
            </w:r>
          </w:p>
        </w:tc>
      </w:tr>
      <w:tr w:rsidR="008C1E19" w:rsidRPr="004A21CF" w14:paraId="0BB268D8" w14:textId="77777777" w:rsidTr="00725DCD">
        <w:tc>
          <w:tcPr>
            <w:tcW w:w="474" w:type="dxa"/>
          </w:tcPr>
          <w:p w14:paraId="108E24E9" w14:textId="3D6027AC" w:rsidR="008C1E19" w:rsidRPr="004A21CF" w:rsidRDefault="007A6A9C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41. </w:t>
            </w:r>
          </w:p>
        </w:tc>
        <w:tc>
          <w:tcPr>
            <w:tcW w:w="5393" w:type="dxa"/>
          </w:tcPr>
          <w:p w14:paraId="74CC8D8E" w14:textId="77777777" w:rsidR="008C1E19" w:rsidRPr="004A21CF" w:rsidRDefault="008C1E19" w:rsidP="008C1E19">
            <w:pPr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Strategies and Management for Psychiatric Drug Withdrawal: A Systematic Review of Case Reports and Series.</w:t>
            </w:r>
          </w:p>
          <w:p w14:paraId="382AC561" w14:textId="665F7D0A" w:rsidR="008C1E19" w:rsidRPr="004A21CF" w:rsidRDefault="004A21CF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hyperlink r:id="rId44" w:history="1">
              <w:r w:rsidR="008C1E19"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https://doi.org/10.1055/a-2443-1189</w:t>
              </w:r>
            </w:hyperlink>
            <w:r w:rsidR="008C1E19"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</w:tcPr>
          <w:p w14:paraId="5BE2DFB2" w14:textId="784CDD98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Eserian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et al., (2025)</w:t>
            </w:r>
          </w:p>
        </w:tc>
        <w:tc>
          <w:tcPr>
            <w:tcW w:w="2127" w:type="dxa"/>
          </w:tcPr>
          <w:p w14:paraId="37DDFED0" w14:textId="77777777" w:rsidR="008C1E19" w:rsidRPr="004A21CF" w:rsidRDefault="008C1E19" w:rsidP="008C1E19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</w:p>
          <w:p w14:paraId="29AC981E" w14:textId="5A854F4C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5D547251" w14:textId="1DBF8CE9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This review focused on drugs causing adverse effects and withdrawal management/treatment, not on signs/symptoms. No information on ADWR</w:t>
            </w:r>
            <w:r w:rsidR="008A35F0" w:rsidRPr="004A21CF">
              <w:rPr>
                <w:rFonts w:ascii="Times New Roman" w:hAnsi="Times New Roman" w:cs="Times New Roman"/>
                <w:color w:val="000000"/>
                <w:szCs w:val="20"/>
              </w:rPr>
              <w:t>s.</w:t>
            </w:r>
          </w:p>
        </w:tc>
      </w:tr>
      <w:tr w:rsidR="008C1E19" w:rsidRPr="004A21CF" w14:paraId="689793CE" w14:textId="77777777" w:rsidTr="00725DCD">
        <w:tc>
          <w:tcPr>
            <w:tcW w:w="474" w:type="dxa"/>
          </w:tcPr>
          <w:p w14:paraId="7F15A7E5" w14:textId="47428AE5" w:rsidR="008C1E19" w:rsidRPr="004A21CF" w:rsidRDefault="00FD3BC5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4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2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7CD6ED08" w14:textId="7C4E4E0E" w:rsidR="008C1E19" w:rsidRPr="004A21CF" w:rsidRDefault="008C1E19" w:rsidP="008C1E19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Withdrawal of immunosuppressant or biologic therapy for patients with quiescent Crohn's disease. </w:t>
            </w:r>
            <w:hyperlink r:id="rId45" w:tgtFrame="_blank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https://doi.org/10.1002/14651858.CD012540.pub2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5C503B06" w14:textId="6315772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Boyapati et al., (2018)</w:t>
            </w:r>
          </w:p>
        </w:tc>
        <w:tc>
          <w:tcPr>
            <w:tcW w:w="2127" w:type="dxa"/>
          </w:tcPr>
          <w:p w14:paraId="0CF53D69" w14:textId="49890DFA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outcome</w:t>
            </w:r>
          </w:p>
        </w:tc>
        <w:tc>
          <w:tcPr>
            <w:tcW w:w="3827" w:type="dxa"/>
          </w:tcPr>
          <w:p w14:paraId="29E9FE7F" w14:textId="77777777" w:rsidR="008C1E19" w:rsidRPr="004A21CF" w:rsidRDefault="008C1E19" w:rsidP="008C1E19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A21CF">
              <w:rPr>
                <w:rFonts w:ascii="Times New Roman" w:eastAsia="Times New Roman" w:hAnsi="Times New Roman" w:cs="Times New Roman"/>
                <w:color w:val="000000"/>
                <w:szCs w:val="20"/>
                <w:lang w:val="en-IE" w:eastAsia="en-IE"/>
              </w:rPr>
              <w:t xml:space="preserve">This article discussed non-specific adverse events as the outcomes and not ADWRs. </w:t>
            </w:r>
          </w:p>
          <w:p w14:paraId="37418BA9" w14:textId="77777777" w:rsidR="008C1E19" w:rsidRPr="004A21CF" w:rsidRDefault="008C1E19" w:rsidP="008C1E1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62D2" w:rsidRPr="004A21CF" w14:paraId="5ED02F7E" w14:textId="37514DEB" w:rsidTr="00725DCD">
        <w:tc>
          <w:tcPr>
            <w:tcW w:w="474" w:type="dxa"/>
          </w:tcPr>
          <w:p w14:paraId="3F8B7B18" w14:textId="023D79E8" w:rsidR="00D462D2" w:rsidRPr="004A21CF" w:rsidRDefault="00B26E58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4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3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64FE0DC6" w14:textId="13D9E39B" w:rsidR="00D462D2" w:rsidRPr="004A21CF" w:rsidRDefault="00D462D2" w:rsidP="00157FD3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Persistence of cognitive effects after withdrawal from long-term benzodiazepine use: a meta-analysis. </w:t>
            </w:r>
            <w:hyperlink r:id="rId46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https://doi.org/10.1016/S0887-6177(03)00096-9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1635EC4" w14:textId="5611C1BD" w:rsidR="00D462D2" w:rsidRPr="004A21CF" w:rsidRDefault="00D462D2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Barker et al., (2004)</w:t>
            </w:r>
          </w:p>
        </w:tc>
        <w:tc>
          <w:tcPr>
            <w:tcW w:w="2127" w:type="dxa"/>
          </w:tcPr>
          <w:p w14:paraId="5C374604" w14:textId="6BBF5FAD" w:rsidR="00D462D2" w:rsidRPr="004A21CF" w:rsidRDefault="00B42128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</w:t>
            </w:r>
          </w:p>
        </w:tc>
        <w:tc>
          <w:tcPr>
            <w:tcW w:w="3827" w:type="dxa"/>
          </w:tcPr>
          <w:p w14:paraId="4526F7ED" w14:textId="2FA1C2EA" w:rsidR="00D462D2" w:rsidRPr="004A21CF" w:rsidRDefault="00B42128" w:rsidP="00157FD3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a systematic review</w:t>
            </w:r>
          </w:p>
        </w:tc>
      </w:tr>
      <w:tr w:rsidR="00B26E58" w:rsidRPr="004A21CF" w14:paraId="3096A113" w14:textId="77777777" w:rsidTr="00725DCD">
        <w:tc>
          <w:tcPr>
            <w:tcW w:w="474" w:type="dxa"/>
          </w:tcPr>
          <w:p w14:paraId="074C56E1" w14:textId="6FDF605A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4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4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16AD9B81" w14:textId="3FA2A142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Tapering Long-term Opioid Therapy in Chronic Noncancer Pain: Evidence and Recommendations for Everyday Practice. </w:t>
            </w:r>
            <w:hyperlink r:id="rId47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https://doi.org/10.1016/j.mayocp.2015.04.003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1D336C52" w14:textId="5D113498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Berna et al., (2015)</w:t>
            </w:r>
          </w:p>
        </w:tc>
        <w:tc>
          <w:tcPr>
            <w:tcW w:w="2127" w:type="dxa"/>
          </w:tcPr>
          <w:p w14:paraId="58CF5211" w14:textId="781BA054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</w:t>
            </w:r>
          </w:p>
        </w:tc>
        <w:tc>
          <w:tcPr>
            <w:tcW w:w="3827" w:type="dxa"/>
          </w:tcPr>
          <w:p w14:paraId="248C2C92" w14:textId="56E2B30C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a systematic review</w:t>
            </w:r>
          </w:p>
        </w:tc>
      </w:tr>
      <w:tr w:rsidR="00B26E58" w:rsidRPr="004A21CF" w14:paraId="1A73A520" w14:textId="77777777" w:rsidTr="00725DCD">
        <w:tc>
          <w:tcPr>
            <w:tcW w:w="474" w:type="dxa"/>
          </w:tcPr>
          <w:p w14:paraId="15C661AA" w14:textId="3EA70543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lastRenderedPageBreak/>
              <w:t>4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5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769D7CD0" w14:textId="59811F97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Deprescribing interventions in older adults: An overview of systematic reviews. </w:t>
            </w:r>
            <w:hyperlink r:id="rId48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https://doi.org/10.1371/journal.pone.0305215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12CA3166" w14:textId="49A5C197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Chua et al., (2024)</w:t>
            </w:r>
          </w:p>
        </w:tc>
        <w:tc>
          <w:tcPr>
            <w:tcW w:w="2127" w:type="dxa"/>
          </w:tcPr>
          <w:p w14:paraId="71D5D704" w14:textId="7700A09C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study type</w:t>
            </w:r>
          </w:p>
        </w:tc>
        <w:tc>
          <w:tcPr>
            <w:tcW w:w="3827" w:type="dxa"/>
          </w:tcPr>
          <w:p w14:paraId="33A6A0CD" w14:textId="6E1E69F2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a systematic  review: An overview of systematic reviews</w:t>
            </w:r>
          </w:p>
        </w:tc>
      </w:tr>
      <w:tr w:rsidR="00B26E58" w:rsidRPr="004A21CF" w14:paraId="29F66F4E" w14:textId="77777777" w:rsidTr="00725DCD">
        <w:tc>
          <w:tcPr>
            <w:tcW w:w="474" w:type="dxa"/>
          </w:tcPr>
          <w:p w14:paraId="5E93C259" w14:textId="10FCAF50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4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6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6593A958" w14:textId="0AE2A3F2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Withdrawal symptoms in children after long-term administration of sedatives and/or analgesics: a literature review. "Assessment remains troublesome". </w:t>
            </w:r>
            <w:hyperlink r:id="rId49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https://doi.org/10.1007/s00134-007-0696-x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CD48D14" w14:textId="33B82F5D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Ista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(2007)</w:t>
            </w:r>
          </w:p>
        </w:tc>
        <w:tc>
          <w:tcPr>
            <w:tcW w:w="2127" w:type="dxa"/>
          </w:tcPr>
          <w:p w14:paraId="313518A0" w14:textId="3BFDE252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</w:t>
            </w:r>
          </w:p>
        </w:tc>
        <w:tc>
          <w:tcPr>
            <w:tcW w:w="3827" w:type="dxa"/>
          </w:tcPr>
          <w:p w14:paraId="5CFE7C61" w14:textId="15E02DF9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a systematic review</w:t>
            </w:r>
          </w:p>
        </w:tc>
      </w:tr>
      <w:tr w:rsidR="00B26E58" w:rsidRPr="004A21CF" w14:paraId="4FA82747" w14:textId="77777777" w:rsidTr="00725DCD">
        <w:tc>
          <w:tcPr>
            <w:tcW w:w="474" w:type="dxa"/>
          </w:tcPr>
          <w:p w14:paraId="671A5152" w14:textId="1105BFFD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4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7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77AEB198" w14:textId="629936AF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Antidepressant discontinuation manic states: a critical review of the literature and suggested diagnostic criteria. </w:t>
            </w:r>
            <w:hyperlink r:id="rId50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https://doi.org/10.1177/0269881109359094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03E00943" w14:textId="2AD3CE90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Narayan et al., (2011)</w:t>
            </w:r>
          </w:p>
        </w:tc>
        <w:tc>
          <w:tcPr>
            <w:tcW w:w="2127" w:type="dxa"/>
          </w:tcPr>
          <w:p w14:paraId="44CFF853" w14:textId="1AA82EE0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</w:t>
            </w:r>
          </w:p>
        </w:tc>
        <w:tc>
          <w:tcPr>
            <w:tcW w:w="3827" w:type="dxa"/>
          </w:tcPr>
          <w:p w14:paraId="79766FB3" w14:textId="411B0292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a systematic review</w:t>
            </w:r>
          </w:p>
        </w:tc>
      </w:tr>
      <w:tr w:rsidR="00B26E58" w:rsidRPr="004A21CF" w14:paraId="6041F1ED" w14:textId="77777777" w:rsidTr="00725DCD">
        <w:tc>
          <w:tcPr>
            <w:tcW w:w="474" w:type="dxa"/>
          </w:tcPr>
          <w:p w14:paraId="1A319314" w14:textId="1FDC1EE7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4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8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7AE421AE" w14:textId="7FAF6014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Systematic review: symptoms of rebound acid hypersecretion following proton pump inhibitor treatment. </w:t>
            </w:r>
            <w:hyperlink r:id="rId51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https://doi.org/10.3109/00365521.2012.746395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1CED11FD" w14:textId="0605CF10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Lødrup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(2013)</w:t>
            </w:r>
          </w:p>
        </w:tc>
        <w:tc>
          <w:tcPr>
            <w:tcW w:w="2127" w:type="dxa"/>
          </w:tcPr>
          <w:p w14:paraId="4DD7E177" w14:textId="27E54C97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</w:t>
            </w:r>
          </w:p>
        </w:tc>
        <w:tc>
          <w:tcPr>
            <w:tcW w:w="3827" w:type="dxa"/>
          </w:tcPr>
          <w:p w14:paraId="6DF161CD" w14:textId="22B8040A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a systematic review: Does not meet the definition of a systematic review</w:t>
            </w:r>
          </w:p>
        </w:tc>
      </w:tr>
      <w:tr w:rsidR="00B26E58" w:rsidRPr="004A21CF" w14:paraId="463DAAFB" w14:textId="77777777" w:rsidTr="00725DCD">
        <w:tc>
          <w:tcPr>
            <w:tcW w:w="474" w:type="dxa"/>
          </w:tcPr>
          <w:p w14:paraId="7652A5EB" w14:textId="6A294567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4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9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5BB411DE" w14:textId="050863D3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Selective serotonin reuptake inhibitor discontinuation syndrome: a review. </w:t>
            </w:r>
            <w:hyperlink r:id="rId52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https://doi.org/10.1007/BF02850015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261E6843" w14:textId="2DEA4B4D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Tamam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and </w:t>
            </w: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Ozpoyraz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(2002)</w:t>
            </w:r>
          </w:p>
        </w:tc>
        <w:tc>
          <w:tcPr>
            <w:tcW w:w="2127" w:type="dxa"/>
          </w:tcPr>
          <w:p w14:paraId="77929A6B" w14:textId="1057A4EA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</w:t>
            </w:r>
          </w:p>
        </w:tc>
        <w:tc>
          <w:tcPr>
            <w:tcW w:w="3827" w:type="dxa"/>
          </w:tcPr>
          <w:p w14:paraId="4E3AF108" w14:textId="0D5E539E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is a narrative review rather than a systematic review</w:t>
            </w:r>
          </w:p>
        </w:tc>
      </w:tr>
      <w:tr w:rsidR="00B26E58" w:rsidRPr="004A21CF" w14:paraId="02A2A869" w14:textId="77777777" w:rsidTr="00725DCD">
        <w:tc>
          <w:tcPr>
            <w:tcW w:w="474" w:type="dxa"/>
          </w:tcPr>
          <w:p w14:paraId="15CA86C8" w14:textId="1137894F" w:rsidR="00B26E58" w:rsidRPr="004A21CF" w:rsidRDefault="007A6A9C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50</w:t>
            </w:r>
            <w:r w:rsidR="00B26E58"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15A1721D" w14:textId="36190F0C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Revisiting systematic reviews on deprescribing trials to better inform future practice and research. </w:t>
            </w:r>
            <w:hyperlink r:id="rId53" w:history="1">
              <w:r w:rsidRPr="004A21CF">
                <w:rPr>
                  <w:rStyle w:val="Hyperlink"/>
                  <w:rFonts w:ascii="Times New Roman" w:hAnsi="Times New Roman" w:cs="Times New Roman"/>
                  <w:noProof/>
                  <w:szCs w:val="20"/>
                </w:rPr>
                <w:t>https://doi.org/10.1111/bcp.15864</w:t>
              </w:r>
            </w:hyperlink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DA372A3" w14:textId="7A630F9B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Spinewine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(2023)</w:t>
            </w:r>
          </w:p>
        </w:tc>
        <w:tc>
          <w:tcPr>
            <w:tcW w:w="2127" w:type="dxa"/>
          </w:tcPr>
          <w:p w14:paraId="3271C895" w14:textId="455A9BC1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</w:t>
            </w:r>
          </w:p>
        </w:tc>
        <w:tc>
          <w:tcPr>
            <w:tcW w:w="3827" w:type="dxa"/>
          </w:tcPr>
          <w:p w14:paraId="5228CF39" w14:textId="40160B10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a systematic review: This an overview of reviews</w:t>
            </w:r>
          </w:p>
        </w:tc>
      </w:tr>
      <w:tr w:rsidR="00B26E58" w:rsidRPr="004A21CF" w14:paraId="50BBE442" w14:textId="77777777" w:rsidTr="00725DCD">
        <w:tc>
          <w:tcPr>
            <w:tcW w:w="474" w:type="dxa"/>
          </w:tcPr>
          <w:p w14:paraId="3F856961" w14:textId="52E5E6C5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1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7C287198" w14:textId="33231B36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Discontinuation of long‐term antidepressant use for depressive and anxiety disorders in adults. </w:t>
            </w:r>
            <w:hyperlink r:id="rId54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https://doi.org/10.1002/14651858.CD013495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. </w:t>
            </w:r>
          </w:p>
        </w:tc>
        <w:tc>
          <w:tcPr>
            <w:tcW w:w="2633" w:type="dxa"/>
          </w:tcPr>
          <w:p w14:paraId="369ADFBC" w14:textId="326A0F46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Van Leeuwen et al., (2020)</w:t>
            </w:r>
          </w:p>
        </w:tc>
        <w:tc>
          <w:tcPr>
            <w:tcW w:w="2127" w:type="dxa"/>
          </w:tcPr>
          <w:p w14:paraId="6E861186" w14:textId="29D8B07F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 </w:t>
            </w:r>
          </w:p>
        </w:tc>
        <w:tc>
          <w:tcPr>
            <w:tcW w:w="3827" w:type="dxa"/>
          </w:tcPr>
          <w:p w14:paraId="285B46E7" w14:textId="78F7B739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This is a protocol, not a completed systematic review</w:t>
            </w:r>
          </w:p>
        </w:tc>
      </w:tr>
      <w:tr w:rsidR="00B26E58" w:rsidRPr="004A21CF" w14:paraId="1A723093" w14:textId="77777777" w:rsidTr="00725DCD">
        <w:tc>
          <w:tcPr>
            <w:tcW w:w="474" w:type="dxa"/>
          </w:tcPr>
          <w:p w14:paraId="09F77018" w14:textId="2F82D99A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2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7493EF3B" w14:textId="523D03A9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Management of acute overdose or withdrawal state in intrathecal baclofen therapy. </w:t>
            </w:r>
            <w:hyperlink r:id="rId55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https://doi.org/10.1038/sc.2011.112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A4D9235" w14:textId="09C25146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Watve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et al., (2012)</w:t>
            </w:r>
          </w:p>
        </w:tc>
        <w:tc>
          <w:tcPr>
            <w:tcW w:w="2127" w:type="dxa"/>
          </w:tcPr>
          <w:p w14:paraId="3CEEEB1F" w14:textId="7EB4ACF6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study type </w:t>
            </w:r>
          </w:p>
        </w:tc>
        <w:tc>
          <w:tcPr>
            <w:tcW w:w="3827" w:type="dxa"/>
          </w:tcPr>
          <w:p w14:paraId="34BEE55F" w14:textId="745C64F5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Not a systematic review and outcome: Does not meet the definition of a systematic review and this review also focused on acute intrathecal baclofen (ITB) pump-related overdose and withdrawal events, which are primarily procedural or device-related issues (e.g., refill errors and catheter problems) rather than ADWRs.</w:t>
            </w:r>
          </w:p>
        </w:tc>
      </w:tr>
      <w:tr w:rsidR="00B26E58" w:rsidRPr="004A21CF" w14:paraId="6C53C8BC" w14:textId="77777777" w:rsidTr="00725DCD">
        <w:tc>
          <w:tcPr>
            <w:tcW w:w="474" w:type="dxa"/>
          </w:tcPr>
          <w:p w14:paraId="3B123FB0" w14:textId="1749B961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3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46220792" w14:textId="0068C482" w:rsidR="00B26E58" w:rsidRPr="004A21CF" w:rsidRDefault="00B26E58" w:rsidP="00B26E58">
            <w:pPr>
              <w:rPr>
                <w:rFonts w:ascii="Times New Roman" w:hAnsi="Times New Roman" w:cs="Times New Roman"/>
                <w:noProof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Duration and severity of antidepressant withdrawal effects. </w:t>
            </w:r>
            <w:hyperlink r:id="rId56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https://doi.org/10.1136/dtb.2019.000084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</w:tcPr>
          <w:p w14:paraId="22895491" w14:textId="4E47512B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No authors listed</w:t>
            </w:r>
          </w:p>
        </w:tc>
        <w:tc>
          <w:tcPr>
            <w:tcW w:w="2127" w:type="dxa"/>
          </w:tcPr>
          <w:p w14:paraId="097E0111" w14:textId="2101C354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Wrong study type</w:t>
            </w:r>
          </w:p>
        </w:tc>
        <w:tc>
          <w:tcPr>
            <w:tcW w:w="3827" w:type="dxa"/>
          </w:tcPr>
          <w:p w14:paraId="41FB9A1B" w14:textId="5BAF342C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Duplicate evidence source (Commentary)</w:t>
            </w:r>
          </w:p>
        </w:tc>
      </w:tr>
      <w:tr w:rsidR="00CE4E45" w:rsidRPr="004A21CF" w14:paraId="3BEE178B" w14:textId="36AE6843" w:rsidTr="00725DCD">
        <w:tc>
          <w:tcPr>
            <w:tcW w:w="474" w:type="dxa"/>
          </w:tcPr>
          <w:p w14:paraId="67AE7BB5" w14:textId="40D5F854" w:rsidR="00CE4E45" w:rsidRPr="004A21CF" w:rsidRDefault="00B26E5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4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1C7A5A4A" w14:textId="2C84DABD" w:rsidR="00CE4E45" w:rsidRPr="004A21CF" w:rsidRDefault="00CE4E45" w:rsidP="00CE4E45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Assessment of the relative risk of suspected Therapeutic-dose benzodiazepine withdrawal </w:t>
            </w:r>
          </w:p>
          <w:p w14:paraId="2BCCB82E" w14:textId="4C81925A" w:rsidR="00CE4E45" w:rsidRPr="004A21CF" w:rsidRDefault="00CE4E45" w:rsidP="00CE4E45">
            <w:pPr>
              <w:rPr>
                <w:rFonts w:ascii="Times New Roman" w:hAnsi="Times New Roman" w:cs="Times New Roman"/>
                <w:noProof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Reactions using meta-analysis. </w:t>
            </w:r>
            <w:hyperlink r:id="rId57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https://utoronto.scholaris.ca/server/api/core/bitstreams/f7cfa912-cda4-4c10-a45b-24f3a6871a54/content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2633" w:type="dxa"/>
          </w:tcPr>
          <w:p w14:paraId="67C285FD" w14:textId="48264DF1" w:rsidR="00CE4E45" w:rsidRPr="004A21CF" w:rsidRDefault="00CE4E45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Pain (1994)</w:t>
            </w:r>
          </w:p>
        </w:tc>
        <w:tc>
          <w:tcPr>
            <w:tcW w:w="2127" w:type="dxa"/>
          </w:tcPr>
          <w:p w14:paraId="2C9B2D7A" w14:textId="423E6B29" w:rsidR="00CE4E45" w:rsidRPr="004A21CF" w:rsidRDefault="00B42128" w:rsidP="00CE4E45">
            <w:pPr>
              <w:rPr>
                <w:rFonts w:ascii="Times New Roman" w:hAnsi="Times New Roman" w:cs="Times New Roman"/>
                <w:szCs w:val="20"/>
              </w:rPr>
            </w:pPr>
            <w:bookmarkStart w:id="0" w:name="_Hlk204982268"/>
            <w:r w:rsidRPr="004A21CF">
              <w:rPr>
                <w:rFonts w:ascii="Times New Roman" w:hAnsi="Times New Roman" w:cs="Times New Roman"/>
                <w:szCs w:val="20"/>
              </w:rPr>
              <w:t>Wrong publication type</w:t>
            </w:r>
            <w:bookmarkEnd w:id="0"/>
          </w:p>
        </w:tc>
        <w:tc>
          <w:tcPr>
            <w:tcW w:w="3827" w:type="dxa"/>
          </w:tcPr>
          <w:p w14:paraId="5BE29CD1" w14:textId="6FA1DD0E" w:rsidR="00CE4E45" w:rsidRPr="004A21CF" w:rsidRDefault="00B4212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Thesis </w:t>
            </w:r>
          </w:p>
        </w:tc>
      </w:tr>
      <w:tr w:rsidR="00CE4E45" w:rsidRPr="004A21CF" w14:paraId="12CFB94A" w14:textId="25EC4EEF" w:rsidTr="00725DCD">
        <w:tc>
          <w:tcPr>
            <w:tcW w:w="474" w:type="dxa"/>
          </w:tcPr>
          <w:p w14:paraId="77C4CB0D" w14:textId="20BFA2DE" w:rsidR="00CE4E45" w:rsidRPr="004A21CF" w:rsidRDefault="00B26E5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5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53AE9D65" w14:textId="1858AC39" w:rsidR="00CE4E45" w:rsidRPr="004A21CF" w:rsidRDefault="00CE4E45" w:rsidP="00CE4E45">
            <w:pPr>
              <w:rPr>
                <w:rFonts w:ascii="Times New Roman" w:hAnsi="Times New Roman" w:cs="Times New Roman"/>
                <w:noProof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Gradual and overlapping antipsychotic switch strategies are associated with less all-cause discontinuation in schizophrenia: </w:t>
            </w: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lastRenderedPageBreak/>
              <w:t xml:space="preserve">Results from a meta-analysis of different switch strategies. </w:t>
            </w:r>
            <w:hyperlink r:id="rId58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https://doi.org/10.1038/npp.2011.291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CD90647" w14:textId="1A57D77E" w:rsidR="00CE4E45" w:rsidRPr="004A21CF" w:rsidRDefault="00CE4E45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lastRenderedPageBreak/>
              <w:t>Christoph et al., (2011)</w:t>
            </w:r>
          </w:p>
        </w:tc>
        <w:tc>
          <w:tcPr>
            <w:tcW w:w="2127" w:type="dxa"/>
          </w:tcPr>
          <w:p w14:paraId="5CD2C2C9" w14:textId="13139A3B" w:rsidR="00CE4E45" w:rsidRPr="004A21CF" w:rsidRDefault="00B4212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publication type </w:t>
            </w:r>
          </w:p>
        </w:tc>
        <w:tc>
          <w:tcPr>
            <w:tcW w:w="3827" w:type="dxa"/>
          </w:tcPr>
          <w:p w14:paraId="759CEB9B" w14:textId="193EA383" w:rsidR="00CE4E45" w:rsidRPr="004A21CF" w:rsidRDefault="00B4212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Conference poster abstract</w:t>
            </w:r>
          </w:p>
        </w:tc>
      </w:tr>
      <w:tr w:rsidR="00CE4E45" w:rsidRPr="004A21CF" w14:paraId="6DEDF5C9" w14:textId="663724DD" w:rsidTr="00725DCD">
        <w:tc>
          <w:tcPr>
            <w:tcW w:w="474" w:type="dxa"/>
          </w:tcPr>
          <w:p w14:paraId="483FB1EA" w14:textId="5E7C5216" w:rsidR="00CE4E45" w:rsidRPr="004A21CF" w:rsidRDefault="00B26E5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6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4E9949E7" w14:textId="1866EAD8" w:rsidR="00CE4E45" w:rsidRPr="004A21CF" w:rsidRDefault="00CE4E45" w:rsidP="00CE4E45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Frequency, risk factors and symptomatology of iatrogenic withdrawal from opioids and benzodiazepines in critically ill neonates, children and adults: A systematic review of clinical trials. </w:t>
            </w:r>
            <w:hyperlink r:id="rId59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https://doi.org/10.1186/s13054-018-1973-5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</w:tcPr>
          <w:p w14:paraId="628D4AE7" w14:textId="3EA2D06C" w:rsidR="00CE4E45" w:rsidRPr="004A21CF" w:rsidRDefault="00CE4E45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Duceppe et al., (2018)</w:t>
            </w:r>
          </w:p>
        </w:tc>
        <w:tc>
          <w:tcPr>
            <w:tcW w:w="2127" w:type="dxa"/>
          </w:tcPr>
          <w:p w14:paraId="617F5BB4" w14:textId="10D0B0F9" w:rsidR="00CE4E45" w:rsidRPr="004A21CF" w:rsidRDefault="00B4212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Wrong publication type</w:t>
            </w:r>
          </w:p>
        </w:tc>
        <w:tc>
          <w:tcPr>
            <w:tcW w:w="3827" w:type="dxa"/>
          </w:tcPr>
          <w:p w14:paraId="6C8E224D" w14:textId="3122064B" w:rsidR="00CE4E45" w:rsidRPr="004A21CF" w:rsidRDefault="00B4212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Conference abstract </w:t>
            </w:r>
          </w:p>
        </w:tc>
      </w:tr>
      <w:tr w:rsidR="00CE4E45" w:rsidRPr="004A21CF" w14:paraId="68C59A65" w14:textId="1FA4B457" w:rsidTr="00725DCD">
        <w:tc>
          <w:tcPr>
            <w:tcW w:w="474" w:type="dxa"/>
          </w:tcPr>
          <w:p w14:paraId="095FB8A9" w14:textId="7DD67737" w:rsidR="00CE4E45" w:rsidRPr="004A21CF" w:rsidRDefault="00B26E5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7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  <w:shd w:val="clear" w:color="auto" w:fill="auto"/>
          </w:tcPr>
          <w:p w14:paraId="383BD954" w14:textId="2364568E" w:rsidR="00CE4E45" w:rsidRPr="004A21CF" w:rsidRDefault="00CE4E45" w:rsidP="00CE4E45">
            <w:pPr>
              <w:rPr>
                <w:rFonts w:ascii="Times New Roman" w:hAnsi="Times New Roman" w:cs="Times New Roman"/>
                <w:noProof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Withdrawal Dyskinesia: A Case Report and a Systematic Review of the Literature. </w:t>
            </w:r>
            <w:hyperlink r:id="rId60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https://doi.org/10.1016/j.jaac.2022.09.376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6B0D2C40" w14:textId="35DE8ED6" w:rsidR="00CE4E45" w:rsidRPr="004A21CF" w:rsidRDefault="00CE4E45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Hendricks-Johnson et al., (2022)</w:t>
            </w:r>
          </w:p>
        </w:tc>
        <w:tc>
          <w:tcPr>
            <w:tcW w:w="2127" w:type="dxa"/>
          </w:tcPr>
          <w:p w14:paraId="7367910D" w14:textId="2B78EA1F" w:rsidR="00CE4E45" w:rsidRPr="004A21CF" w:rsidRDefault="00C15B56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publication type </w:t>
            </w:r>
          </w:p>
        </w:tc>
        <w:tc>
          <w:tcPr>
            <w:tcW w:w="3827" w:type="dxa"/>
          </w:tcPr>
          <w:p w14:paraId="0CA71E9D" w14:textId="2D18CCE3" w:rsidR="00CE4E45" w:rsidRPr="004A21CF" w:rsidRDefault="00C15B56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Conference poster abstract</w:t>
            </w:r>
          </w:p>
        </w:tc>
      </w:tr>
      <w:tr w:rsidR="00CE4E45" w:rsidRPr="004A21CF" w14:paraId="2D99EE69" w14:textId="7AC1F251" w:rsidTr="00725DCD">
        <w:tc>
          <w:tcPr>
            <w:tcW w:w="474" w:type="dxa"/>
          </w:tcPr>
          <w:p w14:paraId="36CE0F32" w14:textId="075479C5" w:rsidR="00CE4E45" w:rsidRPr="004A21CF" w:rsidRDefault="00B26E5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8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1A29B67A" w14:textId="09A4B370" w:rsidR="00CE4E45" w:rsidRPr="004A21CF" w:rsidRDefault="00CE4E45" w:rsidP="00CE4E45">
            <w:pPr>
              <w:rPr>
                <w:rFonts w:ascii="Times New Roman" w:hAnsi="Times New Roman" w:cs="Times New Roman"/>
                <w:noProof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Discontinuation of alpha-blocker therapy in male lower urinary tract symptoms: A systematic review. </w:t>
            </w:r>
            <w:hyperlink r:id="rId61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https://doi.org/10.1002/nau.23074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4D4A1A78" w14:textId="360F9A48" w:rsidR="00CE4E45" w:rsidRPr="004A21CF" w:rsidRDefault="00CE4E45" w:rsidP="00CE4E45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Hordijk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et al., (2016)</w:t>
            </w:r>
          </w:p>
        </w:tc>
        <w:tc>
          <w:tcPr>
            <w:tcW w:w="2127" w:type="dxa"/>
          </w:tcPr>
          <w:p w14:paraId="2EE6579E" w14:textId="2B0CCA16" w:rsidR="00CE4E45" w:rsidRPr="004A21CF" w:rsidRDefault="00B4212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publication type </w:t>
            </w:r>
          </w:p>
        </w:tc>
        <w:tc>
          <w:tcPr>
            <w:tcW w:w="3827" w:type="dxa"/>
          </w:tcPr>
          <w:p w14:paraId="7D7A17A8" w14:textId="4813FACE" w:rsidR="00CE4E45" w:rsidRPr="004A21CF" w:rsidRDefault="00B42128" w:rsidP="00CE4E45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Conference abstract </w:t>
            </w:r>
          </w:p>
        </w:tc>
      </w:tr>
      <w:tr w:rsidR="00041C79" w:rsidRPr="004A21CF" w14:paraId="0E1C3D91" w14:textId="4FEA7DE5" w:rsidTr="00725DCD">
        <w:tc>
          <w:tcPr>
            <w:tcW w:w="474" w:type="dxa"/>
          </w:tcPr>
          <w:p w14:paraId="055C0492" w14:textId="249A0120" w:rsidR="00041C79" w:rsidRPr="004A21CF" w:rsidRDefault="00041C79" w:rsidP="00041C7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5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9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36280106" w14:textId="7BB5DE64" w:rsidR="00041C79" w:rsidRPr="004A21CF" w:rsidRDefault="00041C79" w:rsidP="00041C79">
            <w:pPr>
              <w:rPr>
                <w:rFonts w:ascii="Times New Roman" w:hAnsi="Times New Roman" w:cs="Times New Roman"/>
                <w:noProof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Do we really know how to stop? an update on antidepressant discontinuation. </w:t>
            </w:r>
            <w:hyperlink r:id="rId62" w:history="1">
              <w:r w:rsidRPr="004A21CF">
                <w:rPr>
                  <w:rStyle w:val="Hyperlink"/>
                  <w:rFonts w:ascii="Times New Roman" w:hAnsi="Times New Roman" w:cs="Times New Roman"/>
                  <w:noProof/>
                  <w:szCs w:val="20"/>
                </w:rPr>
                <w:t>https://doi.org/10.1192/j.eurpsy.2020.5</w:t>
              </w:r>
            </w:hyperlink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37BC0E8F" w14:textId="0B21AE13" w:rsidR="00041C79" w:rsidRPr="004A21CF" w:rsidRDefault="00041C79" w:rsidP="00041C7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Silva et al., (2020)</w:t>
            </w:r>
          </w:p>
        </w:tc>
        <w:tc>
          <w:tcPr>
            <w:tcW w:w="2127" w:type="dxa"/>
          </w:tcPr>
          <w:p w14:paraId="44875373" w14:textId="261FB93D" w:rsidR="00041C79" w:rsidRPr="004A21CF" w:rsidRDefault="00041C79" w:rsidP="00041C7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Wrong publication type </w:t>
            </w:r>
          </w:p>
        </w:tc>
        <w:tc>
          <w:tcPr>
            <w:tcW w:w="3827" w:type="dxa"/>
          </w:tcPr>
          <w:p w14:paraId="71EC8963" w14:textId="2A1224B1" w:rsidR="00041C79" w:rsidRPr="004A21CF" w:rsidRDefault="00041C79" w:rsidP="00041C79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Conference E-Poster abstract</w:t>
            </w:r>
          </w:p>
        </w:tc>
      </w:tr>
      <w:tr w:rsidR="00327764" w:rsidRPr="004A21CF" w14:paraId="03098786" w14:textId="0ECDC3C6" w:rsidTr="00725DCD">
        <w:tc>
          <w:tcPr>
            <w:tcW w:w="474" w:type="dxa"/>
          </w:tcPr>
          <w:p w14:paraId="20E5DC2A" w14:textId="3B20031D" w:rsidR="00327764" w:rsidRPr="004A21CF" w:rsidRDefault="007A6A9C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60</w:t>
            </w:r>
            <w:r w:rsidR="00327764"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2D3BFAB2" w14:textId="207BB901" w:rsidR="00327764" w:rsidRPr="004A21CF" w:rsidRDefault="00327764" w:rsidP="00327764">
            <w:pPr>
              <w:rPr>
                <w:rFonts w:ascii="Times New Roman" w:hAnsi="Times New Roman" w:cs="Times New Roman"/>
                <w:noProof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Withdrawal from gamma-hydroxybutyrate, 1,4-butanediol and gamma-butyrolactone: a case report and systematic review. </w:t>
            </w:r>
            <w:hyperlink r:id="rId63" w:history="1">
              <w:r w:rsidRPr="004A21CF">
                <w:rPr>
                  <w:rStyle w:val="Hyperlink"/>
                  <w:rFonts w:ascii="Times New Roman" w:hAnsi="Times New Roman" w:cs="Times New Roman"/>
                  <w:noProof/>
                  <w:szCs w:val="20"/>
                </w:rPr>
                <w:t>https://doi.org/10.1017/S1481803500010034</w:t>
              </w:r>
            </w:hyperlink>
            <w:r w:rsidRPr="004A21CF">
              <w:rPr>
                <w:rFonts w:ascii="Times New Roman" w:hAnsi="Times New Roman" w:cs="Times New Roman"/>
                <w:noProof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710D446B" w14:textId="45751CC7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Wojtowicz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et al., (2008)</w:t>
            </w:r>
          </w:p>
        </w:tc>
        <w:tc>
          <w:tcPr>
            <w:tcW w:w="2127" w:type="dxa"/>
          </w:tcPr>
          <w:p w14:paraId="2506C132" w14:textId="609A8776" w:rsidR="00327764" w:rsidRPr="004A21CF" w:rsidRDefault="009F094E" w:rsidP="00327764">
            <w:pPr>
              <w:rPr>
                <w:rFonts w:ascii="Times New Roman" w:hAnsi="Times New Roman" w:cs="Times New Roman"/>
                <w:szCs w:val="20"/>
              </w:rPr>
            </w:pPr>
            <w:bookmarkStart w:id="1" w:name="_Hlk204984896"/>
            <w:r w:rsidRPr="004A21CF">
              <w:rPr>
                <w:rFonts w:ascii="Times New Roman" w:hAnsi="Times New Roman" w:cs="Times New Roman"/>
                <w:szCs w:val="20"/>
              </w:rPr>
              <w:t>I</w:t>
            </w:r>
            <w:r w:rsidR="00327764" w:rsidRPr="004A21CF">
              <w:rPr>
                <w:rFonts w:ascii="Times New Roman" w:hAnsi="Times New Roman" w:cs="Times New Roman"/>
                <w:szCs w:val="20"/>
              </w:rPr>
              <w:t>llicit drug use</w:t>
            </w:r>
            <w:bookmarkEnd w:id="1"/>
          </w:p>
        </w:tc>
        <w:tc>
          <w:tcPr>
            <w:tcW w:w="3827" w:type="dxa"/>
          </w:tcPr>
          <w:p w14:paraId="06DC46F8" w14:textId="2F43DE59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This review focus on the withdrawal effects of illicit drug use </w:t>
            </w:r>
          </w:p>
        </w:tc>
      </w:tr>
      <w:tr w:rsidR="00327764" w:rsidRPr="004A21CF" w14:paraId="12907022" w14:textId="4B9B48DF" w:rsidTr="00725DCD">
        <w:tc>
          <w:tcPr>
            <w:tcW w:w="474" w:type="dxa"/>
            <w:shd w:val="clear" w:color="auto" w:fill="auto"/>
          </w:tcPr>
          <w:p w14:paraId="1FA0D3E8" w14:textId="48A9DED9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6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1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  <w:shd w:val="clear" w:color="auto" w:fill="auto"/>
          </w:tcPr>
          <w:p w14:paraId="77EE35E9" w14:textId="5FFEE747" w:rsidR="00327764" w:rsidRPr="004A21CF" w:rsidRDefault="00327764" w:rsidP="00327764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Clinical Presentations and Treatment of </w:t>
            </w:r>
            <w:proofErr w:type="spellStart"/>
            <w:r w:rsidRPr="004A21CF">
              <w:rPr>
                <w:rFonts w:ascii="Times New Roman" w:hAnsi="Times New Roman" w:cs="Times New Roman"/>
                <w:szCs w:val="20"/>
              </w:rPr>
              <w:t>Phenibut</w:t>
            </w:r>
            <w:proofErr w:type="spellEnd"/>
            <w:r w:rsidRPr="004A21CF">
              <w:rPr>
                <w:rFonts w:ascii="Times New Roman" w:hAnsi="Times New Roman" w:cs="Times New Roman"/>
                <w:szCs w:val="20"/>
              </w:rPr>
              <w:t xml:space="preserve"> Toxicity and Withdrawal: A Systematic Literature Review. </w:t>
            </w:r>
            <w:hyperlink r:id="rId64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https://doi.org/10.1097/ADM.0000000000001141</w:t>
              </w:r>
            </w:hyperlink>
            <w:r w:rsidRPr="004A21CF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633" w:type="dxa"/>
            <w:shd w:val="clear" w:color="auto" w:fill="auto"/>
          </w:tcPr>
          <w:p w14:paraId="08971932" w14:textId="50FB7392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Weleff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 et al., (2023)</w:t>
            </w:r>
          </w:p>
        </w:tc>
        <w:tc>
          <w:tcPr>
            <w:tcW w:w="2127" w:type="dxa"/>
            <w:shd w:val="clear" w:color="auto" w:fill="auto"/>
          </w:tcPr>
          <w:p w14:paraId="27AE35DC" w14:textId="4FD0706C" w:rsidR="00327764" w:rsidRPr="004A21CF" w:rsidRDefault="009F094E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I</w:t>
            </w:r>
            <w:r w:rsidR="00327764" w:rsidRPr="004A21CF">
              <w:rPr>
                <w:rFonts w:ascii="Times New Roman" w:hAnsi="Times New Roman" w:cs="Times New Roman"/>
                <w:color w:val="000000"/>
                <w:szCs w:val="20"/>
              </w:rPr>
              <w:t>llicit drug use</w:t>
            </w:r>
          </w:p>
        </w:tc>
        <w:tc>
          <w:tcPr>
            <w:tcW w:w="3827" w:type="dxa"/>
          </w:tcPr>
          <w:p w14:paraId="1F47765E" w14:textId="267FB21C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This review examined </w:t>
            </w:r>
            <w:proofErr w:type="spellStart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>Phenibut</w:t>
            </w:r>
            <w:proofErr w:type="spellEnd"/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(a central nervous system (CNS) depressant with anxiolytic properties used for conditions such as anxiety and insomnia as an illicit drug use.</w:t>
            </w:r>
          </w:p>
        </w:tc>
      </w:tr>
      <w:tr w:rsidR="00B26E58" w:rsidRPr="004A21CF" w14:paraId="07FA7EDB" w14:textId="1394C872" w:rsidTr="00725DCD">
        <w:tc>
          <w:tcPr>
            <w:tcW w:w="474" w:type="dxa"/>
            <w:shd w:val="clear" w:color="auto" w:fill="auto"/>
          </w:tcPr>
          <w:p w14:paraId="4A2A8F62" w14:textId="511CD229" w:rsidR="00B26E58" w:rsidRPr="004A21CF" w:rsidRDefault="00327764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6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2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  <w:shd w:val="clear" w:color="auto" w:fill="auto"/>
          </w:tcPr>
          <w:p w14:paraId="5DCB83EF" w14:textId="60B84116" w:rsidR="00B26E58" w:rsidRPr="004A21CF" w:rsidRDefault="00B26E58" w:rsidP="00B26E58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Effects of the discontinuation sequence of norepinephrine and vasopressin on hypotension incidence in patients with septic shock: A meta-analysis. </w:t>
            </w:r>
            <w:hyperlink r:id="rId65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  <w:shd w:val="clear" w:color="auto" w:fill="FFFFFF"/>
                </w:rPr>
                <w:t>https://doi.org/10.1016/j.hrtlng.2019.05.007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633" w:type="dxa"/>
            <w:shd w:val="clear" w:color="auto" w:fill="auto"/>
          </w:tcPr>
          <w:p w14:paraId="63913FCA" w14:textId="17A5CC46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Duclos et al., (2019)</w:t>
            </w:r>
          </w:p>
        </w:tc>
        <w:tc>
          <w:tcPr>
            <w:tcW w:w="2127" w:type="dxa"/>
            <w:shd w:val="clear" w:color="auto" w:fill="auto"/>
          </w:tcPr>
          <w:p w14:paraId="56490BA9" w14:textId="4E9A66C1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bookmarkStart w:id="2" w:name="_Hlk204985038"/>
            <w:r w:rsidRPr="004A21CF">
              <w:rPr>
                <w:rFonts w:ascii="Times New Roman" w:hAnsi="Times New Roman" w:cs="Times New Roman"/>
                <w:szCs w:val="20"/>
              </w:rPr>
              <w:t>Critically ill patients with a narrow focus</w:t>
            </w:r>
            <w:bookmarkEnd w:id="2"/>
          </w:p>
        </w:tc>
        <w:tc>
          <w:tcPr>
            <w:tcW w:w="3827" w:type="dxa"/>
          </w:tcPr>
          <w:p w14:paraId="4DDA7E27" w14:textId="1464E557" w:rsidR="00B26E58" w:rsidRPr="004A21CF" w:rsidRDefault="00B26E58" w:rsidP="00B26E58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examined withdrawal of medicines in critically ill patients with a narrow focus (only hypotension)</w:t>
            </w:r>
          </w:p>
        </w:tc>
      </w:tr>
      <w:tr w:rsidR="00327764" w:rsidRPr="004A21CF" w14:paraId="31BE504D" w14:textId="5226759C" w:rsidTr="00725DCD">
        <w:tc>
          <w:tcPr>
            <w:tcW w:w="474" w:type="dxa"/>
          </w:tcPr>
          <w:p w14:paraId="2FE14843" w14:textId="69B5ABB7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6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3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709E0EB9" w14:textId="4A657C53" w:rsidR="00327764" w:rsidRPr="004A21CF" w:rsidRDefault="00327764" w:rsidP="00327764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Incidence of Hypotension after Discontinuation of Norepinephrine or Arginine Vasopressin in Patients with Septic Shock: a Systematic Review and Meta-Analysis. </w:t>
            </w:r>
            <w:hyperlink r:id="rId66" w:history="1">
              <w:r w:rsidRPr="004A21CF">
                <w:rPr>
                  <w:rStyle w:val="Hyperlink"/>
                  <w:rFonts w:ascii="Times New Roman" w:hAnsi="Times New Roman" w:cs="Times New Roman"/>
                  <w:noProof/>
                  <w:szCs w:val="20"/>
                </w:rPr>
                <w:t>https://doi.org/10.3346/jkms.2020.35.e8</w:t>
              </w:r>
            </w:hyperlink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7AA7CDFC" w14:textId="325F54DE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Song et al., (2020)</w:t>
            </w:r>
          </w:p>
        </w:tc>
        <w:tc>
          <w:tcPr>
            <w:tcW w:w="2127" w:type="dxa"/>
          </w:tcPr>
          <w:p w14:paraId="24D40F78" w14:textId="0E47A4E3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Critically ill patients with a narrow focus</w:t>
            </w:r>
          </w:p>
        </w:tc>
        <w:tc>
          <w:tcPr>
            <w:tcW w:w="3827" w:type="dxa"/>
          </w:tcPr>
          <w:p w14:paraId="287ABA8A" w14:textId="6D8D62F1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This review examined withdrawal of medicines in critically ill patients with a narrow focus (only hypotension)</w:t>
            </w:r>
          </w:p>
        </w:tc>
      </w:tr>
      <w:tr w:rsidR="00327764" w:rsidRPr="004A21CF" w14:paraId="22A3957E" w14:textId="075303F2" w:rsidTr="00725DCD">
        <w:tc>
          <w:tcPr>
            <w:tcW w:w="474" w:type="dxa"/>
          </w:tcPr>
          <w:p w14:paraId="6D1B6E44" w14:textId="280C206F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6</w:t>
            </w:r>
            <w:r w:rsidR="007A6A9C" w:rsidRPr="004A21CF">
              <w:rPr>
                <w:rFonts w:ascii="Times New Roman" w:hAnsi="Times New Roman" w:cs="Times New Roman"/>
                <w:szCs w:val="20"/>
              </w:rPr>
              <w:t>4</w:t>
            </w:r>
            <w:r w:rsidRPr="004A21C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5393" w:type="dxa"/>
          </w:tcPr>
          <w:p w14:paraId="50620DCE" w14:textId="558F5238" w:rsidR="00327764" w:rsidRPr="004A21CF" w:rsidRDefault="00327764" w:rsidP="00327764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4A21CF">
              <w:rPr>
                <w:rFonts w:ascii="Times New Roman" w:hAnsi="Times New Roman" w:cs="Times New Roman"/>
                <w:noProof/>
                <w:color w:val="000000"/>
                <w:szCs w:val="20"/>
              </w:rPr>
              <w:t xml:space="preserve">Dexmedetomidine Withdrawal Syndrome in Children in the PICU: Systematic Review and Meta-Analysis. </w:t>
            </w:r>
            <w:hyperlink r:id="rId67" w:history="1">
              <w:r w:rsidRPr="004A21CF">
                <w:rPr>
                  <w:rStyle w:val="Hyperlink"/>
                  <w:rFonts w:ascii="Times New Roman" w:hAnsi="Times New Roman" w:cs="Times New Roman"/>
                  <w:szCs w:val="20"/>
                </w:rPr>
                <w:t>https://doi.org/10.1097/PCC.0000000000003376</w:t>
              </w:r>
            </w:hyperlink>
            <w:r w:rsidRPr="004A21C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633" w:type="dxa"/>
          </w:tcPr>
          <w:p w14:paraId="5CB86F47" w14:textId="765203D5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>Knapp et al., (2024)</w:t>
            </w:r>
          </w:p>
        </w:tc>
        <w:tc>
          <w:tcPr>
            <w:tcW w:w="2127" w:type="dxa"/>
          </w:tcPr>
          <w:p w14:paraId="2A91CFA9" w14:textId="436A0C3F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bookmarkStart w:id="3" w:name="_Hlk204985252"/>
            <w:r w:rsidRPr="004A21CF">
              <w:rPr>
                <w:rFonts w:ascii="Times New Roman" w:hAnsi="Times New Roman" w:cs="Times New Roman"/>
                <w:szCs w:val="20"/>
              </w:rPr>
              <w:t>Critical care setting</w:t>
            </w:r>
            <w:bookmarkEnd w:id="3"/>
          </w:p>
        </w:tc>
        <w:tc>
          <w:tcPr>
            <w:tcW w:w="3827" w:type="dxa"/>
          </w:tcPr>
          <w:p w14:paraId="16CB1D27" w14:textId="5664AF1E" w:rsidR="00327764" w:rsidRPr="004A21CF" w:rsidRDefault="00327764" w:rsidP="00327764">
            <w:pPr>
              <w:rPr>
                <w:rFonts w:ascii="Times New Roman" w:hAnsi="Times New Roman" w:cs="Times New Roman"/>
                <w:szCs w:val="20"/>
              </w:rPr>
            </w:pPr>
            <w:r w:rsidRPr="004A21CF">
              <w:rPr>
                <w:rFonts w:ascii="Times New Roman" w:hAnsi="Times New Roman" w:cs="Times New Roman"/>
                <w:szCs w:val="20"/>
              </w:rPr>
              <w:t xml:space="preserve">Critical care setting: This review included pediatric population (younger than 21 years old) admitted to the Pediatric intensive care unit (PICU). </w:t>
            </w:r>
          </w:p>
        </w:tc>
      </w:tr>
    </w:tbl>
    <w:p w14:paraId="0CF66264" w14:textId="77777777" w:rsidR="00375187" w:rsidRPr="004A21CF" w:rsidRDefault="00375187">
      <w:pPr>
        <w:rPr>
          <w:rFonts w:ascii="Times New Roman" w:hAnsi="Times New Roman" w:cs="Times New Roman"/>
          <w:szCs w:val="20"/>
        </w:rPr>
      </w:pPr>
    </w:p>
    <w:sectPr w:rsidR="00375187" w:rsidRPr="004A21CF" w:rsidSect="00750D4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s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4A"/>
    <w:rsid w:val="0001620E"/>
    <w:rsid w:val="00041C79"/>
    <w:rsid w:val="00051310"/>
    <w:rsid w:val="000661C1"/>
    <w:rsid w:val="001123FF"/>
    <w:rsid w:val="0012658D"/>
    <w:rsid w:val="00134F73"/>
    <w:rsid w:val="00154D2B"/>
    <w:rsid w:val="001A56AB"/>
    <w:rsid w:val="00227A89"/>
    <w:rsid w:val="00280AA1"/>
    <w:rsid w:val="00293B63"/>
    <w:rsid w:val="00293FC9"/>
    <w:rsid w:val="002E1DCD"/>
    <w:rsid w:val="002F5803"/>
    <w:rsid w:val="00312D0D"/>
    <w:rsid w:val="00327764"/>
    <w:rsid w:val="0033755D"/>
    <w:rsid w:val="0034726E"/>
    <w:rsid w:val="0037482A"/>
    <w:rsid w:val="00375187"/>
    <w:rsid w:val="003A2014"/>
    <w:rsid w:val="003D58F7"/>
    <w:rsid w:val="003E44C6"/>
    <w:rsid w:val="003F117F"/>
    <w:rsid w:val="003F1AC9"/>
    <w:rsid w:val="003F2033"/>
    <w:rsid w:val="003F7C54"/>
    <w:rsid w:val="004077EA"/>
    <w:rsid w:val="00411CD0"/>
    <w:rsid w:val="00426426"/>
    <w:rsid w:val="004348AF"/>
    <w:rsid w:val="00443FFE"/>
    <w:rsid w:val="00453259"/>
    <w:rsid w:val="004A118D"/>
    <w:rsid w:val="004A21CF"/>
    <w:rsid w:val="004A676F"/>
    <w:rsid w:val="005042E5"/>
    <w:rsid w:val="00526C42"/>
    <w:rsid w:val="005462E6"/>
    <w:rsid w:val="005A3D65"/>
    <w:rsid w:val="005E558E"/>
    <w:rsid w:val="00601FE1"/>
    <w:rsid w:val="00675DB8"/>
    <w:rsid w:val="006809E8"/>
    <w:rsid w:val="00695D5D"/>
    <w:rsid w:val="006B78D1"/>
    <w:rsid w:val="006E2009"/>
    <w:rsid w:val="006E7804"/>
    <w:rsid w:val="006F1B7F"/>
    <w:rsid w:val="007240DC"/>
    <w:rsid w:val="00725DCD"/>
    <w:rsid w:val="0074398B"/>
    <w:rsid w:val="00750D4A"/>
    <w:rsid w:val="00753FB7"/>
    <w:rsid w:val="007A6A9C"/>
    <w:rsid w:val="007D2C1A"/>
    <w:rsid w:val="007E0849"/>
    <w:rsid w:val="007E5959"/>
    <w:rsid w:val="00802030"/>
    <w:rsid w:val="00811170"/>
    <w:rsid w:val="008172AD"/>
    <w:rsid w:val="008466A0"/>
    <w:rsid w:val="00855BD0"/>
    <w:rsid w:val="00891407"/>
    <w:rsid w:val="00895FCD"/>
    <w:rsid w:val="008A35F0"/>
    <w:rsid w:val="008C1E19"/>
    <w:rsid w:val="008C2892"/>
    <w:rsid w:val="008C38A5"/>
    <w:rsid w:val="008C524D"/>
    <w:rsid w:val="008D2288"/>
    <w:rsid w:val="008F0204"/>
    <w:rsid w:val="0093706F"/>
    <w:rsid w:val="00995C1C"/>
    <w:rsid w:val="009B1D79"/>
    <w:rsid w:val="009B3424"/>
    <w:rsid w:val="009F094E"/>
    <w:rsid w:val="009F146F"/>
    <w:rsid w:val="00A1279C"/>
    <w:rsid w:val="00A91EC1"/>
    <w:rsid w:val="00AB02D2"/>
    <w:rsid w:val="00AE155D"/>
    <w:rsid w:val="00AE1FCB"/>
    <w:rsid w:val="00AE3C7F"/>
    <w:rsid w:val="00AF4640"/>
    <w:rsid w:val="00B007D9"/>
    <w:rsid w:val="00B167E3"/>
    <w:rsid w:val="00B26E58"/>
    <w:rsid w:val="00B31568"/>
    <w:rsid w:val="00B42128"/>
    <w:rsid w:val="00B7132D"/>
    <w:rsid w:val="00BE4140"/>
    <w:rsid w:val="00C0412F"/>
    <w:rsid w:val="00C15B56"/>
    <w:rsid w:val="00C45C05"/>
    <w:rsid w:val="00C82424"/>
    <w:rsid w:val="00C96CD6"/>
    <w:rsid w:val="00CA57F8"/>
    <w:rsid w:val="00CB2C49"/>
    <w:rsid w:val="00CC4E1A"/>
    <w:rsid w:val="00CE4E45"/>
    <w:rsid w:val="00D32F56"/>
    <w:rsid w:val="00D353F7"/>
    <w:rsid w:val="00D402D7"/>
    <w:rsid w:val="00D462D2"/>
    <w:rsid w:val="00D769D2"/>
    <w:rsid w:val="00D95057"/>
    <w:rsid w:val="00DA544F"/>
    <w:rsid w:val="00DA609A"/>
    <w:rsid w:val="00DC4338"/>
    <w:rsid w:val="00E21760"/>
    <w:rsid w:val="00E25555"/>
    <w:rsid w:val="00E45B83"/>
    <w:rsid w:val="00E46537"/>
    <w:rsid w:val="00E5140B"/>
    <w:rsid w:val="00E60312"/>
    <w:rsid w:val="00ED31FE"/>
    <w:rsid w:val="00EE37C7"/>
    <w:rsid w:val="00EF7D84"/>
    <w:rsid w:val="00F1542E"/>
    <w:rsid w:val="00F317D7"/>
    <w:rsid w:val="00F51A99"/>
    <w:rsid w:val="00FB60A9"/>
    <w:rsid w:val="00FD3BC5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F4E65"/>
  <w15:chartTrackingRefBased/>
  <w15:docId w15:val="{53DE4AA3-E35D-4EFD-BD6A-F4827337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170"/>
    <w:pPr>
      <w:spacing w:after="0" w:line="240" w:lineRule="auto"/>
    </w:pPr>
    <w:rPr>
      <w:rFonts w:ascii="Times New Romans" w:eastAsiaTheme="minorEastAsia" w:hAnsi="Times New Romans"/>
      <w:sz w:val="20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1170"/>
    <w:pPr>
      <w:spacing w:after="0" w:line="240" w:lineRule="auto"/>
    </w:pPr>
    <w:rPr>
      <w:rFonts w:eastAsiaTheme="minorEastAsia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40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4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6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16/j.schres.2017.02.011" TargetMode="External"/><Relationship Id="rId21" Type="http://schemas.openxmlformats.org/officeDocument/2006/relationships/hyperlink" Target="https://doi.org/10.1093/fampra/cmab159" TargetMode="External"/><Relationship Id="rId42" Type="http://schemas.openxmlformats.org/officeDocument/2006/relationships/hyperlink" Target="https://doi.org/10.1016/j.jamda.2023.07.016" TargetMode="External"/><Relationship Id="rId47" Type="http://schemas.openxmlformats.org/officeDocument/2006/relationships/hyperlink" Target="https://doi.org/10.1016/j.mayocp.2015.04.003" TargetMode="External"/><Relationship Id="rId63" Type="http://schemas.openxmlformats.org/officeDocument/2006/relationships/hyperlink" Target="https://doi.org/10.1017/S1481803500010034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doi.org/10.1002/14651858.CD011481.pub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3233/JRS-230011" TargetMode="External"/><Relationship Id="rId29" Type="http://schemas.openxmlformats.org/officeDocument/2006/relationships/hyperlink" Target="https://doi.org/10.1192/bjp.189.3.213" TargetMode="External"/><Relationship Id="rId11" Type="http://schemas.openxmlformats.org/officeDocument/2006/relationships/hyperlink" Target="https://doi.org/10.1016/j.jcjd.2022.01.009" TargetMode="External"/><Relationship Id="rId24" Type="http://schemas.openxmlformats.org/officeDocument/2006/relationships/hyperlink" Target="https://doi.org/10.1002/14651858.CD012069.pub2" TargetMode="External"/><Relationship Id="rId32" Type="http://schemas.openxmlformats.org/officeDocument/2006/relationships/hyperlink" Target="https://doi.org/10.3399/bjgp18X699041" TargetMode="External"/><Relationship Id="rId37" Type="http://schemas.openxmlformats.org/officeDocument/2006/relationships/hyperlink" Target="https://doi.org/10.1016/j.jchf.2015.03.008" TargetMode="External"/><Relationship Id="rId40" Type="http://schemas.openxmlformats.org/officeDocument/2006/relationships/hyperlink" Target="https://doi.org/10.1136/bmjopen-2016-012674" TargetMode="External"/><Relationship Id="rId45" Type="http://schemas.openxmlformats.org/officeDocument/2006/relationships/hyperlink" Target="https://doi.org/10.1002/14651858.CD012540.pub2" TargetMode="External"/><Relationship Id="rId53" Type="http://schemas.openxmlformats.org/officeDocument/2006/relationships/hyperlink" Target="https://doi.org/10.1111/bcp.15864" TargetMode="External"/><Relationship Id="rId58" Type="http://schemas.openxmlformats.org/officeDocument/2006/relationships/hyperlink" Target="https://doi.org/10.1038/npp.2011.291" TargetMode="External"/><Relationship Id="rId66" Type="http://schemas.openxmlformats.org/officeDocument/2006/relationships/hyperlink" Target="https://doi.org/10.3346/jkms.2020.35.e8" TargetMode="External"/><Relationship Id="rId5" Type="http://schemas.openxmlformats.org/officeDocument/2006/relationships/hyperlink" Target="https://doi.org/10.1002/pds.5879" TargetMode="External"/><Relationship Id="rId61" Type="http://schemas.openxmlformats.org/officeDocument/2006/relationships/hyperlink" Target="https://doi.org/10.1002/nau.23074" TargetMode="External"/><Relationship Id="rId19" Type="http://schemas.openxmlformats.org/officeDocument/2006/relationships/hyperlink" Target="https://doi.org/10.1093/schbul/sbw171" TargetMode="External"/><Relationship Id="rId14" Type="http://schemas.openxmlformats.org/officeDocument/2006/relationships/hyperlink" Target="https://doi.org/10.3390/jcm13216606" TargetMode="External"/><Relationship Id="rId22" Type="http://schemas.openxmlformats.org/officeDocument/2006/relationships/hyperlink" Target="https://doi.org/10.20986/medpal.2020.1153/2020" TargetMode="External"/><Relationship Id="rId27" Type="http://schemas.openxmlformats.org/officeDocument/2006/relationships/hyperlink" Target="https://doi.org/10.1007/s40266-025-01189-2" TargetMode="External"/><Relationship Id="rId30" Type="http://schemas.openxmlformats.org/officeDocument/2006/relationships/hyperlink" Target="https://doi.org/10.30827/ars.v66i2.31635" TargetMode="External"/><Relationship Id="rId35" Type="http://schemas.openxmlformats.org/officeDocument/2006/relationships/hyperlink" Target="https://doi.org/10.1159/000355418" TargetMode="External"/><Relationship Id="rId43" Type="http://schemas.openxmlformats.org/officeDocument/2006/relationships/hyperlink" Target="https://doi.org/10.1093/fampra/cmu050" TargetMode="External"/><Relationship Id="rId48" Type="http://schemas.openxmlformats.org/officeDocument/2006/relationships/hyperlink" Target="https://doi.org/10.1371/journal.pone.0305215" TargetMode="External"/><Relationship Id="rId56" Type="http://schemas.openxmlformats.org/officeDocument/2006/relationships/hyperlink" Target="https://doi.org/10.1136/dtb.2019.000084" TargetMode="External"/><Relationship Id="rId64" Type="http://schemas.openxmlformats.org/officeDocument/2006/relationships/hyperlink" Target="https://doi.org/10.1097/ADM.0000000000001141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doi.org/10.1002/14651858.CD000204.pub2" TargetMode="External"/><Relationship Id="rId51" Type="http://schemas.openxmlformats.org/officeDocument/2006/relationships/hyperlink" Target="https://doi.org/10.3109/00365521.2012.74639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11/jcpt.12787" TargetMode="External"/><Relationship Id="rId17" Type="http://schemas.openxmlformats.org/officeDocument/2006/relationships/hyperlink" Target="https://doi.org/10.1007/s11606-020-06253-8" TargetMode="External"/><Relationship Id="rId25" Type="http://schemas.openxmlformats.org/officeDocument/2006/relationships/hyperlink" Target="https://doi.org/10.1177/0269881120922964" TargetMode="External"/><Relationship Id="rId33" Type="http://schemas.openxmlformats.org/officeDocument/2006/relationships/hyperlink" Target="https://doi.org/10.17116/jnevro2019119051162" TargetMode="External"/><Relationship Id="rId38" Type="http://schemas.openxmlformats.org/officeDocument/2006/relationships/hyperlink" Target="https://doi.org/10.1016/j.preghy.2024.101141" TargetMode="External"/><Relationship Id="rId46" Type="http://schemas.openxmlformats.org/officeDocument/2006/relationships/hyperlink" Target="https://doi.org/10.1016/S0887-6177(03)00096-9" TargetMode="External"/><Relationship Id="rId59" Type="http://schemas.openxmlformats.org/officeDocument/2006/relationships/hyperlink" Target="https://doi.org/10.1186/s13054-018-1973-5" TargetMode="External"/><Relationship Id="rId67" Type="http://schemas.openxmlformats.org/officeDocument/2006/relationships/hyperlink" Target="https://doi.org/10.1097/PCC.0000000000003376" TargetMode="External"/><Relationship Id="rId20" Type="http://schemas.openxmlformats.org/officeDocument/2006/relationships/hyperlink" Target="https://doi.org/10.1002/14651858.CD012584.pub2" TargetMode="External"/><Relationship Id="rId41" Type="http://schemas.openxmlformats.org/officeDocument/2006/relationships/hyperlink" Target="https://doi.org/10.1007/s40266-015-0322-5" TargetMode="External"/><Relationship Id="rId54" Type="http://schemas.openxmlformats.org/officeDocument/2006/relationships/hyperlink" Target="https://doi.org/10.1002/14651858.CD013495" TargetMode="External"/><Relationship Id="rId62" Type="http://schemas.openxmlformats.org/officeDocument/2006/relationships/hyperlink" Target="https://doi.org/10.1192/j.eurpsy.2020.5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3390/neurosci6020034" TargetMode="External"/><Relationship Id="rId15" Type="http://schemas.openxmlformats.org/officeDocument/2006/relationships/hyperlink" Target="https://doi.org/10.2147/COPD.S436525" TargetMode="External"/><Relationship Id="rId23" Type="http://schemas.openxmlformats.org/officeDocument/2006/relationships/hyperlink" Target="https://doi.org/10.1111/jgs.19035" TargetMode="External"/><Relationship Id="rId28" Type="http://schemas.openxmlformats.org/officeDocument/2006/relationships/hyperlink" Target="https://doi.org/10.4088/JCP.14r09237" TargetMode="External"/><Relationship Id="rId36" Type="http://schemas.openxmlformats.org/officeDocument/2006/relationships/hyperlink" Target="https://doi.org/10.1111/j.1360-0443.2008.02364.x" TargetMode="External"/><Relationship Id="rId49" Type="http://schemas.openxmlformats.org/officeDocument/2006/relationships/hyperlink" Target="https://doi.org/10.1007/s00134-007-0696-x" TargetMode="External"/><Relationship Id="rId57" Type="http://schemas.openxmlformats.org/officeDocument/2006/relationships/hyperlink" Target="https://utoronto.scholaris.ca/server/api/core/bitstreams/f7cfa912-cda4-4c10-a45b-24f3a6871a54/content" TargetMode="External"/><Relationship Id="rId10" Type="http://schemas.openxmlformats.org/officeDocument/2006/relationships/hyperlink" Target="https://doi.org/10.1002/14651858.CD007726.pub3" TargetMode="External"/><Relationship Id="rId31" Type="http://schemas.openxmlformats.org/officeDocument/2006/relationships/hyperlink" Target="https://doi.org/10.1159/000531000" TargetMode="External"/><Relationship Id="rId44" Type="http://schemas.openxmlformats.org/officeDocument/2006/relationships/hyperlink" Target="https://doi.org/10.1055/a-2443-1189" TargetMode="External"/><Relationship Id="rId52" Type="http://schemas.openxmlformats.org/officeDocument/2006/relationships/hyperlink" Target="https://doi.org/10.1007/BF02850015" TargetMode="External"/><Relationship Id="rId60" Type="http://schemas.openxmlformats.org/officeDocument/2006/relationships/hyperlink" Target="https://doi.org/10.1016/j.jaac.2022.09.376" TargetMode="External"/><Relationship Id="rId65" Type="http://schemas.openxmlformats.org/officeDocument/2006/relationships/hyperlink" Target="https://doi.org/10.1016/j.hrtlng.2019.05.007" TargetMode="External"/><Relationship Id="rId4" Type="http://schemas.openxmlformats.org/officeDocument/2006/relationships/hyperlink" Target="https://doi.org/10.1111/dar.13511" TargetMode="External"/><Relationship Id="rId9" Type="http://schemas.openxmlformats.org/officeDocument/2006/relationships/hyperlink" Target="https://doi.org/10.1159/000496733" TargetMode="External"/><Relationship Id="rId13" Type="http://schemas.openxmlformats.org/officeDocument/2006/relationships/hyperlink" Target="https://doi.org/10.1002/14651858.CD011408.pub2" TargetMode="External"/><Relationship Id="rId18" Type="http://schemas.openxmlformats.org/officeDocument/2006/relationships/hyperlink" Target="https://doi.org/10.1016/j.ajp.2023.103502" TargetMode="External"/><Relationship Id="rId39" Type="http://schemas.openxmlformats.org/officeDocument/2006/relationships/hyperlink" Target="https://doi.org/10.1007/s00701-022-05416-2" TargetMode="External"/><Relationship Id="rId34" Type="http://schemas.openxmlformats.org/officeDocument/2006/relationships/hyperlink" Target="https://doi.org/10.1136/bmjopen-2019-030405" TargetMode="External"/><Relationship Id="rId50" Type="http://schemas.openxmlformats.org/officeDocument/2006/relationships/hyperlink" Target="https://doi.org/10.1177/0269881109359094" TargetMode="External"/><Relationship Id="rId55" Type="http://schemas.openxmlformats.org/officeDocument/2006/relationships/hyperlink" Target="https://doi.org/10.1038/sc.2011.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7</Pages>
  <Words>2473</Words>
  <Characters>21778</Characters>
  <Application>Microsoft Office Word</Application>
  <DocSecurity>0</DocSecurity>
  <Lines>181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Surgeons in Ireland</Company>
  <LinksUpToDate>false</LinksUpToDate>
  <CharactersWithSpaces>24203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Zakir Khan</dc:creator>
  <cp:keywords/>
  <dc:description/>
  <cp:lastModifiedBy>Zakir Khan</cp:lastModifiedBy>
  <cp:revision>169</cp:revision>
  <dcterms:created xsi:type="dcterms:W3CDTF">2025-06-29T22:32:00Z</dcterms:created>
  <dcterms:modified xsi:type="dcterms:W3CDTF">2026-10-02T18:01:00Z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e999c5be-2797-4313-bd7e-803a70b61ec6</vt:lpwstr>
  </property>
</Properties>
</file>