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32D1" w:rsidRPr="004232D1" w:rsidRDefault="004232D1" w:rsidP="004232D1">
      <w:pPr>
        <w:spacing w:after="0" w:line="480" w:lineRule="auto"/>
        <w:jc w:val="both"/>
        <w:rPr>
          <w:rFonts w:ascii="Arial" w:eastAsia="Times New Roman" w:hAnsi="Arial" w:cs="Arial"/>
          <w:lang w:val="en-US" w:eastAsia="es-ES"/>
        </w:rPr>
      </w:pPr>
      <w:r w:rsidRPr="004232D1">
        <w:rPr>
          <w:rFonts w:ascii="Arial" w:eastAsia="Times New Roman" w:hAnsi="Arial" w:cs="Arial"/>
          <w:b/>
          <w:bCs/>
          <w:lang w:val="en-US" w:eastAsia="es-ES"/>
        </w:rPr>
        <w:t>Fig</w:t>
      </w:r>
      <w:r>
        <w:rPr>
          <w:rFonts w:ascii="Arial" w:eastAsia="Times New Roman" w:hAnsi="Arial" w:cs="Arial"/>
          <w:b/>
          <w:bCs/>
          <w:lang w:val="en-US" w:eastAsia="es-ES"/>
        </w:rPr>
        <w:t>ure</w:t>
      </w:r>
      <w:r w:rsidRPr="004232D1">
        <w:rPr>
          <w:rFonts w:ascii="Arial" w:eastAsia="Times New Roman" w:hAnsi="Arial" w:cs="Arial"/>
          <w:b/>
          <w:bCs/>
          <w:lang w:val="en-US" w:eastAsia="es-ES"/>
        </w:rPr>
        <w:t xml:space="preserve"> </w:t>
      </w:r>
      <w:r>
        <w:rPr>
          <w:rFonts w:ascii="Arial" w:eastAsia="Times New Roman" w:hAnsi="Arial" w:cs="Arial"/>
          <w:b/>
          <w:bCs/>
          <w:lang w:val="en-US" w:eastAsia="es-ES"/>
        </w:rPr>
        <w:t>S</w:t>
      </w:r>
      <w:bookmarkStart w:id="0" w:name="_GoBack"/>
      <w:bookmarkEnd w:id="0"/>
      <w:r w:rsidRPr="004232D1">
        <w:rPr>
          <w:rFonts w:ascii="Arial" w:eastAsia="Times New Roman" w:hAnsi="Arial" w:cs="Arial"/>
          <w:b/>
          <w:bCs/>
          <w:lang w:val="en-US" w:eastAsia="es-ES"/>
        </w:rPr>
        <w:t xml:space="preserve">2 Characterization of </w:t>
      </w:r>
      <w:proofErr w:type="spellStart"/>
      <w:r w:rsidRPr="004232D1">
        <w:rPr>
          <w:rFonts w:ascii="Arial" w:eastAsia="Times New Roman" w:hAnsi="Arial" w:cs="Arial"/>
          <w:b/>
          <w:bCs/>
          <w:lang w:val="en-US" w:eastAsia="es-ES"/>
        </w:rPr>
        <w:t>hiPSC</w:t>
      </w:r>
      <w:proofErr w:type="spellEnd"/>
      <w:r w:rsidRPr="004232D1">
        <w:rPr>
          <w:rFonts w:ascii="Arial" w:eastAsia="Times New Roman" w:hAnsi="Arial" w:cs="Arial"/>
          <w:b/>
          <w:bCs/>
          <w:lang w:val="en-US" w:eastAsia="es-ES"/>
        </w:rPr>
        <w:t xml:space="preserve"> derived glia in vivo. </w:t>
      </w:r>
      <w:r w:rsidRPr="004232D1">
        <w:rPr>
          <w:rFonts w:ascii="Arial" w:eastAsia="Times New Roman" w:hAnsi="Arial" w:cs="Arial"/>
          <w:b/>
          <w:lang w:val="en-US" w:eastAsia="es-ES"/>
        </w:rPr>
        <w:t>(a-c)</w:t>
      </w:r>
      <w:r w:rsidRPr="004232D1">
        <w:rPr>
          <w:rFonts w:ascii="Arial" w:eastAsia="Times New Roman" w:hAnsi="Arial" w:cs="Arial"/>
          <w:lang w:val="en-US" w:eastAsia="es-ES"/>
        </w:rPr>
        <w:t xml:space="preserve"> Five months after transplantation, </w:t>
      </w:r>
      <w:proofErr w:type="spellStart"/>
      <w:r w:rsidRPr="004232D1">
        <w:rPr>
          <w:rFonts w:ascii="Arial" w:eastAsia="Times New Roman" w:hAnsi="Arial" w:cs="Arial"/>
          <w:lang w:val="en-US" w:eastAsia="es-ES"/>
        </w:rPr>
        <w:t>hiPSC</w:t>
      </w:r>
      <w:proofErr w:type="spellEnd"/>
      <w:r w:rsidRPr="004232D1">
        <w:rPr>
          <w:rFonts w:ascii="Arial" w:eastAsia="Times New Roman" w:hAnsi="Arial" w:cs="Arial"/>
          <w:lang w:val="en-US" w:eastAsia="es-ES"/>
        </w:rPr>
        <w:t xml:space="preserve">-glia (RFP+, red) express human GFAP (a; </w:t>
      </w:r>
      <w:proofErr w:type="spellStart"/>
      <w:r w:rsidRPr="004232D1">
        <w:rPr>
          <w:rFonts w:ascii="Arial" w:eastAsia="Times New Roman" w:hAnsi="Arial" w:cs="Arial"/>
          <w:lang w:val="en-US" w:eastAsia="es-ES"/>
        </w:rPr>
        <w:t>hGFAP</w:t>
      </w:r>
      <w:proofErr w:type="spellEnd"/>
      <w:r w:rsidRPr="004232D1">
        <w:rPr>
          <w:rFonts w:ascii="Arial" w:eastAsia="Times New Roman" w:hAnsi="Arial" w:cs="Arial"/>
          <w:lang w:val="en-US" w:eastAsia="es-ES"/>
        </w:rPr>
        <w:t xml:space="preserve">, green) but not the neuronal marker </w:t>
      </w:r>
      <w:proofErr w:type="spellStart"/>
      <w:r w:rsidRPr="004232D1">
        <w:rPr>
          <w:rFonts w:ascii="Arial" w:eastAsia="Times New Roman" w:hAnsi="Arial" w:cs="Arial"/>
          <w:lang w:val="en-US" w:eastAsia="es-ES"/>
        </w:rPr>
        <w:t>NeuN</w:t>
      </w:r>
      <w:proofErr w:type="spellEnd"/>
      <w:r w:rsidRPr="004232D1">
        <w:rPr>
          <w:rFonts w:ascii="Arial" w:eastAsia="Times New Roman" w:hAnsi="Arial" w:cs="Arial"/>
          <w:lang w:val="en-US" w:eastAsia="es-ES"/>
        </w:rPr>
        <w:t xml:space="preserve"> (b; green) or the oligodendrocyte marker APC (c; green). Scale bars: 25 µm. </w:t>
      </w:r>
      <w:r w:rsidRPr="004232D1">
        <w:rPr>
          <w:rFonts w:ascii="Arial" w:eastAsia="Times New Roman" w:hAnsi="Arial" w:cs="Arial"/>
          <w:b/>
          <w:lang w:val="en-US" w:eastAsia="es-ES"/>
        </w:rPr>
        <w:t>(d-f)</w:t>
      </w:r>
      <w:r w:rsidRPr="004232D1">
        <w:rPr>
          <w:rFonts w:ascii="Arial" w:eastAsia="Times New Roman" w:hAnsi="Arial" w:cs="Arial"/>
          <w:lang w:val="en-US" w:eastAsia="es-ES"/>
        </w:rPr>
        <w:t xml:space="preserve"> Percentage of RFP+ cells expressing GFAP (d; n=7 mice for ApoE33; n=7 mice for ApoE44), </w:t>
      </w:r>
      <w:proofErr w:type="spellStart"/>
      <w:r w:rsidRPr="004232D1">
        <w:rPr>
          <w:rFonts w:ascii="Arial" w:eastAsia="Times New Roman" w:hAnsi="Arial" w:cs="Arial"/>
          <w:lang w:val="en-US" w:eastAsia="es-ES"/>
        </w:rPr>
        <w:t>NeuN</w:t>
      </w:r>
      <w:proofErr w:type="spellEnd"/>
      <w:r w:rsidRPr="004232D1">
        <w:rPr>
          <w:rFonts w:ascii="Arial" w:eastAsia="Times New Roman" w:hAnsi="Arial" w:cs="Arial"/>
          <w:lang w:val="en-US" w:eastAsia="es-ES"/>
        </w:rPr>
        <w:t xml:space="preserve"> (e; n=6 mice for ApoE33; n=3 mice for ApoE44) or APC (f; n=6 mice for ApoE33; n=3 mice for ApoE44). Data are represented as mean ± SEM, Student’s t test: </w:t>
      </w:r>
      <w:proofErr w:type="spellStart"/>
      <w:r w:rsidRPr="004232D1">
        <w:rPr>
          <w:rFonts w:ascii="Arial" w:eastAsia="Times New Roman" w:hAnsi="Arial" w:cs="Arial"/>
          <w:lang w:val="en-US" w:eastAsia="es-ES"/>
        </w:rPr>
        <w:t>n.s</w:t>
      </w:r>
      <w:proofErr w:type="spellEnd"/>
      <w:r w:rsidRPr="004232D1">
        <w:rPr>
          <w:rFonts w:ascii="Arial" w:eastAsia="Times New Roman" w:hAnsi="Arial" w:cs="Arial"/>
          <w:lang w:val="en-US" w:eastAsia="es-ES"/>
        </w:rPr>
        <w:t xml:space="preserve">., non-significant. </w:t>
      </w:r>
      <w:r w:rsidRPr="004232D1">
        <w:rPr>
          <w:rFonts w:ascii="Arial" w:eastAsia="Times New Roman" w:hAnsi="Arial" w:cs="Arial"/>
          <w:b/>
          <w:lang w:val="en-US" w:eastAsia="es-ES"/>
        </w:rPr>
        <w:t>(g-</w:t>
      </w:r>
      <w:proofErr w:type="spellStart"/>
      <w:r w:rsidRPr="004232D1">
        <w:rPr>
          <w:rFonts w:ascii="Arial" w:eastAsia="Times New Roman" w:hAnsi="Arial" w:cs="Arial"/>
          <w:b/>
          <w:lang w:val="en-US" w:eastAsia="es-ES"/>
        </w:rPr>
        <w:t>i</w:t>
      </w:r>
      <w:proofErr w:type="spellEnd"/>
      <w:r w:rsidRPr="004232D1">
        <w:rPr>
          <w:rFonts w:ascii="Arial" w:eastAsia="Times New Roman" w:hAnsi="Arial" w:cs="Arial"/>
          <w:b/>
          <w:lang w:val="en-US" w:eastAsia="es-ES"/>
        </w:rPr>
        <w:t>)</w:t>
      </w:r>
      <w:r w:rsidRPr="004232D1">
        <w:rPr>
          <w:rFonts w:ascii="Arial" w:eastAsia="Times New Roman" w:hAnsi="Arial" w:cs="Arial"/>
          <w:lang w:val="en-US" w:eastAsia="es-ES"/>
        </w:rPr>
        <w:t xml:space="preserve"> Overview (g) and representative images (h-</w:t>
      </w:r>
      <w:proofErr w:type="spellStart"/>
      <w:r w:rsidRPr="004232D1">
        <w:rPr>
          <w:rFonts w:ascii="Arial" w:eastAsia="Times New Roman" w:hAnsi="Arial" w:cs="Arial"/>
          <w:lang w:val="en-US" w:eastAsia="es-ES"/>
        </w:rPr>
        <w:t>i</w:t>
      </w:r>
      <w:proofErr w:type="spellEnd"/>
      <w:r w:rsidRPr="004232D1">
        <w:rPr>
          <w:rFonts w:ascii="Arial" w:eastAsia="Times New Roman" w:hAnsi="Arial" w:cs="Arial"/>
          <w:lang w:val="en-US" w:eastAsia="es-ES"/>
        </w:rPr>
        <w:t xml:space="preserve">) of RFP+ and GFAP- progenitor cells showing morphological features of radial glia. Scale bars: 25 µm. </w:t>
      </w:r>
      <w:r w:rsidRPr="004232D1">
        <w:rPr>
          <w:rFonts w:ascii="Arial" w:eastAsia="Times New Roman" w:hAnsi="Arial" w:cs="Arial"/>
          <w:b/>
          <w:lang w:val="en-US" w:eastAsia="es-ES"/>
        </w:rPr>
        <w:t>(j)</w:t>
      </w:r>
      <w:r w:rsidRPr="004232D1">
        <w:rPr>
          <w:rFonts w:ascii="Arial" w:eastAsia="Times New Roman" w:hAnsi="Arial" w:cs="Arial"/>
          <w:b/>
          <w:bCs/>
          <w:lang w:val="en-US" w:eastAsia="es-ES"/>
        </w:rPr>
        <w:t xml:space="preserve"> </w:t>
      </w:r>
      <w:proofErr w:type="spellStart"/>
      <w:r w:rsidRPr="004232D1">
        <w:rPr>
          <w:rFonts w:ascii="Arial" w:eastAsia="Times New Roman" w:hAnsi="Arial" w:cs="Arial"/>
          <w:lang w:val="en-US" w:eastAsia="es-ES"/>
        </w:rPr>
        <w:t>hiPSC</w:t>
      </w:r>
      <w:proofErr w:type="spellEnd"/>
      <w:r w:rsidRPr="004232D1">
        <w:rPr>
          <w:rFonts w:ascii="Arial" w:eastAsia="Times New Roman" w:hAnsi="Arial" w:cs="Arial"/>
          <w:lang w:val="en-US" w:eastAsia="es-ES"/>
        </w:rPr>
        <w:t xml:space="preserve">-astrocytes (RFP+ GFAP+) and mouse astrocytes (RFP- GFAP+) coexist within chimeric brains. Scale bar: 25 µm </w:t>
      </w:r>
    </w:p>
    <w:p w:rsidR="00267C5C" w:rsidRDefault="004232D1" w:rsidP="004232D1">
      <w:r w:rsidRPr="004232D1">
        <w:rPr>
          <w:rFonts w:ascii="Calibri" w:eastAsia="Calibri" w:hAnsi="Calibri" w:cs="Times New Roman"/>
          <w:noProof/>
          <w:lang w:val="nl-BE"/>
        </w:rPr>
        <w:lastRenderedPageBreak/>
        <w:drawing>
          <wp:inline distT="0" distB="0" distL="0" distR="0" wp14:anchorId="6311D684" wp14:editId="3E5F8375">
            <wp:extent cx="5628904" cy="9120375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808" cy="9146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67C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2D1"/>
    <w:rsid w:val="00267C5C"/>
    <w:rsid w:val="0042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90CD3"/>
  <w15:chartTrackingRefBased/>
  <w15:docId w15:val="{3A900FCE-D5AB-49DB-9774-DDE23EEB2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Amaia Arranz</dc:creator>
  <cp:keywords/>
  <dc:description/>
  <cp:lastModifiedBy>Amaia Arranz</cp:lastModifiedBy>
  <cp:revision>1</cp:revision>
  <dcterms:created xsi:type="dcterms:W3CDTF">2020-11-13T14:27:00Z</dcterms:created>
  <dcterms:modified xsi:type="dcterms:W3CDTF">2020-11-13T14:27:00Z</dcterms:modified>
</cp:coreProperties>
</file>