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D557D" w14:textId="77777777" w:rsidR="00EF0FE6" w:rsidRPr="00EF0FE6" w:rsidRDefault="00EF0FE6" w:rsidP="00EF0FE6">
      <w:pPr>
        <w:rPr>
          <w:b/>
          <w:bCs/>
          <w:lang w:val="en-US"/>
        </w:rPr>
      </w:pPr>
      <w:r w:rsidRPr="00EF0FE6">
        <w:rPr>
          <w:bCs/>
          <w:lang w:val="en-US"/>
        </w:rPr>
        <w:t>Supplementary figure legends</w:t>
      </w:r>
    </w:p>
    <w:p w14:paraId="77855727" w14:textId="77777777" w:rsidR="00EF0FE6" w:rsidRPr="00EF0FE6" w:rsidRDefault="00EF0FE6" w:rsidP="00EF0FE6">
      <w:pPr>
        <w:rPr>
          <w:lang w:val="en-US"/>
        </w:rPr>
      </w:pPr>
      <w:r w:rsidRPr="00EF0FE6">
        <w:rPr>
          <w:b/>
          <w:lang w:val="en-US"/>
        </w:rPr>
        <w:t>Supplementary Figure S1. Discovery: univariate screening and construction of the 25-gene Model A.</w:t>
      </w:r>
      <w:r w:rsidRPr="00EF0FE6">
        <w:rPr>
          <w:lang w:val="en-US"/>
        </w:rPr>
        <w:t xml:space="preserve"> (</w:t>
      </w:r>
      <w:r w:rsidRPr="00EF0FE6">
        <w:rPr>
          <w:b/>
          <w:lang w:val="en-US"/>
        </w:rPr>
        <w:t>A</w:t>
      </w:r>
      <w:r w:rsidRPr="00EF0FE6">
        <w:rPr>
          <w:lang w:val="en-US"/>
        </w:rPr>
        <w:t xml:space="preserve">) Univariate Cox regression of the 89 evaluable </w:t>
      </w:r>
      <w:proofErr w:type="spellStart"/>
      <w:r w:rsidRPr="00EF0FE6">
        <w:rPr>
          <w:lang w:val="en-US"/>
        </w:rPr>
        <w:t>mitoxyperilysis</w:t>
      </w:r>
      <w:proofErr w:type="spellEnd"/>
      <w:r w:rsidRPr="00EF0FE6">
        <w:rPr>
          <w:lang w:val="en-US"/>
        </w:rPr>
        <w:t xml:space="preserve">-related genes in TCGA-LGG, ordered by </w:t>
      </w:r>
      <w:r w:rsidRPr="00EF0FE6">
        <w:rPr>
          <w:i/>
          <w:lang w:val="en-US"/>
        </w:rPr>
        <w:t>P</w:t>
      </w:r>
      <w:r w:rsidRPr="00EF0FE6">
        <w:rPr>
          <w:lang w:val="en-US"/>
        </w:rPr>
        <w:t xml:space="preserve"> value; red points and bars denote </w:t>
      </w:r>
      <w:r w:rsidRPr="00EF0FE6">
        <w:rPr>
          <w:i/>
          <w:lang w:val="en-US"/>
        </w:rPr>
        <w:t>P</w:t>
      </w:r>
      <w:r w:rsidRPr="00EF0FE6">
        <w:rPr>
          <w:lang w:val="en-US"/>
        </w:rPr>
        <w:t xml:space="preserve"> &lt; 0.05, grey </w:t>
      </w:r>
      <w:r w:rsidRPr="00EF0FE6">
        <w:rPr>
          <w:i/>
          <w:lang w:val="en-US"/>
        </w:rPr>
        <w:t>P</w:t>
      </w:r>
      <w:r w:rsidRPr="00EF0FE6">
        <w:rPr>
          <w:lang w:val="en-US"/>
        </w:rPr>
        <w:t xml:space="preserve"> ≥ 0.05. Hazard ratios and </w:t>
      </w:r>
      <w:r w:rsidRPr="00EF0FE6">
        <w:rPr>
          <w:i/>
          <w:lang w:val="en-US"/>
        </w:rPr>
        <w:t>P</w:t>
      </w:r>
      <w:r w:rsidRPr="00EF0FE6">
        <w:rPr>
          <w:lang w:val="en-US"/>
        </w:rPr>
        <w:t xml:space="preserve"> values are those of Supplementary Table S1; the 95% confidence intervals were reconstructed from these two quantities by two-sided Wald inversion. (</w:t>
      </w:r>
      <w:r w:rsidRPr="00EF0FE6">
        <w:rPr>
          <w:b/>
          <w:lang w:val="en-US"/>
        </w:rPr>
        <w:t>B</w:t>
      </w:r>
      <w:r w:rsidRPr="00EF0FE6">
        <w:rPr>
          <w:lang w:val="en-US"/>
        </w:rPr>
        <w:t>) Model A risk score (upper strip) and survival status (lower strip) with patients ordered by risk score; blue, low-risk group; red, high-risk group. (</w:t>
      </w:r>
      <w:r w:rsidRPr="00EF0FE6">
        <w:rPr>
          <w:b/>
          <w:lang w:val="en-US"/>
        </w:rPr>
        <w:t>C</w:t>
      </w:r>
      <w:r w:rsidRPr="00EF0FE6">
        <w:rPr>
          <w:lang w:val="en-US"/>
        </w:rPr>
        <w:t xml:space="preserve">) Expression heat map of the 25 Model A genes across the same patient order, values as per-gene </w:t>
      </w:r>
      <w:r w:rsidRPr="00EF0FE6">
        <w:rPr>
          <w:i/>
          <w:lang w:val="en-US"/>
        </w:rPr>
        <w:t>z</w:t>
      </w:r>
      <w:r w:rsidRPr="00EF0FE6">
        <w:rPr>
          <w:lang w:val="en-US"/>
        </w:rPr>
        <w:t>-scores in the TCGA-LGG matrix (</w:t>
      </w:r>
      <w:proofErr w:type="spellStart"/>
      <w:r w:rsidRPr="00EF0FE6">
        <w:rPr>
          <w:lang w:val="en-US"/>
        </w:rPr>
        <w:t>cBioPortal</w:t>
      </w:r>
      <w:proofErr w:type="spellEnd"/>
      <w:r w:rsidRPr="00EF0FE6">
        <w:rPr>
          <w:lang w:val="en-US"/>
        </w:rPr>
        <w:t xml:space="preserve"> RNA-seq V2 median all-sample </w:t>
      </w:r>
      <w:r w:rsidRPr="00EF0FE6">
        <w:rPr>
          <w:i/>
          <w:lang w:val="en-US"/>
        </w:rPr>
        <w:t>z</w:t>
      </w:r>
      <w:r w:rsidRPr="00EF0FE6">
        <w:rPr>
          <w:lang w:val="en-US"/>
        </w:rPr>
        <w:t>-scores). (</w:t>
      </w:r>
      <w:r w:rsidRPr="00EF0FE6">
        <w:rPr>
          <w:b/>
          <w:lang w:val="en-US"/>
        </w:rPr>
        <w:t>D</w:t>
      </w:r>
      <w:r w:rsidRPr="00EF0FE6">
        <w:rPr>
          <w:lang w:val="en-US"/>
        </w:rPr>
        <w:t xml:space="preserve">) Kaplan–Meier overall survival by risk group (median split, 255 per group); log-rank </w:t>
      </w:r>
      <w:r w:rsidRPr="00EF0FE6">
        <w:rPr>
          <w:i/>
          <w:lang w:val="en-US"/>
        </w:rPr>
        <w:t>P</w:t>
      </w:r>
      <w:r w:rsidRPr="00EF0FE6">
        <w:rPr>
          <w:lang w:val="en-US"/>
        </w:rPr>
        <w:t xml:space="preserve"> = 3.56 × 10</w:t>
      </w:r>
      <w:r w:rsidRPr="00EF0FE6">
        <w:rPr>
          <w:rFonts w:ascii="Cambria Math" w:hAnsi="Cambria Math" w:cs="Cambria Math"/>
          <w:lang w:val="en-US"/>
        </w:rPr>
        <w:t>⁻</w:t>
      </w:r>
      <w:r w:rsidRPr="00EF0FE6">
        <w:rPr>
          <w:rFonts w:ascii="Aptos" w:hAnsi="Aptos" w:cs="Aptos"/>
          <w:lang w:val="en-US"/>
        </w:rPr>
        <w:t>¹⁰</w:t>
      </w:r>
      <w:r w:rsidRPr="00EF0FE6">
        <w:rPr>
          <w:lang w:val="en-US"/>
        </w:rPr>
        <w:t>; HR 3.27 (95% CI 2.21</w:t>
      </w:r>
      <w:r w:rsidRPr="00EF0FE6">
        <w:rPr>
          <w:rFonts w:ascii="Aptos" w:hAnsi="Aptos" w:cs="Aptos"/>
          <w:lang w:val="en-US"/>
        </w:rPr>
        <w:t>–</w:t>
      </w:r>
      <w:r w:rsidRPr="00EF0FE6">
        <w:rPr>
          <w:lang w:val="en-US"/>
        </w:rPr>
        <w:t>4.83); median overall survival 105.2 vs 51.9 months.</w:t>
      </w:r>
    </w:p>
    <w:p w14:paraId="516D5C97" w14:textId="77777777" w:rsidR="00EF0FE6" w:rsidRPr="00EF0FE6" w:rsidRDefault="00EF0FE6" w:rsidP="00EF0FE6">
      <w:pPr>
        <w:rPr>
          <w:lang w:val="en-US"/>
        </w:rPr>
      </w:pPr>
      <w:r w:rsidRPr="00EF0FE6">
        <w:rPr>
          <w:b/>
          <w:lang w:val="en-US"/>
        </w:rPr>
        <w:t>Supplementary Figure S2. Internal performance of Model A, its relation to proliferation and IDH status, and benchmarking against matched random panels.</w:t>
      </w:r>
      <w:r w:rsidRPr="00EF0FE6">
        <w:rPr>
          <w:lang w:val="en-US"/>
        </w:rPr>
        <w:t xml:space="preserve"> (</w:t>
      </w:r>
      <w:r w:rsidRPr="00EF0FE6">
        <w:rPr>
          <w:b/>
          <w:lang w:val="en-US"/>
        </w:rPr>
        <w:t>A</w:t>
      </w:r>
      <w:r w:rsidRPr="00EF0FE6">
        <w:rPr>
          <w:lang w:val="en-US"/>
        </w:rPr>
        <w:t>) Time-dependent ROC curves for Model A at 1, 3 and 5 years (AUC 0.907, 0.861 and 0.801). Later time points were not evaluated: median follow-up in the discovery cohort is 27.8 months and the number of patients still at risk beyond five years is too small to give a stable estimate. (</w:t>
      </w:r>
      <w:r w:rsidRPr="00EF0FE6">
        <w:rPr>
          <w:b/>
          <w:lang w:val="en-US"/>
        </w:rPr>
        <w:t>B</w:t>
      </w:r>
      <w:r w:rsidRPr="00EF0FE6">
        <w:rPr>
          <w:lang w:val="en-US"/>
        </w:rPr>
        <w:t>) Model A risk score against the 20-gene proliferation score in TCGA-LGG (Spearman ρ = 0.26). (</w:t>
      </w:r>
      <w:r w:rsidRPr="00EF0FE6">
        <w:rPr>
          <w:b/>
          <w:lang w:val="en-US"/>
        </w:rPr>
        <w:t>C</w:t>
      </w:r>
      <w:r w:rsidRPr="00EF0FE6">
        <w:rPr>
          <w:lang w:val="en-US"/>
        </w:rPr>
        <w:t>) Model A risk score by IDH status in the 502 annotated patients (box plots; box, interquartile range; line, median; whiskers, 1.5 × interquartile range; circles, points outside that range). (</w:t>
      </w:r>
      <w:r w:rsidRPr="00EF0FE6">
        <w:rPr>
          <w:b/>
          <w:lang w:val="en-US"/>
        </w:rPr>
        <w:t>D</w:t>
      </w:r>
      <w:r w:rsidRPr="00EF0FE6">
        <w:rPr>
          <w:lang w:val="en-US"/>
        </w:rPr>
        <w:t xml:space="preserve">) The two observed external C-indices placed against the null distributions of random panels of equal size, each </w:t>
      </w:r>
      <w:proofErr w:type="spellStart"/>
      <w:r w:rsidRPr="00EF0FE6">
        <w:rPr>
          <w:lang w:val="en-US"/>
        </w:rPr>
        <w:t>penalised</w:t>
      </w:r>
      <w:proofErr w:type="spellEnd"/>
      <w:r w:rsidRPr="00EF0FE6">
        <w:rPr>
          <w:lang w:val="en-US"/>
        </w:rPr>
        <w:t xml:space="preserve"> as the model it is compared with (3,000 draws of four genes, </w:t>
      </w:r>
      <w:proofErr w:type="spellStart"/>
      <w:r w:rsidRPr="00EF0FE6">
        <w:rPr>
          <w:lang w:val="en-US"/>
        </w:rPr>
        <w:t>unpenalised</w:t>
      </w:r>
      <w:proofErr w:type="spellEnd"/>
      <w:r w:rsidRPr="00EF0FE6">
        <w:rPr>
          <w:lang w:val="en-US"/>
        </w:rPr>
        <w:t xml:space="preserve">, matching MRG-4; 3,000 draws of 25 genes, both at λ = 1.0 matching Model A and </w:t>
      </w:r>
      <w:proofErr w:type="spellStart"/>
      <w:r w:rsidRPr="00EF0FE6">
        <w:rPr>
          <w:lang w:val="en-US"/>
        </w:rPr>
        <w:t>unpenalised</w:t>
      </w:r>
      <w:proofErr w:type="spellEnd"/>
      <w:r w:rsidRPr="00EF0FE6">
        <w:rPr>
          <w:lang w:val="en-US"/>
        </w:rPr>
        <w:t xml:space="preserve">; a Cox model fitted to each panel in TCGA-LGG and applied to CGGA-325). MRG-4 lies at the 99.3rd percentile of the four-gene null (0.68% of the 2,287 valid panels match or beat it). The 25-gene model lies below the mean of its own matched null, with 97.8% of the 348 valid panels matching or beating it; under no penalty it is </w:t>
      </w:r>
      <w:r w:rsidRPr="00EF0FE6">
        <w:rPr>
          <w:i/>
          <w:lang w:val="en-US"/>
        </w:rPr>
        <w:t>indistinguishable</w:t>
      </w:r>
      <w:r w:rsidRPr="00EF0FE6">
        <w:rPr>
          <w:lang w:val="en-US"/>
        </w:rPr>
        <w:t xml:space="preserve"> from an arbitrary panel (49.3% of 354 valid panels match or beat it), so the stronger reading depends on the matched </w:t>
      </w:r>
      <w:proofErr w:type="spellStart"/>
      <w:r w:rsidRPr="00EF0FE6">
        <w:rPr>
          <w:lang w:val="en-US"/>
        </w:rPr>
        <w:t>penalisation</w:t>
      </w:r>
      <w:proofErr w:type="spellEnd"/>
      <w:r w:rsidRPr="00EF0FE6">
        <w:rPr>
          <w:lang w:val="en-US"/>
        </w:rPr>
        <w:t>. The curves are illustrative normal approximations to the simulated null distributions and are labelled as such; the reported percentages are the empirical quantities computed from the simulations, and the draw and valid counts are given. The 713 four-gene draws that failed to fit and the 2,652 failed 25-gene draws at λ = 1.0 all failed for the same reason — the drawn panel contained at least one of the six panel genes absent from the CGGA-325 expression matrix (AZIN2, BICRA, CCN1, CCN2, JADE2, SHTN1) — and the failure is therefore independent of the model being tested; conditioning on panels that fit leaves the null distribution unchanged.</w:t>
      </w:r>
    </w:p>
    <w:p w14:paraId="6B85FC92" w14:textId="77777777" w:rsidR="00EF0FE6" w:rsidRPr="00EF0FE6" w:rsidRDefault="00EF0FE6" w:rsidP="00EF0FE6">
      <w:pPr>
        <w:rPr>
          <w:lang w:val="en-US"/>
        </w:rPr>
      </w:pPr>
      <w:r w:rsidRPr="00EF0FE6">
        <w:rPr>
          <w:b/>
          <w:lang w:val="en-US"/>
        </w:rPr>
        <w:lastRenderedPageBreak/>
        <w:t>Supplementary Figure S3. Stratified survival.</w:t>
      </w:r>
      <w:r w:rsidRPr="00EF0FE6">
        <w:rPr>
          <w:lang w:val="en-US"/>
        </w:rPr>
        <w:t xml:space="preserve"> Kaplan–Meier overall survival by median split of each model's own score within each stratum. (</w:t>
      </w:r>
      <w:r w:rsidRPr="00EF0FE6">
        <w:rPr>
          <w:b/>
          <w:lang w:val="en-US"/>
        </w:rPr>
        <w:t>A</w:t>
      </w:r>
      <w:r w:rsidRPr="00EF0FE6">
        <w:rPr>
          <w:lang w:val="en-US"/>
        </w:rPr>
        <w:t xml:space="preserve">) TCGA-LGG, IDH-mutant </w:t>
      </w:r>
      <w:proofErr w:type="spellStart"/>
      <w:r w:rsidRPr="00EF0FE6">
        <w:rPr>
          <w:lang w:val="en-US"/>
        </w:rPr>
        <w:t>tumours</w:t>
      </w:r>
      <w:proofErr w:type="spellEnd"/>
      <w:r w:rsidRPr="00EF0FE6">
        <w:rPr>
          <w:lang w:val="en-US"/>
        </w:rPr>
        <w:t xml:space="preserve"> (n = 410). (</w:t>
      </w:r>
      <w:r w:rsidRPr="00EF0FE6">
        <w:rPr>
          <w:b/>
          <w:lang w:val="en-US"/>
        </w:rPr>
        <w:t>B</w:t>
      </w:r>
      <w:r w:rsidRPr="00EF0FE6">
        <w:rPr>
          <w:lang w:val="en-US"/>
        </w:rPr>
        <w:t xml:space="preserve">) TCGA-LGG, WHO grade 3 </w:t>
      </w:r>
      <w:proofErr w:type="spellStart"/>
      <w:r w:rsidRPr="00EF0FE6">
        <w:rPr>
          <w:lang w:val="en-US"/>
        </w:rPr>
        <w:t>tumours</w:t>
      </w:r>
      <w:proofErr w:type="spellEnd"/>
      <w:r w:rsidRPr="00EF0FE6">
        <w:rPr>
          <w:lang w:val="en-US"/>
        </w:rPr>
        <w:t xml:space="preserve"> (n = 261). (</w:t>
      </w:r>
      <w:r w:rsidRPr="00EF0FE6">
        <w:rPr>
          <w:b/>
          <w:lang w:val="en-US"/>
        </w:rPr>
        <w:t>C</w:t>
      </w:r>
      <w:r w:rsidRPr="00EF0FE6">
        <w:rPr>
          <w:lang w:val="en-US"/>
        </w:rPr>
        <w:t xml:space="preserve">) CGGA-325 WHO grade II–III under the frozen MRG-4 coefficients, cohort-internal </w:t>
      </w:r>
      <w:proofErr w:type="spellStart"/>
      <w:r w:rsidRPr="00EF0FE6">
        <w:rPr>
          <w:lang w:val="en-US"/>
        </w:rPr>
        <w:t>standardisation</w:t>
      </w:r>
      <w:proofErr w:type="spellEnd"/>
      <w:r w:rsidRPr="00EF0FE6">
        <w:rPr>
          <w:lang w:val="en-US"/>
        </w:rPr>
        <w:t xml:space="preserve"> and the cohort-internal median threshold (n = 172). The 20 stratum tests </w:t>
      </w:r>
      <w:proofErr w:type="spellStart"/>
      <w:r w:rsidRPr="00EF0FE6">
        <w:rPr>
          <w:lang w:val="en-US"/>
        </w:rPr>
        <w:t>summarised</w:t>
      </w:r>
      <w:proofErr w:type="spellEnd"/>
      <w:r w:rsidRPr="00EF0FE6">
        <w:rPr>
          <w:lang w:val="en-US"/>
        </w:rPr>
        <w:t xml:space="preserve"> in the text are uncorrected for multiplicity, and the validation cells are small; the pattern is descriptive.</w:t>
      </w:r>
    </w:p>
    <w:p w14:paraId="0E376693" w14:textId="77777777" w:rsidR="00EF0FE6" w:rsidRPr="00EF0FE6" w:rsidRDefault="00EF0FE6" w:rsidP="00EF0FE6">
      <w:pPr>
        <w:rPr>
          <w:lang w:val="en-US"/>
        </w:rPr>
      </w:pPr>
      <w:r w:rsidRPr="00EF0FE6">
        <w:rPr>
          <w:b/>
          <w:lang w:val="en-US"/>
        </w:rPr>
        <w:t xml:space="preserve">Supplementary Figure S4. Single-cell </w:t>
      </w:r>
      <w:proofErr w:type="spellStart"/>
      <w:r w:rsidRPr="00EF0FE6">
        <w:rPr>
          <w:b/>
          <w:lang w:val="en-US"/>
        </w:rPr>
        <w:t>localisation</w:t>
      </w:r>
      <w:proofErr w:type="spellEnd"/>
      <w:r w:rsidRPr="00EF0FE6">
        <w:rPr>
          <w:b/>
          <w:lang w:val="en-US"/>
        </w:rPr>
        <w:t xml:space="preserve"> of the four MRG-4 genes in human glioblastoma.</w:t>
      </w:r>
      <w:r w:rsidRPr="00EF0FE6">
        <w:rPr>
          <w:lang w:val="en-US"/>
        </w:rPr>
        <w:t xml:space="preserve"> (</w:t>
      </w:r>
      <w:r w:rsidRPr="00EF0FE6">
        <w:rPr>
          <w:b/>
          <w:lang w:val="en-US"/>
        </w:rPr>
        <w:t>A</w:t>
      </w:r>
      <w:r w:rsidRPr="00EF0FE6">
        <w:rPr>
          <w:lang w:val="en-US"/>
        </w:rPr>
        <w:t>) Dot plot of mean raw UMI counts (</w:t>
      </w:r>
      <w:proofErr w:type="spellStart"/>
      <w:r w:rsidRPr="00EF0FE6">
        <w:rPr>
          <w:lang w:val="en-US"/>
        </w:rPr>
        <w:t>colour</w:t>
      </w:r>
      <w:proofErr w:type="spellEnd"/>
      <w:r w:rsidRPr="00EF0FE6">
        <w:rPr>
          <w:lang w:val="en-US"/>
        </w:rPr>
        <w:t xml:space="preserve">) and fraction of expressing cells (dot size) across 15 annotated cell types in dataset SL040 (135,482 cells; CZ </w:t>
      </w:r>
      <w:proofErr w:type="spellStart"/>
      <w:r w:rsidRPr="00EF0FE6">
        <w:rPr>
          <w:lang w:val="en-US"/>
        </w:rPr>
        <w:t>CELLxGENE</w:t>
      </w:r>
      <w:proofErr w:type="spellEnd"/>
      <w:r w:rsidRPr="00EF0FE6">
        <w:rPr>
          <w:lang w:val="en-US"/>
        </w:rPr>
        <w:t xml:space="preserve"> Discover). (</w:t>
      </w:r>
      <w:r w:rsidRPr="00EF0FE6">
        <w:rPr>
          <w:b/>
          <w:lang w:val="en-US"/>
        </w:rPr>
        <w:t>B</w:t>
      </w:r>
      <w:r w:rsidRPr="00EF0FE6">
        <w:rPr>
          <w:lang w:val="en-US"/>
        </w:rPr>
        <w:t xml:space="preserve">) The same for the 48,281 malignant cells, split by </w:t>
      </w:r>
      <w:proofErr w:type="spellStart"/>
      <w:r w:rsidRPr="00EF0FE6">
        <w:rPr>
          <w:lang w:val="en-US"/>
        </w:rPr>
        <w:t>Neftel</w:t>
      </w:r>
      <w:proofErr w:type="spellEnd"/>
      <w:r w:rsidRPr="00EF0FE6">
        <w:rPr>
          <w:lang w:val="en-US"/>
        </w:rPr>
        <w:t xml:space="preserve"> state. MKI67 is shown as a proliferation reference. Annotation was validated by compartment markers: CD68 (macrophages), PECAM1 (endothelium), MOG (oligodendrocytes), GFAP (astrocytes and malignant cells). By transcript share, 74–80% of the transcripts of PDGFA, BMP1 and KIF15 are recovered from malignant cells (35.6% of cells). By per-cell mean expression, however, PDGFA is marginally higher in vascular smooth-muscle cells (3.49 vs 3.48) and BMP1 higher in pericytes (1.03) and fibroblasts (0.91) than in malignant cells (0.53). Only KIF15 is consequently </w:t>
      </w:r>
      <w:proofErr w:type="spellStart"/>
      <w:r w:rsidRPr="00EF0FE6">
        <w:rPr>
          <w:lang w:val="en-US"/>
        </w:rPr>
        <w:t>tumour</w:t>
      </w:r>
      <w:proofErr w:type="spellEnd"/>
      <w:r w:rsidRPr="00EF0FE6">
        <w:rPr>
          <w:lang w:val="en-US"/>
        </w:rPr>
        <w:t>-restricted on both metrics. TRAF3 is broadly expressed and lowest in malignant cells; KIF15 tracks the NPC-like state and MKI67. Both metrics are tabulated in Supplementary Table S10. The dataset is glioblastoma (grade IV); no grade II–III diffuse glioma single-cell dataset is available in the census.</w:t>
      </w:r>
    </w:p>
    <w:p w14:paraId="7E66E0DA" w14:textId="77777777" w:rsidR="00EF0FE6" w:rsidRPr="00EF0FE6" w:rsidRDefault="00EF0FE6" w:rsidP="00EF0FE6">
      <w:pPr>
        <w:rPr>
          <w:lang w:val="en-US"/>
        </w:rPr>
      </w:pPr>
      <w:r w:rsidRPr="00EF0FE6">
        <w:rPr>
          <w:b/>
          <w:lang w:val="en-US"/>
        </w:rPr>
        <w:t xml:space="preserve">Supplementary Figure S5. Molecular correlates of the Model A risk </w:t>
      </w:r>
      <w:proofErr w:type="gramStart"/>
      <w:r w:rsidRPr="00EF0FE6">
        <w:rPr>
          <w:b/>
          <w:lang w:val="en-US"/>
        </w:rPr>
        <w:t>groups</w:t>
      </w:r>
      <w:proofErr w:type="gramEnd"/>
      <w:r w:rsidRPr="00EF0FE6">
        <w:rPr>
          <w:b/>
          <w:lang w:val="en-US"/>
        </w:rPr>
        <w:t>.</w:t>
      </w:r>
      <w:r w:rsidRPr="00EF0FE6">
        <w:rPr>
          <w:lang w:val="en-US"/>
        </w:rPr>
        <w:t xml:space="preserve"> (</w:t>
      </w:r>
      <w:r w:rsidRPr="00EF0FE6">
        <w:rPr>
          <w:b/>
          <w:lang w:val="en-US"/>
        </w:rPr>
        <w:t>A</w:t>
      </w:r>
      <w:r w:rsidRPr="00EF0FE6">
        <w:rPr>
          <w:lang w:val="en-US"/>
        </w:rPr>
        <w:t xml:space="preserve">) Principal component analysis of the two </w:t>
      </w:r>
      <w:r w:rsidRPr="00EF0FE6">
        <w:rPr>
          <w:i/>
          <w:lang w:val="en-US"/>
        </w:rPr>
        <w:t>k</w:t>
      </w:r>
      <w:r w:rsidRPr="00EF0FE6">
        <w:rPr>
          <w:lang w:val="en-US"/>
        </w:rPr>
        <w:t xml:space="preserve">-means subtypes derived from the 25 Model A genes (these are Model A gene-based subtypes, not an MRG-4 partition; k = 2; silhouette 0.276; C1 n = 397 with 67 deaths, C2 n = 113 with 58 deaths; between-subtype log-rank </w:t>
      </w:r>
      <w:r w:rsidRPr="00EF0FE6">
        <w:rPr>
          <w:i/>
          <w:lang w:val="en-US"/>
        </w:rPr>
        <w:t>P</w:t>
      </w:r>
      <w:r w:rsidRPr="00EF0FE6">
        <w:rPr>
          <w:lang w:val="en-US"/>
        </w:rPr>
        <w:t xml:space="preserve"> = 1.39 × 10</w:t>
      </w:r>
      <w:r w:rsidRPr="00EF0FE6">
        <w:rPr>
          <w:rFonts w:ascii="Cambria Math" w:hAnsi="Cambria Math" w:cs="Cambria Math"/>
          <w:lang w:val="en-US"/>
        </w:rPr>
        <w:t>⁻</w:t>
      </w:r>
      <w:r w:rsidRPr="00EF0FE6">
        <w:rPr>
          <w:rFonts w:ascii="Aptos" w:hAnsi="Aptos" w:cs="Aptos"/>
          <w:lang w:val="en-US"/>
        </w:rPr>
        <w:t>²⁶</w:t>
      </w:r>
      <w:r w:rsidRPr="00EF0FE6">
        <w:rPr>
          <w:lang w:val="en-US"/>
        </w:rPr>
        <w:t>). (</w:t>
      </w:r>
      <w:r w:rsidRPr="00EF0FE6">
        <w:rPr>
          <w:b/>
          <w:lang w:val="en-US"/>
        </w:rPr>
        <w:t>B</w:t>
      </w:r>
      <w:r w:rsidRPr="00EF0FE6">
        <w:rPr>
          <w:lang w:val="en-US"/>
        </w:rPr>
        <w:t xml:space="preserve">) Immune feature scores (mean </w:t>
      </w:r>
      <w:r w:rsidRPr="00EF0FE6">
        <w:rPr>
          <w:i/>
          <w:lang w:val="en-US"/>
        </w:rPr>
        <w:t>z</w:t>
      </w:r>
      <w:r w:rsidRPr="00EF0FE6">
        <w:rPr>
          <w:lang w:val="en-US"/>
        </w:rPr>
        <w:t xml:space="preserve">-score, </w:t>
      </w:r>
      <w:proofErr w:type="spellStart"/>
      <w:r w:rsidRPr="00EF0FE6">
        <w:rPr>
          <w:lang w:val="en-US"/>
        </w:rPr>
        <w:t>ssGSEA</w:t>
      </w:r>
      <w:proofErr w:type="spellEnd"/>
      <w:r w:rsidRPr="00EF0FE6">
        <w:rPr>
          <w:lang w:val="en-US"/>
        </w:rPr>
        <w:t xml:space="preserve">-lite) between the high- and low-risk groups of the 25-gene Model A median split. All 11 features are higher in the high-risk group; see Supplementary Table S26c for effect sizes and </w:t>
      </w:r>
      <w:r w:rsidRPr="00EF0FE6">
        <w:rPr>
          <w:i/>
          <w:lang w:val="en-US"/>
        </w:rPr>
        <w:t>P</w:t>
      </w:r>
      <w:r w:rsidRPr="00EF0FE6">
        <w:rPr>
          <w:lang w:val="en-US"/>
        </w:rPr>
        <w:t xml:space="preserve"> values. The uniform direction is consistent with a purity or global-expression artefact. (</w:t>
      </w:r>
      <w:r w:rsidRPr="00EF0FE6">
        <w:rPr>
          <w:b/>
          <w:lang w:val="en-US"/>
        </w:rPr>
        <w:t>C</w:t>
      </w:r>
      <w:r w:rsidRPr="00EF0FE6">
        <w:rPr>
          <w:lang w:val="en-US"/>
        </w:rPr>
        <w:t xml:space="preserve">) Somatic mutation frequencies of ten recurrent glioma genes by risk group, using the median split of the 25-gene Model A score, which is not the same partition as MRG-4's although both give 255/255 in this cohort (n = 255 per group, all 510 patients evaluable). The same ten tests under MRG-4's own split are deposited as Supplementary Table S9b. IDH1, CIC and ATRX are enriched in low-risk </w:t>
      </w:r>
      <w:proofErr w:type="spellStart"/>
      <w:r w:rsidRPr="00EF0FE6">
        <w:rPr>
          <w:lang w:val="en-US"/>
        </w:rPr>
        <w:t>tumours</w:t>
      </w:r>
      <w:proofErr w:type="spellEnd"/>
      <w:r w:rsidRPr="00EF0FE6">
        <w:rPr>
          <w:lang w:val="en-US"/>
        </w:rPr>
        <w:t xml:space="preserve">; EGFR, PTEN and NF1 are enriched in high-risk </w:t>
      </w:r>
      <w:proofErr w:type="spellStart"/>
      <w:r w:rsidRPr="00EF0FE6">
        <w:rPr>
          <w:lang w:val="en-US"/>
        </w:rPr>
        <w:t>tumours</w:t>
      </w:r>
      <w:proofErr w:type="spellEnd"/>
      <w:r w:rsidRPr="00EF0FE6">
        <w:rPr>
          <w:lang w:val="en-US"/>
        </w:rPr>
        <w:t xml:space="preserve">; NOTCH1 is enriched in low-risk </w:t>
      </w:r>
      <w:proofErr w:type="spellStart"/>
      <w:r w:rsidRPr="00EF0FE6">
        <w:rPr>
          <w:lang w:val="en-US"/>
        </w:rPr>
        <w:t>tumours</w:t>
      </w:r>
      <w:proofErr w:type="spellEnd"/>
      <w:r w:rsidRPr="00EF0FE6">
        <w:rPr>
          <w:lang w:val="en-US"/>
        </w:rPr>
        <w:t>.</w:t>
      </w:r>
    </w:p>
    <w:p w14:paraId="1F5F3132" w14:textId="77777777" w:rsidR="00EF0FE6" w:rsidRDefault="00EF0FE6" w:rsidP="00EF0FE6">
      <w:pPr>
        <w:rPr>
          <w:lang w:val="en-US"/>
        </w:rPr>
      </w:pPr>
    </w:p>
    <w:p w14:paraId="4A207957" w14:textId="77777777" w:rsidR="00B36BC3" w:rsidRPr="00EF0FE6" w:rsidRDefault="00B36BC3" w:rsidP="00EF0FE6">
      <w:pPr>
        <w:rPr>
          <w:lang w:val="en-US"/>
        </w:rPr>
      </w:pPr>
    </w:p>
    <w:p w14:paraId="21EF0B3B" w14:textId="77777777" w:rsidR="00EF0FE6" w:rsidRPr="00EF0FE6" w:rsidRDefault="00EF0FE6" w:rsidP="00EF0FE6">
      <w:pPr>
        <w:rPr>
          <w:b/>
          <w:bCs/>
          <w:lang w:val="en-US"/>
        </w:rPr>
      </w:pPr>
      <w:r w:rsidRPr="00EF0FE6">
        <w:rPr>
          <w:bCs/>
          <w:lang w:val="en-US"/>
        </w:rPr>
        <w:lastRenderedPageBreak/>
        <w:t>Supplementary information</w:t>
      </w:r>
    </w:p>
    <w:p w14:paraId="6A8E9585" w14:textId="77777777" w:rsidR="00EF0FE6" w:rsidRPr="00EF0FE6" w:rsidRDefault="00EF0FE6" w:rsidP="00EF0FE6">
      <w:pPr>
        <w:rPr>
          <w:b/>
          <w:bCs/>
          <w:lang w:val="en-US"/>
        </w:rPr>
      </w:pPr>
      <w:r w:rsidRPr="00EF0FE6">
        <w:rPr>
          <w:bCs/>
          <w:lang w:val="en-US"/>
        </w:rPr>
        <w:t>Supplementary tables</w:t>
      </w:r>
    </w:p>
    <w:p w14:paraId="7B0B0D45" w14:textId="77777777" w:rsidR="00EF0FE6" w:rsidRPr="00EF0FE6" w:rsidRDefault="00EF0FE6" w:rsidP="00EF0FE6">
      <w:pPr>
        <w:rPr>
          <w:lang w:val="en-US"/>
        </w:rPr>
      </w:pPr>
      <w:r w:rsidRPr="00EF0FE6">
        <w:rPr>
          <w:b/>
          <w:lang w:val="en-US"/>
        </w:rPr>
        <w:t>Supplementary Table S1.</w:t>
      </w:r>
      <w:r w:rsidRPr="00EF0FE6">
        <w:rPr>
          <w:lang w:val="en-US"/>
        </w:rPr>
        <w:t xml:space="preserve"> The 101-gene </w:t>
      </w:r>
      <w:proofErr w:type="spellStart"/>
      <w:r w:rsidRPr="00EF0FE6">
        <w:rPr>
          <w:lang w:val="en-US"/>
        </w:rPr>
        <w:t>mitoxyperilysis</w:t>
      </w:r>
      <w:proofErr w:type="spellEnd"/>
      <w:r w:rsidRPr="00EF0FE6">
        <w:rPr>
          <w:lang w:val="en-US"/>
        </w:rPr>
        <w:t xml:space="preserve">-related panel: mouse symbols, human orthologues, direction of change in the discovery experiment, log2 fold changes for each contrast, LGG univariate Cox hazard ratios and </w:t>
      </w:r>
      <w:r w:rsidRPr="00EF0FE6">
        <w:rPr>
          <w:i/>
          <w:lang w:val="en-US"/>
        </w:rPr>
        <w:t>P</w:t>
      </w:r>
      <w:r w:rsidRPr="00EF0FE6">
        <w:rPr>
          <w:lang w:val="en-US"/>
        </w:rPr>
        <w:t xml:space="preserve"> values, the Benjamini–Hochberg q value across the 89 evaluable genes, and the multivariate coefficient where the gene entered Model A.</w:t>
      </w:r>
    </w:p>
    <w:p w14:paraId="7208F6DE" w14:textId="77777777" w:rsidR="00EF0FE6" w:rsidRPr="00EF0FE6" w:rsidRDefault="00EF0FE6" w:rsidP="00EF0FE6">
      <w:pPr>
        <w:rPr>
          <w:lang w:val="en-US"/>
        </w:rPr>
      </w:pPr>
      <w:r w:rsidRPr="00EF0FE6">
        <w:rPr>
          <w:b/>
          <w:lang w:val="en-US"/>
        </w:rPr>
        <w:t>Supplementary Table S2.</w:t>
      </w:r>
      <w:r w:rsidRPr="00EF0FE6">
        <w:rPr>
          <w:lang w:val="en-US"/>
        </w:rPr>
        <w:t xml:space="preserve"> Per-patient TCGA-LGG discovery dataset: risk score, risk group, survival time and status, age, sex, IDH status/subtype and WHO grade (n = 510).</w:t>
      </w:r>
    </w:p>
    <w:p w14:paraId="5CF38494" w14:textId="77777777" w:rsidR="00EF0FE6" w:rsidRPr="00EF0FE6" w:rsidRDefault="00EF0FE6" w:rsidP="00EF0FE6">
      <w:pPr>
        <w:rPr>
          <w:lang w:val="en-US"/>
        </w:rPr>
      </w:pPr>
      <w:r w:rsidRPr="00EF0FE6">
        <w:rPr>
          <w:b/>
          <w:lang w:val="en-US"/>
        </w:rPr>
        <w:t>Supplementary Table S3.</w:t>
      </w:r>
      <w:r w:rsidRPr="00EF0FE6">
        <w:rPr>
          <w:lang w:val="en-US"/>
        </w:rPr>
        <w:t xml:space="preserve"> Per-patient CGGA-325 validation dataset: Model A score </w:t>
      </w:r>
      <w:proofErr w:type="spellStart"/>
      <w:r w:rsidRPr="00EF0FE6">
        <w:rPr>
          <w:lang w:val="en-US"/>
        </w:rPr>
        <w:t>standardised</w:t>
      </w:r>
      <w:proofErr w:type="spellEnd"/>
      <w:r w:rsidRPr="00EF0FE6">
        <w:rPr>
          <w:lang w:val="en-US"/>
        </w:rPr>
        <w:t xml:space="preserve"> within CGGA-325, survival time and status, age, sex, IDH status and grade (n = 313). The score column holds the cohort-</w:t>
      </w:r>
      <w:proofErr w:type="spellStart"/>
      <w:r w:rsidRPr="00EF0FE6">
        <w:rPr>
          <w:lang w:val="en-US"/>
        </w:rPr>
        <w:t>standardised</w:t>
      </w:r>
      <w:proofErr w:type="spellEnd"/>
      <w:r w:rsidRPr="00EF0FE6">
        <w:rPr>
          <w:lang w:val="en-US"/>
        </w:rPr>
        <w:t xml:space="preserve"> score rather than the frozen scaling, which Section 2.7 does not claim, and it is named for what it contains.</w:t>
      </w:r>
    </w:p>
    <w:p w14:paraId="05320B32" w14:textId="77777777" w:rsidR="00EF0FE6" w:rsidRPr="00EF0FE6" w:rsidRDefault="00EF0FE6" w:rsidP="00EF0FE6">
      <w:pPr>
        <w:rPr>
          <w:lang w:val="en-US"/>
        </w:rPr>
      </w:pPr>
      <w:r w:rsidRPr="00EF0FE6">
        <w:rPr>
          <w:b/>
          <w:lang w:val="en-US"/>
        </w:rPr>
        <w:t>Supplementary Table S4.</w:t>
      </w:r>
      <w:r w:rsidRPr="00EF0FE6">
        <w:rPr>
          <w:lang w:val="en-US"/>
        </w:rPr>
        <w:t xml:space="preserve"> Per-patient MRG-4 scores in TCGA-LGG, with the full-panel score for comparison (n = 510).</w:t>
      </w:r>
    </w:p>
    <w:p w14:paraId="6BE42014" w14:textId="77777777" w:rsidR="00EF0FE6" w:rsidRPr="00EF0FE6" w:rsidRDefault="00EF0FE6" w:rsidP="00EF0FE6">
      <w:pPr>
        <w:rPr>
          <w:lang w:val="en-US"/>
        </w:rPr>
      </w:pPr>
      <w:r w:rsidRPr="00EF0FE6">
        <w:rPr>
          <w:b/>
          <w:lang w:val="en-US"/>
        </w:rPr>
        <w:t>Supplementary Table S5.</w:t>
      </w:r>
      <w:r w:rsidRPr="00EF0FE6">
        <w:rPr>
          <w:lang w:val="en-US"/>
        </w:rPr>
        <w:t xml:space="preserve"> Per-patient MRG-4 scores in CGGA-325, all 325 samples, with the cohort-</w:t>
      </w:r>
      <w:proofErr w:type="spellStart"/>
      <w:r w:rsidRPr="00EF0FE6">
        <w:rPr>
          <w:lang w:val="en-US"/>
        </w:rPr>
        <w:t>standardised</w:t>
      </w:r>
      <w:proofErr w:type="spellEnd"/>
      <w:r w:rsidRPr="00EF0FE6">
        <w:rPr>
          <w:lang w:val="en-US"/>
        </w:rPr>
        <w:t xml:space="preserve"> and discovery-cohort-SD-scaled linear predictors, the per-SD value, the risk group, and flags for WHO grade II–III and for inclusion in the primary validation set (n = 172 included). Columns are named for what they contain. The risk-group column is cut at the median of the cohort-</w:t>
      </w:r>
      <w:proofErr w:type="spellStart"/>
      <w:r w:rsidRPr="00EF0FE6">
        <w:rPr>
          <w:lang w:val="en-US"/>
        </w:rPr>
        <w:t>standardised</w:t>
      </w:r>
      <w:proofErr w:type="spellEnd"/>
      <w:r w:rsidRPr="00EF0FE6">
        <w:rPr>
          <w:lang w:val="en-US"/>
        </w:rPr>
        <w:t xml:space="preserve"> score </w:t>
      </w:r>
      <w:r w:rsidRPr="00EF0FE6">
        <w:rPr>
          <w:b/>
          <w:lang w:val="en-US"/>
        </w:rPr>
        <w:t>within the 172 included patients</w:t>
      </w:r>
      <w:r w:rsidRPr="00EF0FE6">
        <w:rPr>
          <w:lang w:val="en-US"/>
        </w:rPr>
        <w:t xml:space="preserve"> (−0.5713), giving 86 high and 86 low and reproducing the log-rank </w:t>
      </w:r>
      <w:r w:rsidRPr="00EF0FE6">
        <w:rPr>
          <w:i/>
          <w:lang w:val="en-US"/>
        </w:rPr>
        <w:t>P</w:t>
      </w:r>
      <w:r w:rsidRPr="00EF0FE6">
        <w:rPr>
          <w:lang w:val="en-US"/>
        </w:rPr>
        <w:t xml:space="preserve"> = 6.61 × 10</w:t>
      </w:r>
      <w:r w:rsidRPr="00EF0FE6">
        <w:rPr>
          <w:rFonts w:ascii="Cambria Math" w:hAnsi="Cambria Math" w:cs="Cambria Math"/>
          <w:lang w:val="en-US"/>
        </w:rPr>
        <w:t>⁻</w:t>
      </w:r>
      <w:r w:rsidRPr="00EF0FE6">
        <w:rPr>
          <w:rFonts w:ascii="Aptos" w:hAnsi="Aptos" w:cs="Aptos"/>
          <w:lang w:val="en-US"/>
        </w:rPr>
        <w:t>¹¹</w:t>
      </w:r>
      <w:r w:rsidRPr="00EF0FE6">
        <w:rPr>
          <w:lang w:val="en-US"/>
        </w:rPr>
        <w:t xml:space="preserve"> of Figure 2A; a cut near zero splits those patients 33/139 and does not reproduce the figure. The cut-point used is recorded in the column MRG4_cutpoint_cohort_z_within_172. Patients outside the primary validation set have no risk-group label, because the split is defined on those 172.</w:t>
      </w:r>
    </w:p>
    <w:p w14:paraId="29AF91D5" w14:textId="77777777" w:rsidR="00EF0FE6" w:rsidRPr="00EF0FE6" w:rsidRDefault="00EF0FE6" w:rsidP="00EF0FE6">
      <w:pPr>
        <w:rPr>
          <w:lang w:val="en-US"/>
        </w:rPr>
      </w:pPr>
      <w:r w:rsidRPr="00EF0FE6">
        <w:rPr>
          <w:b/>
          <w:lang w:val="en-US"/>
        </w:rPr>
        <w:t>Supplementary Table S6.</w:t>
      </w:r>
      <w:r w:rsidRPr="00EF0FE6">
        <w:rPr>
          <w:lang w:val="en-US"/>
        </w:rPr>
        <w:t xml:space="preserve"> Stability-selection frequencies at α = 0.02432, reported for both the original run and an independent replication with a different seed. The two columns are named for their candidate sets because those sets differ: the original run entered the LASSO path with </w:t>
      </w:r>
      <w:r w:rsidRPr="00EF0FE6">
        <w:rPr>
          <w:b/>
          <w:lang w:val="en-US"/>
        </w:rPr>
        <w:t>88 candidates</w:t>
      </w:r>
      <w:r w:rsidRPr="00EF0FE6">
        <w:rPr>
          <w:lang w:val="en-US"/>
        </w:rPr>
        <w:t xml:space="preserve"> (SAMD8 received no non-zero coefficient at any α and hence has no frequency), whereas the replication run used all </w:t>
      </w:r>
      <w:r w:rsidRPr="00EF0FE6">
        <w:rPr>
          <w:b/>
          <w:lang w:val="en-US"/>
        </w:rPr>
        <w:t>89</w:t>
      </w:r>
      <w:r w:rsidRPr="00EF0FE6">
        <w:rPr>
          <w:lang w:val="en-US"/>
        </w:rPr>
        <w:t xml:space="preserve">. SAMD8's cell is blank in the original </w:t>
      </w:r>
      <w:proofErr w:type="gramStart"/>
      <w:r w:rsidRPr="00EF0FE6">
        <w:rPr>
          <w:lang w:val="en-US"/>
        </w:rPr>
        <w:t>column</w:t>
      </w:r>
      <w:proofErr w:type="gramEnd"/>
      <w:r w:rsidRPr="00EF0FE6">
        <w:rPr>
          <w:lang w:val="en-US"/>
        </w:rPr>
        <w:t xml:space="preserve"> and its entry is explained in a note column. Since the candidate sets differ, the replication is a check that the same core is recovered, not a pure seed-dependence test (Section 2.12).</w:t>
      </w:r>
    </w:p>
    <w:p w14:paraId="4F7A67E1" w14:textId="77777777" w:rsidR="00EF0FE6" w:rsidRPr="00EF0FE6" w:rsidRDefault="00EF0FE6" w:rsidP="00EF0FE6">
      <w:pPr>
        <w:rPr>
          <w:lang w:val="en-US"/>
        </w:rPr>
      </w:pPr>
      <w:r w:rsidRPr="00EF0FE6">
        <w:rPr>
          <w:b/>
          <w:lang w:val="en-US"/>
        </w:rPr>
        <w:t>Supplementary Table S7.</w:t>
      </w:r>
      <w:r w:rsidRPr="00EF0FE6">
        <w:rPr>
          <w:lang w:val="en-US"/>
        </w:rPr>
        <w:t xml:space="preserve"> The full LASSO cross-validation curve.</w:t>
      </w:r>
    </w:p>
    <w:p w14:paraId="25EFF1DD" w14:textId="77777777" w:rsidR="00EF0FE6" w:rsidRPr="00EF0FE6" w:rsidRDefault="00EF0FE6" w:rsidP="00EF0FE6">
      <w:pPr>
        <w:rPr>
          <w:lang w:val="en-US"/>
        </w:rPr>
      </w:pPr>
      <w:r w:rsidRPr="00EF0FE6">
        <w:rPr>
          <w:b/>
          <w:lang w:val="en-US"/>
        </w:rPr>
        <w:t>Supplementary Table S8.</w:t>
      </w:r>
      <w:r w:rsidRPr="00EF0FE6">
        <w:rPr>
          <w:lang w:val="en-US"/>
        </w:rPr>
        <w:t xml:space="preserve"> Per-patient mutation calls for the ten recurrent glioma genes.</w:t>
      </w:r>
    </w:p>
    <w:p w14:paraId="011E7DEF" w14:textId="77777777" w:rsidR="00EF0FE6" w:rsidRPr="00EF0FE6" w:rsidRDefault="00EF0FE6" w:rsidP="00EF0FE6">
      <w:pPr>
        <w:rPr>
          <w:lang w:val="en-US"/>
        </w:rPr>
      </w:pPr>
      <w:r w:rsidRPr="00EF0FE6">
        <w:rPr>
          <w:b/>
          <w:lang w:val="en-US"/>
        </w:rPr>
        <w:lastRenderedPageBreak/>
        <w:t>Supplementary Table S9.</w:t>
      </w:r>
      <w:r w:rsidRPr="00EF0FE6">
        <w:rPr>
          <w:lang w:val="en-US"/>
        </w:rPr>
        <w:t xml:space="preserve"> Risk-group mutation summary with Fisher exact </w:t>
      </w:r>
      <w:r w:rsidRPr="00EF0FE6">
        <w:rPr>
          <w:i/>
          <w:lang w:val="en-US"/>
        </w:rPr>
        <w:t>P</w:t>
      </w:r>
      <w:r w:rsidRPr="00EF0FE6">
        <w:rPr>
          <w:lang w:val="en-US"/>
        </w:rPr>
        <w:t xml:space="preserve"> values, computed on the median split of the </w:t>
      </w:r>
      <w:r w:rsidRPr="00EF0FE6">
        <w:rPr>
          <w:b/>
          <w:lang w:val="en-US"/>
        </w:rPr>
        <w:t>25-gene Model A</w:t>
      </w:r>
      <w:r w:rsidRPr="00EF0FE6">
        <w:rPr>
          <w:lang w:val="en-US"/>
        </w:rPr>
        <w:t xml:space="preserve"> score.</w:t>
      </w:r>
    </w:p>
    <w:p w14:paraId="09D1FAB7" w14:textId="77777777" w:rsidR="00EF0FE6" w:rsidRPr="00EF0FE6" w:rsidRDefault="00EF0FE6" w:rsidP="00EF0FE6">
      <w:pPr>
        <w:rPr>
          <w:lang w:val="en-US"/>
        </w:rPr>
      </w:pPr>
      <w:r w:rsidRPr="00EF0FE6">
        <w:rPr>
          <w:b/>
          <w:lang w:val="en-US"/>
        </w:rPr>
        <w:t>Supplementary Table S9b.</w:t>
      </w:r>
      <w:r w:rsidRPr="00EF0FE6">
        <w:rPr>
          <w:lang w:val="en-US"/>
        </w:rPr>
        <w:t xml:space="preserve"> The same ten Fisher exact tests recomputed under </w:t>
      </w:r>
      <w:r w:rsidRPr="00EF0FE6">
        <w:rPr>
          <w:b/>
          <w:lang w:val="en-US"/>
        </w:rPr>
        <w:t>MRG-4</w:t>
      </w:r>
      <w:r w:rsidRPr="00EF0FE6">
        <w:rPr>
          <w:lang w:val="en-US"/>
        </w:rPr>
        <w:t>'s own median split (255/255 in the same 510 patients), so that the mutation contrast can be attributed to the model the paper is about. Established in response to review: the two splits are not the same partition, and the contrast is present but weaker under MRG-4.</w:t>
      </w:r>
    </w:p>
    <w:p w14:paraId="578BFD7F" w14:textId="77777777" w:rsidR="00EF0FE6" w:rsidRPr="00EF0FE6" w:rsidRDefault="00EF0FE6" w:rsidP="00EF0FE6">
      <w:pPr>
        <w:rPr>
          <w:lang w:val="en-US"/>
        </w:rPr>
      </w:pPr>
      <w:r w:rsidRPr="00EF0FE6">
        <w:rPr>
          <w:b/>
          <w:lang w:val="en-US"/>
        </w:rPr>
        <w:t>Supplementary Table S10.</w:t>
      </w:r>
      <w:r w:rsidRPr="00EF0FE6">
        <w:rPr>
          <w:lang w:val="en-US"/>
        </w:rPr>
        <w:t xml:space="preserve"> </w:t>
      </w:r>
      <w:proofErr w:type="gramStart"/>
      <w:r w:rsidRPr="00EF0FE6">
        <w:rPr>
          <w:lang w:val="en-US"/>
        </w:rPr>
        <w:t>Single-cell</w:t>
      </w:r>
      <w:proofErr w:type="gramEnd"/>
      <w:r w:rsidRPr="00EF0FE6">
        <w:rPr>
          <w:lang w:val="en-US"/>
        </w:rPr>
        <w:t xml:space="preserve"> </w:t>
      </w:r>
      <w:proofErr w:type="gramStart"/>
      <w:r w:rsidRPr="00EF0FE6">
        <w:rPr>
          <w:lang w:val="en-US"/>
        </w:rPr>
        <w:t>mean</w:t>
      </w:r>
      <w:proofErr w:type="gramEnd"/>
      <w:r w:rsidRPr="00EF0FE6">
        <w:rPr>
          <w:lang w:val="en-US"/>
        </w:rPr>
        <w:t xml:space="preserve"> expression and fraction of expressing cells per cell type in dataset SL040, including the compartment markers used to validate the annotation (PTPRC, CD68, PECAM1, MOG, GFAP) and the proliferation markers MKI67 and TOP2A.</w:t>
      </w:r>
    </w:p>
    <w:p w14:paraId="3088CD43" w14:textId="77777777" w:rsidR="00EF0FE6" w:rsidRPr="00EF0FE6" w:rsidRDefault="00EF0FE6" w:rsidP="00EF0FE6">
      <w:pPr>
        <w:rPr>
          <w:lang w:val="en-US"/>
        </w:rPr>
      </w:pPr>
      <w:r w:rsidRPr="00EF0FE6">
        <w:rPr>
          <w:b/>
          <w:lang w:val="en-US"/>
        </w:rPr>
        <w:t>Supplementary Table S11.</w:t>
      </w:r>
      <w:r w:rsidRPr="00EF0FE6">
        <w:rPr>
          <w:lang w:val="en-US"/>
        </w:rPr>
        <w:t xml:space="preserve"> The same quantities restricted to the 48,281 malignant cells, split by </w:t>
      </w:r>
      <w:proofErr w:type="spellStart"/>
      <w:r w:rsidRPr="00EF0FE6">
        <w:rPr>
          <w:lang w:val="en-US"/>
        </w:rPr>
        <w:t>Neftel</w:t>
      </w:r>
      <w:proofErr w:type="spellEnd"/>
      <w:r w:rsidRPr="00EF0FE6">
        <w:rPr>
          <w:lang w:val="en-US"/>
        </w:rPr>
        <w:t xml:space="preserve"> state.</w:t>
      </w:r>
    </w:p>
    <w:p w14:paraId="0B375684" w14:textId="77777777" w:rsidR="00EF0FE6" w:rsidRPr="00EF0FE6" w:rsidRDefault="00EF0FE6" w:rsidP="00EF0FE6">
      <w:pPr>
        <w:rPr>
          <w:lang w:val="en-US"/>
        </w:rPr>
      </w:pPr>
      <w:r w:rsidRPr="00EF0FE6">
        <w:rPr>
          <w:b/>
          <w:lang w:val="en-US"/>
        </w:rPr>
        <w:t>Supplementary Table S12.</w:t>
      </w:r>
      <w:r w:rsidRPr="00EF0FE6">
        <w:rPr>
          <w:lang w:val="en-US"/>
        </w:rPr>
        <w:t xml:space="preserve"> Model A: the 25 ridge coefficients, hazard ratios, confidence intervals and </w:t>
      </w:r>
      <w:r w:rsidRPr="00EF0FE6">
        <w:rPr>
          <w:i/>
          <w:lang w:val="en-US"/>
        </w:rPr>
        <w:t>P</w:t>
      </w:r>
      <w:r w:rsidRPr="00EF0FE6">
        <w:rPr>
          <w:lang w:val="en-US"/>
        </w:rPr>
        <w:t xml:space="preserve"> values, together with the corresponding univariate hazard ratios and a sign-flip flag. This file is the deposited source of the 25-gene comparator; the external-validation script reads it, so the comparator is reproducible from the deposited tables alone.</w:t>
      </w:r>
    </w:p>
    <w:p w14:paraId="64FEAAE4" w14:textId="77777777" w:rsidR="00EF0FE6" w:rsidRPr="00EF0FE6" w:rsidRDefault="00EF0FE6" w:rsidP="00EF0FE6">
      <w:pPr>
        <w:rPr>
          <w:lang w:val="en-US"/>
        </w:rPr>
      </w:pPr>
      <w:r w:rsidRPr="00EF0FE6">
        <w:rPr>
          <w:b/>
          <w:lang w:val="en-US"/>
        </w:rPr>
        <w:t>Supplementary Table S13.</w:t>
      </w:r>
      <w:r w:rsidRPr="00EF0FE6">
        <w:rPr>
          <w:lang w:val="en-US"/>
        </w:rPr>
        <w:t xml:space="preserve"> Completed TRIPOD checklist for this study.</w:t>
      </w:r>
    </w:p>
    <w:p w14:paraId="18EEDBBA" w14:textId="77777777" w:rsidR="00EF0FE6" w:rsidRPr="00EF0FE6" w:rsidRDefault="00EF0FE6" w:rsidP="00EF0FE6">
      <w:pPr>
        <w:rPr>
          <w:lang w:val="en-US"/>
        </w:rPr>
      </w:pPr>
      <w:r w:rsidRPr="00EF0FE6">
        <w:rPr>
          <w:b/>
          <w:lang w:val="en-US"/>
        </w:rPr>
        <w:t>Supplementary Table S14.</w:t>
      </w:r>
      <w:r w:rsidRPr="00EF0FE6">
        <w:rPr>
          <w:lang w:val="en-US"/>
        </w:rPr>
        <w:t xml:space="preserve"> CGGA-325 adjusted Cox models for both scores under a single per-SD convention, with the SD of each </w:t>
      </w:r>
      <w:proofErr w:type="spellStart"/>
      <w:r w:rsidRPr="00EF0FE6">
        <w:rPr>
          <w:lang w:val="en-US"/>
        </w:rPr>
        <w:t>standardised</w:t>
      </w:r>
      <w:proofErr w:type="spellEnd"/>
      <w:r w:rsidRPr="00EF0FE6">
        <w:rPr>
          <w:lang w:val="en-US"/>
        </w:rPr>
        <w:t xml:space="preserve"> score stated in the table so that the scaling of every hazard ratio is unambiguous.</w:t>
      </w:r>
    </w:p>
    <w:p w14:paraId="1E701B74" w14:textId="77777777" w:rsidR="00EF0FE6" w:rsidRPr="00EF0FE6" w:rsidRDefault="00EF0FE6" w:rsidP="00EF0FE6">
      <w:pPr>
        <w:rPr>
          <w:lang w:val="en-US"/>
        </w:rPr>
      </w:pPr>
      <w:r w:rsidRPr="00EF0FE6">
        <w:rPr>
          <w:b/>
          <w:lang w:val="en-US"/>
        </w:rPr>
        <w:t>Supplementary Table S15.</w:t>
      </w:r>
      <w:r w:rsidRPr="00EF0FE6">
        <w:rPr>
          <w:lang w:val="en-US"/>
        </w:rPr>
        <w:t xml:space="preserve"> CGGA-325 extended adjusted models for MRG-4: age and grade alone, plus 1p/19q codeletion, plus MGMT promoter methylation, plus radiotherapy or chemotherapy, and all combined, each with its own complete-case sample size and number of deaths. These models are </w:t>
      </w:r>
      <w:proofErr w:type="gramStart"/>
      <w:r w:rsidRPr="00EF0FE6">
        <w:rPr>
          <w:lang w:val="en-US"/>
        </w:rPr>
        <w:t>the evidence</w:t>
      </w:r>
      <w:proofErr w:type="gramEnd"/>
      <w:r w:rsidRPr="00EF0FE6">
        <w:rPr>
          <w:lang w:val="en-US"/>
        </w:rPr>
        <w:t xml:space="preserve"> that standard molecular and treatment variables do not explain the score.</w:t>
      </w:r>
    </w:p>
    <w:p w14:paraId="4DDA0369" w14:textId="77777777" w:rsidR="00EF0FE6" w:rsidRPr="00EF0FE6" w:rsidRDefault="00EF0FE6" w:rsidP="00EF0FE6">
      <w:pPr>
        <w:rPr>
          <w:lang w:val="en-US"/>
        </w:rPr>
      </w:pPr>
    </w:p>
    <w:p w14:paraId="3FC1BDEB" w14:textId="77777777" w:rsidR="00EF0FE6" w:rsidRPr="00EF0FE6" w:rsidRDefault="00EF0FE6" w:rsidP="00EF0FE6">
      <w:pPr>
        <w:rPr>
          <w:lang w:val="en-US"/>
        </w:rPr>
      </w:pPr>
      <w:r w:rsidRPr="00EF0FE6">
        <w:rPr>
          <w:b/>
          <w:lang w:val="en-US"/>
        </w:rPr>
        <w:t>Supplementary Table S16.</w:t>
      </w:r>
      <w:r w:rsidRPr="00EF0FE6">
        <w:rPr>
          <w:lang w:val="en-US"/>
        </w:rPr>
        <w:t xml:space="preserve"> MRG-4 composite score by cell type in dataset SL040: per-cell-type mean of the within-cell-type </w:t>
      </w:r>
      <w:r w:rsidRPr="00EF0FE6">
        <w:rPr>
          <w:i/>
          <w:lang w:val="en-US"/>
        </w:rPr>
        <w:t>z</w:t>
      </w:r>
      <w:r w:rsidRPr="00EF0FE6">
        <w:rPr>
          <w:lang w:val="en-US"/>
        </w:rPr>
        <w:t xml:space="preserve">-scored composite, the type-level </w:t>
      </w:r>
      <w:r w:rsidRPr="00EF0FE6">
        <w:rPr>
          <w:i/>
          <w:lang w:val="en-US"/>
        </w:rPr>
        <w:t>z</w:t>
      </w:r>
      <w:r w:rsidRPr="00EF0FE6">
        <w:rPr>
          <w:lang w:val="en-US"/>
        </w:rPr>
        <w:t>-score, cell counts and the per-gene mean raw UMI counts. This is the source of the cell-type ranking quoted in Section 3.8.</w:t>
      </w:r>
    </w:p>
    <w:p w14:paraId="069FB3FF" w14:textId="77777777" w:rsidR="00EF0FE6" w:rsidRPr="00EF0FE6" w:rsidRDefault="00EF0FE6" w:rsidP="00EF0FE6">
      <w:pPr>
        <w:rPr>
          <w:lang w:val="en-US"/>
        </w:rPr>
      </w:pPr>
      <w:r w:rsidRPr="00EF0FE6">
        <w:rPr>
          <w:b/>
          <w:lang w:val="en-US"/>
        </w:rPr>
        <w:t>Supplementary Table S17.</w:t>
      </w:r>
      <w:r w:rsidRPr="00EF0FE6">
        <w:rPr>
          <w:lang w:val="en-US"/>
        </w:rPr>
        <w:t xml:space="preserve"> MRG-4 deployment constants: the four frozen coefficients, the </w:t>
      </w:r>
      <w:proofErr w:type="spellStart"/>
      <w:r w:rsidRPr="00EF0FE6">
        <w:rPr>
          <w:lang w:val="en-US"/>
        </w:rPr>
        <w:t>standardisation</w:t>
      </w:r>
      <w:proofErr w:type="spellEnd"/>
      <w:r w:rsidRPr="00EF0FE6">
        <w:rPr>
          <w:lang w:val="en-US"/>
        </w:rPr>
        <w:t xml:space="preserve"> used, the two </w:t>
      </w:r>
      <w:proofErr w:type="spellStart"/>
      <w:r w:rsidRPr="00EF0FE6">
        <w:rPr>
          <w:lang w:val="en-US"/>
        </w:rPr>
        <w:t>cBioPortal</w:t>
      </w:r>
      <w:proofErr w:type="spellEnd"/>
      <w:r w:rsidRPr="00EF0FE6">
        <w:rPr>
          <w:lang w:val="en-US"/>
        </w:rPr>
        <w:t xml:space="preserve"> profile identifiers on which the score is defined (raw and </w:t>
      </w:r>
      <w:r w:rsidRPr="00EF0FE6">
        <w:rPr>
          <w:i/>
          <w:lang w:val="en-US"/>
        </w:rPr>
        <w:t>z</w:t>
      </w:r>
      <w:r w:rsidRPr="00EF0FE6">
        <w:rPr>
          <w:lang w:val="en-US"/>
        </w:rPr>
        <w:t>), the decision threshold, and the reference sample size.</w:t>
      </w:r>
    </w:p>
    <w:p w14:paraId="37C8E606" w14:textId="77777777" w:rsidR="00EF0FE6" w:rsidRPr="00EF0FE6" w:rsidRDefault="00EF0FE6" w:rsidP="00EF0FE6">
      <w:pPr>
        <w:rPr>
          <w:lang w:val="en-US"/>
        </w:rPr>
      </w:pPr>
      <w:r w:rsidRPr="00EF0FE6">
        <w:rPr>
          <w:b/>
          <w:lang w:val="en-US"/>
        </w:rPr>
        <w:lastRenderedPageBreak/>
        <w:t>Supplementary Table S17b.</w:t>
      </w:r>
      <w:r w:rsidRPr="00EF0FE6">
        <w:rPr>
          <w:lang w:val="en-US"/>
        </w:rPr>
        <w:t xml:space="preserve"> Per-gene </w:t>
      </w:r>
      <w:proofErr w:type="spellStart"/>
      <w:r w:rsidRPr="00EF0FE6">
        <w:rPr>
          <w:lang w:val="en-US"/>
        </w:rPr>
        <w:t>standardisation</w:t>
      </w:r>
      <w:proofErr w:type="spellEnd"/>
      <w:r w:rsidRPr="00EF0FE6">
        <w:rPr>
          <w:lang w:val="en-US"/>
        </w:rPr>
        <w:t xml:space="preserve"> constants for the four MRG-4 genes: mean, SD under both the </w:t>
      </w:r>
      <w:r w:rsidRPr="00EF0FE6">
        <w:rPr>
          <w:i/>
          <w:lang w:val="en-US"/>
        </w:rPr>
        <w:t>n</w:t>
      </w:r>
      <w:r w:rsidRPr="00EF0FE6">
        <w:rPr>
          <w:lang w:val="en-US"/>
        </w:rPr>
        <w:t xml:space="preserve"> − 1 and </w:t>
      </w:r>
      <w:r w:rsidRPr="00EF0FE6">
        <w:rPr>
          <w:i/>
          <w:lang w:val="en-US"/>
        </w:rPr>
        <w:t>n</w:t>
      </w:r>
      <w:r w:rsidRPr="00EF0FE6">
        <w:rPr>
          <w:lang w:val="en-US"/>
        </w:rPr>
        <w:t xml:space="preserve"> conventions, median, median absolute deviation, the robust σ estimate 1.4826 × MAD, the </w:t>
      </w:r>
      <w:r w:rsidRPr="00EF0FE6">
        <w:rPr>
          <w:i/>
          <w:lang w:val="en-US"/>
        </w:rPr>
        <w:t>z</w:t>
      </w:r>
      <w:r w:rsidRPr="00EF0FE6">
        <w:rPr>
          <w:lang w:val="en-US"/>
        </w:rPr>
        <w:t xml:space="preserve"> convention used, and the maximum absolute deviation between the two SD conventions. The two conventions are not interchangeable, and the table exists so that the difference can be quantified rather than assumed away.</w:t>
      </w:r>
    </w:p>
    <w:p w14:paraId="312D4A59" w14:textId="77777777" w:rsidR="00EF0FE6" w:rsidRPr="00EF0FE6" w:rsidRDefault="00EF0FE6" w:rsidP="00EF0FE6">
      <w:pPr>
        <w:rPr>
          <w:lang w:val="en-US"/>
        </w:rPr>
      </w:pPr>
      <w:r w:rsidRPr="00EF0FE6">
        <w:rPr>
          <w:b/>
          <w:lang w:val="en-US"/>
        </w:rPr>
        <w:t>Supplementary Table S18.</w:t>
      </w:r>
      <w:r w:rsidRPr="00EF0FE6">
        <w:rPr>
          <w:lang w:val="en-US"/>
        </w:rPr>
        <w:t xml:space="preserve"> Per-patient </w:t>
      </w:r>
      <w:r w:rsidRPr="00EF0FE6">
        <w:rPr>
          <w:i/>
          <w:lang w:val="en-US"/>
        </w:rPr>
        <w:t>z</w:t>
      </w:r>
      <w:r w:rsidRPr="00EF0FE6">
        <w:rPr>
          <w:lang w:val="en-US"/>
        </w:rPr>
        <w:t xml:space="preserve">-scored values of the four MRG-4 genes, the composite score, survival time and status, in both cohorts and under both </w:t>
      </w:r>
      <w:proofErr w:type="spellStart"/>
      <w:r w:rsidRPr="00EF0FE6">
        <w:rPr>
          <w:lang w:val="en-US"/>
        </w:rPr>
        <w:t>standardisation</w:t>
      </w:r>
      <w:proofErr w:type="spellEnd"/>
      <w:r w:rsidRPr="00EF0FE6">
        <w:rPr>
          <w:lang w:val="en-US"/>
        </w:rPr>
        <w:t xml:space="preserve"> conventions (682 rows: 510 discovery and 172 validation patients).</w:t>
      </w:r>
    </w:p>
    <w:p w14:paraId="318A0DD4" w14:textId="77777777" w:rsidR="00EF0FE6" w:rsidRPr="00EF0FE6" w:rsidRDefault="00EF0FE6" w:rsidP="00EF0FE6">
      <w:pPr>
        <w:rPr>
          <w:lang w:val="en-US"/>
        </w:rPr>
      </w:pPr>
      <w:r w:rsidRPr="00EF0FE6">
        <w:rPr>
          <w:b/>
          <w:lang w:val="en-US"/>
        </w:rPr>
        <w:t>Supplementary Table S19.</w:t>
      </w:r>
      <w:r w:rsidRPr="00EF0FE6">
        <w:rPr>
          <w:lang w:val="en-US"/>
        </w:rPr>
        <w:t xml:space="preserve"> Breslow baseline cumulative hazard and baseline survival for the frozen MRG-4 model in TCGA-LGG, with an </w:t>
      </w:r>
      <w:proofErr w:type="spellStart"/>
      <w:r w:rsidRPr="00EF0FE6">
        <w:rPr>
          <w:lang w:val="en-US"/>
        </w:rPr>
        <w:t>is_event_time</w:t>
      </w:r>
      <w:proofErr w:type="spellEnd"/>
      <w:r w:rsidRPr="00EF0FE6">
        <w:rPr>
          <w:lang w:val="en-US"/>
        </w:rPr>
        <w:t xml:space="preserve"> flag. 440 rows: the 431 observed event times plus a 9-point grid at 12, 24, 36, 48, 60, 72, 84, 96 and 120 months, with the </w:t>
      </w:r>
      <w:proofErr w:type="spellStart"/>
      <w:r w:rsidRPr="00EF0FE6">
        <w:rPr>
          <w:lang w:val="en-US"/>
        </w:rPr>
        <w:t>is_event_time</w:t>
      </w:r>
      <w:proofErr w:type="spellEnd"/>
      <w:r w:rsidRPr="00EF0FE6">
        <w:rPr>
          <w:lang w:val="en-US"/>
        </w:rPr>
        <w:t xml:space="preserve"> flag separating the two.</w:t>
      </w:r>
    </w:p>
    <w:p w14:paraId="18413B29" w14:textId="77777777" w:rsidR="00EF0FE6" w:rsidRPr="00EF0FE6" w:rsidRDefault="00EF0FE6" w:rsidP="00EF0FE6">
      <w:pPr>
        <w:rPr>
          <w:lang w:val="en-US"/>
        </w:rPr>
      </w:pPr>
      <w:r w:rsidRPr="00EF0FE6">
        <w:rPr>
          <w:b/>
          <w:lang w:val="en-US"/>
        </w:rPr>
        <w:t>Supplementary Table S20.</w:t>
      </w:r>
      <w:r w:rsidRPr="00EF0FE6">
        <w:rPr>
          <w:lang w:val="en-US"/>
        </w:rPr>
        <w:t xml:space="preserve"> Provenance of the Model A linear predictor: the archived linear predictor against the linear predictor rebuilt from the deposited 25 coefficients, with the per-patient correlation between them. This is the object behind the statement that the deposited coefficients reproduce the archived score at </w:t>
      </w:r>
      <w:r w:rsidRPr="00EF0FE6">
        <w:rPr>
          <w:i/>
          <w:lang w:val="en-US"/>
        </w:rPr>
        <w:t>r</w:t>
      </w:r>
      <w:r w:rsidRPr="00EF0FE6">
        <w:rPr>
          <w:lang w:val="en-US"/>
        </w:rPr>
        <w:t xml:space="preserve"> = 0.9148.</w:t>
      </w:r>
    </w:p>
    <w:p w14:paraId="19874FC4" w14:textId="77777777" w:rsidR="00EF0FE6" w:rsidRPr="00EF0FE6" w:rsidRDefault="00EF0FE6" w:rsidP="00EF0FE6">
      <w:pPr>
        <w:rPr>
          <w:lang w:val="en-US"/>
        </w:rPr>
      </w:pPr>
      <w:r w:rsidRPr="00EF0FE6">
        <w:rPr>
          <w:b/>
          <w:lang w:val="en-US"/>
        </w:rPr>
        <w:t>Supplementary Table S21.</w:t>
      </w:r>
      <w:r w:rsidRPr="00EF0FE6">
        <w:rPr>
          <w:lang w:val="en-US"/>
        </w:rPr>
        <w:t xml:space="preserve"> Analysis-set derivation for TCGA-LGG, patient by patient: expression availability, overall-survival availability, molecular annotation, WHO grade, and the successive inclusion flags that take 510 patients to 502 and then to 410.</w:t>
      </w:r>
    </w:p>
    <w:p w14:paraId="770BCAB2" w14:textId="77777777" w:rsidR="00EF0FE6" w:rsidRPr="00EF0FE6" w:rsidRDefault="00EF0FE6" w:rsidP="00EF0FE6">
      <w:pPr>
        <w:rPr>
          <w:lang w:val="en-US"/>
        </w:rPr>
      </w:pPr>
      <w:r w:rsidRPr="00EF0FE6">
        <w:rPr>
          <w:b/>
          <w:lang w:val="en-US"/>
        </w:rPr>
        <w:t>Supplementary Table S22.</w:t>
      </w:r>
      <w:r w:rsidRPr="00EF0FE6">
        <w:rPr>
          <w:lang w:val="en-US"/>
        </w:rPr>
        <w:t xml:space="preserve"> Analysis-set derivation for CGGA-325, patient by patient: survival availability, WHO grade II–III, inclusion in the 313 graded set and in the 172-patient primary validation set, with an exclusion reason for every patient not included.</w:t>
      </w:r>
    </w:p>
    <w:p w14:paraId="1A6C0D38" w14:textId="77777777" w:rsidR="00EF0FE6" w:rsidRPr="00EF0FE6" w:rsidRDefault="00EF0FE6" w:rsidP="00EF0FE6">
      <w:pPr>
        <w:rPr>
          <w:lang w:val="en-US"/>
        </w:rPr>
      </w:pPr>
      <w:r w:rsidRPr="00EF0FE6">
        <w:rPr>
          <w:b/>
          <w:lang w:val="en-US"/>
        </w:rPr>
        <w:t>Supplementary Table S23.</w:t>
      </w:r>
      <w:r w:rsidRPr="00EF0FE6">
        <w:rPr>
          <w:lang w:val="en-US"/>
        </w:rPr>
        <w:t xml:space="preserve"> Time-dependent AUC at each of the 19 horizons from 12 to 120 months in CGGA-325 for MRG-4 and for Model A, computed under both censoring conventions: with the censoring distribution estimated in the discovery cohort and with it estimated in the cohort being evaluated. The paired-bootstrap confidence interval of the difference is given per horizon. The cohort-evaluated convention is the one used in the text and in Figure 3A.</w:t>
      </w:r>
    </w:p>
    <w:p w14:paraId="3E43EF3E" w14:textId="77777777" w:rsidR="00EF0FE6" w:rsidRPr="00EF0FE6" w:rsidRDefault="00EF0FE6" w:rsidP="00EF0FE6">
      <w:pPr>
        <w:rPr>
          <w:lang w:val="en-US"/>
        </w:rPr>
      </w:pPr>
      <w:r w:rsidRPr="00EF0FE6">
        <w:rPr>
          <w:b/>
          <w:lang w:val="en-US"/>
        </w:rPr>
        <w:t>Supplementary Table S24.</w:t>
      </w:r>
      <w:r w:rsidRPr="00EF0FE6">
        <w:rPr>
          <w:lang w:val="en-US"/>
        </w:rPr>
        <w:t xml:space="preserve"> Restricted mean survival time by risk group at 36 and 60 months in both cohorts, with bootstrap confidence intervals for the difference. Group values and differences are given both at the 0.1-month precision used in the text and at four decimals, so that the arithmetic can be checked: the differences are computed from the unrounded curves and need not equal the difference of the two displayed group values.</w:t>
      </w:r>
    </w:p>
    <w:p w14:paraId="4F3DE574" w14:textId="77777777" w:rsidR="00EF0FE6" w:rsidRPr="00EF0FE6" w:rsidRDefault="00EF0FE6" w:rsidP="00EF0FE6">
      <w:pPr>
        <w:rPr>
          <w:lang w:val="en-US"/>
        </w:rPr>
      </w:pPr>
      <w:r w:rsidRPr="00EF0FE6">
        <w:rPr>
          <w:b/>
          <w:lang w:val="en-US"/>
        </w:rPr>
        <w:t>Supplementary Table S25.</w:t>
      </w:r>
      <w:r w:rsidRPr="00EF0FE6">
        <w:rPr>
          <w:lang w:val="en-US"/>
        </w:rPr>
        <w:t xml:space="preserve"> Consistency of the score definitions across the analysis scripts: the quantity, its definition, its value and a note on where it is used. It also </w:t>
      </w:r>
      <w:r w:rsidRPr="00EF0FE6">
        <w:rPr>
          <w:lang w:val="en-US"/>
        </w:rPr>
        <w:lastRenderedPageBreak/>
        <w:t>records the standard deviation of each score as recomputed from the deposited per-patient data, the value of the MRG-4 apparent C-index recomputed from Supplementary Table S4, and the second internal result object for that quantity, so that the two can be compared rather than reconciled silently.</w:t>
      </w:r>
    </w:p>
    <w:p w14:paraId="14987B5E" w14:textId="77777777" w:rsidR="00EF0FE6" w:rsidRPr="00EF0FE6" w:rsidRDefault="00EF0FE6" w:rsidP="00EF0FE6">
      <w:pPr>
        <w:rPr>
          <w:lang w:val="en-US"/>
        </w:rPr>
      </w:pPr>
      <w:r w:rsidRPr="00EF0FE6">
        <w:rPr>
          <w:b/>
          <w:lang w:val="en-US"/>
        </w:rPr>
        <w:t>Supplementary Table S26.</w:t>
      </w:r>
      <w:r w:rsidRPr="00EF0FE6">
        <w:rPr>
          <w:lang w:val="en-US"/>
        </w:rPr>
        <w:t xml:space="preserve"> Per-patient immune feature scores for the 11 features (510 patients), so that every value in Supplementary Note S2 can be rebuilt from patient-level data. </w:t>
      </w:r>
      <w:r w:rsidRPr="00EF0FE6">
        <w:rPr>
          <w:b/>
          <w:lang w:val="en-US"/>
        </w:rPr>
        <w:t>S26b</w:t>
      </w:r>
      <w:r w:rsidRPr="00EF0FE6">
        <w:rPr>
          <w:lang w:val="en-US"/>
        </w:rPr>
        <w:t xml:space="preserve"> lists the 4–6 marker genes of each feature; </w:t>
      </w:r>
      <w:r w:rsidRPr="00EF0FE6">
        <w:rPr>
          <w:b/>
          <w:lang w:val="en-US"/>
        </w:rPr>
        <w:t>S26c</w:t>
      </w:r>
      <w:r w:rsidRPr="00EF0FE6">
        <w:rPr>
          <w:lang w:val="en-US"/>
        </w:rPr>
        <w:t xml:space="preserve"> gives the group means, the difference, the Mann–Whitney </w:t>
      </w:r>
      <w:r w:rsidRPr="00EF0FE6">
        <w:rPr>
          <w:i/>
          <w:lang w:val="en-US"/>
        </w:rPr>
        <w:t>P</w:t>
      </w:r>
      <w:r w:rsidRPr="00EF0FE6">
        <w:rPr>
          <w:lang w:val="en-US"/>
        </w:rPr>
        <w:t xml:space="preserve"> value and the rank-biserial correlation.</w:t>
      </w:r>
    </w:p>
    <w:p w14:paraId="38C19207" w14:textId="77777777" w:rsidR="00EF0FE6" w:rsidRPr="00EF0FE6" w:rsidRDefault="00EF0FE6" w:rsidP="00EF0FE6">
      <w:pPr>
        <w:rPr>
          <w:lang w:val="en-US"/>
        </w:rPr>
      </w:pPr>
      <w:r w:rsidRPr="00EF0FE6">
        <w:rPr>
          <w:b/>
          <w:lang w:val="en-US"/>
        </w:rPr>
        <w:t>Supplementary Table S27.</w:t>
      </w:r>
      <w:r w:rsidRPr="00EF0FE6">
        <w:rPr>
          <w:lang w:val="en-US"/>
        </w:rPr>
        <w:t xml:space="preserve"> PROBAST and PROBAST-AI self-assessment, 26 rows covering all four domains. Two domains, Predictors and Analysis, are recorded as non-low risk. The calibration and clinical-utility items record that the calibration slope, the tertile calibration plot, the Brier score and the decision curves </w:t>
      </w:r>
      <w:r w:rsidRPr="00EF0FE6">
        <w:rPr>
          <w:b/>
          <w:lang w:val="en-US"/>
        </w:rPr>
        <w:t>were</w:t>
      </w:r>
      <w:r w:rsidRPr="00EF0FE6">
        <w:rPr>
          <w:lang w:val="en-US"/>
        </w:rPr>
        <w:t xml:space="preserve"> evaluated, in Sections 2.7 and 3.6 and in Figure 3B–D.</w:t>
      </w:r>
    </w:p>
    <w:p w14:paraId="750BD7F4" w14:textId="77777777" w:rsidR="00EF0FE6" w:rsidRPr="00EF0FE6" w:rsidRDefault="00EF0FE6" w:rsidP="00EF0FE6">
      <w:pPr>
        <w:rPr>
          <w:lang w:val="en-US"/>
        </w:rPr>
      </w:pPr>
      <w:r w:rsidRPr="00EF0FE6">
        <w:rPr>
          <w:b/>
          <w:lang w:val="en-US"/>
        </w:rPr>
        <w:t>Supplementary Table S28.</w:t>
      </w:r>
      <w:r w:rsidRPr="00EF0FE6">
        <w:rPr>
          <w:lang w:val="en-US"/>
        </w:rPr>
        <w:t xml:space="preserve"> Random seeds and software environment: the seed used for each stochastic step (k-means 42; outer and inner cross-validation folds 7 and 1; fold-sensitivity 42 and 11; the original stability run 20261004 and the replication 7; the null-panel runs 20261004 + k + </w:t>
      </w:r>
      <w:proofErr w:type="gramStart"/>
      <w:r w:rsidRPr="00EF0FE6">
        <w:rPr>
          <w:lang w:val="en-US"/>
        </w:rPr>
        <w:t>int(</w:t>
      </w:r>
      <w:proofErr w:type="gramEnd"/>
      <w:r w:rsidRPr="00EF0FE6">
        <w:rPr>
          <w:lang w:val="en-US"/>
        </w:rPr>
        <w:t>pen × 100) and the same offset by 977; NRI/IDI 42; the paired bootstrap with 20261004 for patient resampling and 7 for the paired draw), together with the package versions. The single-cell analysis is deterministic.</w:t>
      </w:r>
    </w:p>
    <w:p w14:paraId="62689B6F" w14:textId="77777777" w:rsidR="00EF0FE6" w:rsidRPr="00EF0FE6" w:rsidRDefault="00EF0FE6" w:rsidP="00EF0FE6">
      <w:pPr>
        <w:rPr>
          <w:lang w:val="en-US"/>
        </w:rPr>
      </w:pPr>
    </w:p>
    <w:p w14:paraId="621FCB76" w14:textId="77777777" w:rsidR="00EF0FE6" w:rsidRPr="00EF0FE6" w:rsidRDefault="00EF0FE6" w:rsidP="00EF0FE6">
      <w:pPr>
        <w:rPr>
          <w:lang w:val="en-US"/>
        </w:rPr>
      </w:pPr>
      <w:r w:rsidRPr="00EF0FE6">
        <w:rPr>
          <w:b/>
          <w:lang w:val="en-US"/>
        </w:rPr>
        <w:t>Supplementary Table S29.</w:t>
      </w:r>
      <w:r w:rsidRPr="00EF0FE6">
        <w:rPr>
          <w:lang w:val="en-US"/>
        </w:rPr>
        <w:t xml:space="preserve"> Risk-stratified log-rank tests within molecular strata, in discovery and validation, computed separately for each model. Risk groups are the median split of each model's own score within the analysis set. TCGA-LGG rows use </w:t>
      </w:r>
      <w:proofErr w:type="gramStart"/>
      <w:r w:rsidRPr="00EF0FE6">
        <w:rPr>
          <w:lang w:val="en-US"/>
        </w:rPr>
        <w:t>the 502</w:t>
      </w:r>
      <w:proofErr w:type="gramEnd"/>
      <w:r w:rsidRPr="00EF0FE6">
        <w:rPr>
          <w:lang w:val="en-US"/>
        </w:rPr>
        <w:t xml:space="preserve"> patients with complete molecular annotation, and all values have been recomputed from the deposited per-patient scores. The two CGGA-325 IDH rows are based on the 127 patients with an explicit IDH-mutant call and the 44 with an explicit wildtype call; the single patient with no IDH annotation is excluded from those two rows only. The data are deposited as Table_S29_stratified_logrank.csv.</w:t>
      </w:r>
    </w:p>
    <w:tbl>
      <w:tblPr>
        <w:tblStyle w:val="TableGrid"/>
        <w:tblW w:w="0" w:type="auto"/>
        <w:jc w:val="center"/>
        <w:tblLook w:val="04A0" w:firstRow="1" w:lastRow="0" w:firstColumn="1" w:lastColumn="0" w:noHBand="0" w:noVBand="1"/>
      </w:tblPr>
      <w:tblGrid>
        <w:gridCol w:w="1513"/>
        <w:gridCol w:w="1499"/>
        <w:gridCol w:w="1534"/>
        <w:gridCol w:w="1449"/>
        <w:gridCol w:w="1517"/>
        <w:gridCol w:w="1504"/>
      </w:tblGrid>
      <w:tr w:rsidR="00EF0FE6" w:rsidRPr="00EF0FE6" w14:paraId="3B69A91E"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78CD5B69" w14:textId="77777777" w:rsidR="00EF0FE6" w:rsidRPr="00EF0FE6" w:rsidRDefault="00EF0FE6" w:rsidP="00EF0FE6">
            <w:pPr>
              <w:spacing w:after="160" w:line="278" w:lineRule="auto"/>
              <w:rPr>
                <w:lang w:val="en-US"/>
              </w:rPr>
            </w:pPr>
            <w:r w:rsidRPr="00EF0FE6">
              <w:rPr>
                <w:b/>
                <w:lang w:val="en-US"/>
              </w:rPr>
              <w:t>Cohort</w:t>
            </w:r>
          </w:p>
        </w:tc>
        <w:tc>
          <w:tcPr>
            <w:tcW w:w="1624" w:type="dxa"/>
            <w:tcBorders>
              <w:top w:val="single" w:sz="4" w:space="0" w:color="auto"/>
              <w:left w:val="single" w:sz="4" w:space="0" w:color="auto"/>
              <w:bottom w:val="single" w:sz="4" w:space="0" w:color="auto"/>
              <w:right w:val="single" w:sz="4" w:space="0" w:color="auto"/>
            </w:tcBorders>
            <w:hideMark/>
          </w:tcPr>
          <w:p w14:paraId="7938BA69" w14:textId="77777777" w:rsidR="00EF0FE6" w:rsidRPr="00EF0FE6" w:rsidRDefault="00EF0FE6" w:rsidP="00EF0FE6">
            <w:pPr>
              <w:spacing w:after="160" w:line="278" w:lineRule="auto"/>
              <w:rPr>
                <w:lang w:val="en-US"/>
              </w:rPr>
            </w:pPr>
            <w:r w:rsidRPr="00EF0FE6">
              <w:rPr>
                <w:b/>
                <w:lang w:val="en-US"/>
              </w:rPr>
              <w:t>Model</w:t>
            </w:r>
          </w:p>
        </w:tc>
        <w:tc>
          <w:tcPr>
            <w:tcW w:w="1624" w:type="dxa"/>
            <w:tcBorders>
              <w:top w:val="single" w:sz="4" w:space="0" w:color="auto"/>
              <w:left w:val="single" w:sz="4" w:space="0" w:color="auto"/>
              <w:bottom w:val="single" w:sz="4" w:space="0" w:color="auto"/>
              <w:right w:val="single" w:sz="4" w:space="0" w:color="auto"/>
            </w:tcBorders>
            <w:hideMark/>
          </w:tcPr>
          <w:p w14:paraId="1054444F" w14:textId="77777777" w:rsidR="00EF0FE6" w:rsidRPr="00EF0FE6" w:rsidRDefault="00EF0FE6" w:rsidP="00EF0FE6">
            <w:pPr>
              <w:spacing w:after="160" w:line="278" w:lineRule="auto"/>
              <w:rPr>
                <w:lang w:val="en-US"/>
              </w:rPr>
            </w:pPr>
            <w:r w:rsidRPr="00EF0FE6">
              <w:rPr>
                <w:b/>
                <w:lang w:val="en-US"/>
              </w:rPr>
              <w:t>Stratum</w:t>
            </w:r>
          </w:p>
        </w:tc>
        <w:tc>
          <w:tcPr>
            <w:tcW w:w="1624" w:type="dxa"/>
            <w:tcBorders>
              <w:top w:val="single" w:sz="4" w:space="0" w:color="auto"/>
              <w:left w:val="single" w:sz="4" w:space="0" w:color="auto"/>
              <w:bottom w:val="single" w:sz="4" w:space="0" w:color="auto"/>
              <w:right w:val="single" w:sz="4" w:space="0" w:color="auto"/>
            </w:tcBorders>
            <w:hideMark/>
          </w:tcPr>
          <w:p w14:paraId="0BCD4F69" w14:textId="77777777" w:rsidR="00EF0FE6" w:rsidRPr="00EF0FE6" w:rsidRDefault="00EF0FE6" w:rsidP="00EF0FE6">
            <w:pPr>
              <w:spacing w:after="160" w:line="278" w:lineRule="auto"/>
              <w:rPr>
                <w:lang w:val="en-US"/>
              </w:rPr>
            </w:pPr>
            <w:r w:rsidRPr="00EF0FE6">
              <w:rPr>
                <w:b/>
                <w:lang w:val="en-US"/>
              </w:rPr>
              <w:t>n</w:t>
            </w:r>
          </w:p>
        </w:tc>
        <w:tc>
          <w:tcPr>
            <w:tcW w:w="1624" w:type="dxa"/>
            <w:tcBorders>
              <w:top w:val="single" w:sz="4" w:space="0" w:color="auto"/>
              <w:left w:val="single" w:sz="4" w:space="0" w:color="auto"/>
              <w:bottom w:val="single" w:sz="4" w:space="0" w:color="auto"/>
              <w:right w:val="single" w:sz="4" w:space="0" w:color="auto"/>
            </w:tcBorders>
            <w:hideMark/>
          </w:tcPr>
          <w:p w14:paraId="5E6C3846" w14:textId="77777777" w:rsidR="00EF0FE6" w:rsidRPr="00EF0FE6" w:rsidRDefault="00EF0FE6" w:rsidP="00EF0FE6">
            <w:pPr>
              <w:spacing w:after="160" w:line="278" w:lineRule="auto"/>
              <w:rPr>
                <w:lang w:val="en-US"/>
              </w:rPr>
            </w:pPr>
            <w:r w:rsidRPr="00EF0FE6">
              <w:rPr>
                <w:b/>
                <w:lang w:val="en-US"/>
              </w:rPr>
              <w:t>Deaths</w:t>
            </w:r>
          </w:p>
        </w:tc>
        <w:tc>
          <w:tcPr>
            <w:tcW w:w="1624" w:type="dxa"/>
            <w:tcBorders>
              <w:top w:val="single" w:sz="4" w:space="0" w:color="auto"/>
              <w:left w:val="single" w:sz="4" w:space="0" w:color="auto"/>
              <w:bottom w:val="single" w:sz="4" w:space="0" w:color="auto"/>
              <w:right w:val="single" w:sz="4" w:space="0" w:color="auto"/>
            </w:tcBorders>
            <w:hideMark/>
          </w:tcPr>
          <w:p w14:paraId="78B7BA0E" w14:textId="77777777" w:rsidR="00EF0FE6" w:rsidRPr="00EF0FE6" w:rsidRDefault="00EF0FE6" w:rsidP="00EF0FE6">
            <w:pPr>
              <w:spacing w:after="160" w:line="278" w:lineRule="auto"/>
              <w:rPr>
                <w:lang w:val="en-US"/>
              </w:rPr>
            </w:pPr>
            <w:r w:rsidRPr="00EF0FE6">
              <w:rPr>
                <w:b/>
                <w:lang w:val="en-US"/>
              </w:rPr>
              <w:t>log-rank P</w:t>
            </w:r>
          </w:p>
        </w:tc>
      </w:tr>
      <w:tr w:rsidR="00EF0FE6" w:rsidRPr="00EF0FE6" w14:paraId="49D9FA04"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5F89AB74"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3F836CE3"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2FF521F3" w14:textId="77777777" w:rsidR="00EF0FE6" w:rsidRPr="00EF0FE6" w:rsidRDefault="00EF0FE6" w:rsidP="00EF0FE6">
            <w:pPr>
              <w:spacing w:after="160" w:line="278" w:lineRule="auto"/>
              <w:rPr>
                <w:lang w:val="en-US"/>
              </w:rPr>
            </w:pPr>
            <w:r w:rsidRPr="00EF0FE6">
              <w:rPr>
                <w:lang w:val="en-US"/>
              </w:rPr>
              <w:t>All patients</w:t>
            </w:r>
          </w:p>
        </w:tc>
        <w:tc>
          <w:tcPr>
            <w:tcW w:w="1624" w:type="dxa"/>
            <w:tcBorders>
              <w:top w:val="single" w:sz="4" w:space="0" w:color="auto"/>
              <w:left w:val="single" w:sz="4" w:space="0" w:color="auto"/>
              <w:bottom w:val="single" w:sz="4" w:space="0" w:color="auto"/>
              <w:right w:val="single" w:sz="4" w:space="0" w:color="auto"/>
            </w:tcBorders>
            <w:hideMark/>
          </w:tcPr>
          <w:p w14:paraId="6A2426D0" w14:textId="77777777" w:rsidR="00EF0FE6" w:rsidRPr="00EF0FE6" w:rsidRDefault="00EF0FE6" w:rsidP="00EF0FE6">
            <w:pPr>
              <w:spacing w:after="160" w:line="278" w:lineRule="auto"/>
              <w:rPr>
                <w:lang w:val="en-US"/>
              </w:rPr>
            </w:pPr>
            <w:r w:rsidRPr="00EF0FE6">
              <w:rPr>
                <w:lang w:val="en-US"/>
              </w:rPr>
              <w:t>502</w:t>
            </w:r>
          </w:p>
        </w:tc>
        <w:tc>
          <w:tcPr>
            <w:tcW w:w="1624" w:type="dxa"/>
            <w:tcBorders>
              <w:top w:val="single" w:sz="4" w:space="0" w:color="auto"/>
              <w:left w:val="single" w:sz="4" w:space="0" w:color="auto"/>
              <w:bottom w:val="single" w:sz="4" w:space="0" w:color="auto"/>
              <w:right w:val="single" w:sz="4" w:space="0" w:color="auto"/>
            </w:tcBorders>
            <w:hideMark/>
          </w:tcPr>
          <w:p w14:paraId="07F1FAF8" w14:textId="77777777" w:rsidR="00EF0FE6" w:rsidRPr="00EF0FE6" w:rsidRDefault="00EF0FE6" w:rsidP="00EF0FE6">
            <w:pPr>
              <w:spacing w:after="160" w:line="278" w:lineRule="auto"/>
              <w:rPr>
                <w:lang w:val="en-US"/>
              </w:rPr>
            </w:pPr>
            <w:r w:rsidRPr="00EF0FE6">
              <w:rPr>
                <w:lang w:val="en-US"/>
              </w:rPr>
              <w:t>123</w:t>
            </w:r>
          </w:p>
        </w:tc>
        <w:tc>
          <w:tcPr>
            <w:tcW w:w="1624" w:type="dxa"/>
            <w:tcBorders>
              <w:top w:val="single" w:sz="4" w:space="0" w:color="auto"/>
              <w:left w:val="single" w:sz="4" w:space="0" w:color="auto"/>
              <w:bottom w:val="single" w:sz="4" w:space="0" w:color="auto"/>
              <w:right w:val="single" w:sz="4" w:space="0" w:color="auto"/>
            </w:tcBorders>
            <w:hideMark/>
          </w:tcPr>
          <w:p w14:paraId="6935A3CE" w14:textId="77777777" w:rsidR="00EF0FE6" w:rsidRPr="00EF0FE6" w:rsidRDefault="00EF0FE6" w:rsidP="00EF0FE6">
            <w:pPr>
              <w:spacing w:after="160" w:line="278" w:lineRule="auto"/>
              <w:rPr>
                <w:lang w:val="en-US"/>
              </w:rPr>
            </w:pPr>
            <w:r w:rsidRPr="00EF0FE6">
              <w:rPr>
                <w:lang w:val="en-US"/>
              </w:rPr>
              <w:t>2.14 × 10</w:t>
            </w:r>
            <w:r w:rsidRPr="00EF0FE6">
              <w:rPr>
                <w:rFonts w:ascii="Cambria Math" w:hAnsi="Cambria Math" w:cs="Cambria Math"/>
                <w:lang w:val="en-US"/>
              </w:rPr>
              <w:t>⁻</w:t>
            </w:r>
            <w:r w:rsidRPr="00EF0FE6">
              <w:rPr>
                <w:rFonts w:ascii="Aptos" w:hAnsi="Aptos" w:cs="Aptos"/>
                <w:lang w:val="en-US"/>
              </w:rPr>
              <w:t>¹⁰</w:t>
            </w:r>
          </w:p>
        </w:tc>
      </w:tr>
      <w:tr w:rsidR="00EF0FE6" w:rsidRPr="00EF0FE6" w14:paraId="1A00DAE1"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4A593FAC"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5CEC899E"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79684DF5" w14:textId="77777777" w:rsidR="00EF0FE6" w:rsidRPr="00EF0FE6" w:rsidRDefault="00EF0FE6" w:rsidP="00EF0FE6">
            <w:pPr>
              <w:spacing w:after="160" w:line="278" w:lineRule="auto"/>
              <w:rPr>
                <w:lang w:val="en-US"/>
              </w:rPr>
            </w:pPr>
            <w:r w:rsidRPr="00EF0FE6">
              <w:rPr>
                <w:lang w:val="en-US"/>
              </w:rPr>
              <w:t>IDH-mutant</w:t>
            </w:r>
          </w:p>
        </w:tc>
        <w:tc>
          <w:tcPr>
            <w:tcW w:w="1624" w:type="dxa"/>
            <w:tcBorders>
              <w:top w:val="single" w:sz="4" w:space="0" w:color="auto"/>
              <w:left w:val="single" w:sz="4" w:space="0" w:color="auto"/>
              <w:bottom w:val="single" w:sz="4" w:space="0" w:color="auto"/>
              <w:right w:val="single" w:sz="4" w:space="0" w:color="auto"/>
            </w:tcBorders>
            <w:hideMark/>
          </w:tcPr>
          <w:p w14:paraId="3183AEDC" w14:textId="77777777" w:rsidR="00EF0FE6" w:rsidRPr="00EF0FE6" w:rsidRDefault="00EF0FE6" w:rsidP="00EF0FE6">
            <w:pPr>
              <w:spacing w:after="160" w:line="278" w:lineRule="auto"/>
              <w:rPr>
                <w:lang w:val="en-US"/>
              </w:rPr>
            </w:pPr>
            <w:r w:rsidRPr="00EF0FE6">
              <w:rPr>
                <w:lang w:val="en-US"/>
              </w:rPr>
              <w:t>410</w:t>
            </w:r>
          </w:p>
        </w:tc>
        <w:tc>
          <w:tcPr>
            <w:tcW w:w="1624" w:type="dxa"/>
            <w:tcBorders>
              <w:top w:val="single" w:sz="4" w:space="0" w:color="auto"/>
              <w:left w:val="single" w:sz="4" w:space="0" w:color="auto"/>
              <w:bottom w:val="single" w:sz="4" w:space="0" w:color="auto"/>
              <w:right w:val="single" w:sz="4" w:space="0" w:color="auto"/>
            </w:tcBorders>
            <w:hideMark/>
          </w:tcPr>
          <w:p w14:paraId="23D7F555" w14:textId="77777777" w:rsidR="00EF0FE6" w:rsidRPr="00EF0FE6" w:rsidRDefault="00EF0FE6" w:rsidP="00EF0FE6">
            <w:pPr>
              <w:spacing w:after="160" w:line="278" w:lineRule="auto"/>
              <w:rPr>
                <w:lang w:val="en-US"/>
              </w:rPr>
            </w:pPr>
            <w:r w:rsidRPr="00EF0FE6">
              <w:rPr>
                <w:lang w:val="en-US"/>
              </w:rPr>
              <w:t>73</w:t>
            </w:r>
          </w:p>
        </w:tc>
        <w:tc>
          <w:tcPr>
            <w:tcW w:w="1624" w:type="dxa"/>
            <w:tcBorders>
              <w:top w:val="single" w:sz="4" w:space="0" w:color="auto"/>
              <w:left w:val="single" w:sz="4" w:space="0" w:color="auto"/>
              <w:bottom w:val="single" w:sz="4" w:space="0" w:color="auto"/>
              <w:right w:val="single" w:sz="4" w:space="0" w:color="auto"/>
            </w:tcBorders>
            <w:hideMark/>
          </w:tcPr>
          <w:p w14:paraId="2EEB7554" w14:textId="77777777" w:rsidR="00EF0FE6" w:rsidRPr="00EF0FE6" w:rsidRDefault="00EF0FE6" w:rsidP="00EF0FE6">
            <w:pPr>
              <w:spacing w:after="160" w:line="278" w:lineRule="auto"/>
              <w:rPr>
                <w:lang w:val="en-US"/>
              </w:rPr>
            </w:pPr>
            <w:r w:rsidRPr="00EF0FE6">
              <w:rPr>
                <w:lang w:val="en-US"/>
              </w:rPr>
              <w:t>9.64 × 10</w:t>
            </w:r>
            <w:r w:rsidRPr="00EF0FE6">
              <w:rPr>
                <w:rFonts w:ascii="Cambria Math" w:hAnsi="Cambria Math" w:cs="Cambria Math"/>
                <w:lang w:val="en-US"/>
              </w:rPr>
              <w:t>⁻</w:t>
            </w:r>
            <w:r w:rsidRPr="00EF0FE6">
              <w:rPr>
                <w:rFonts w:ascii="Aptos" w:hAnsi="Aptos" w:cs="Aptos"/>
                <w:lang w:val="en-US"/>
              </w:rPr>
              <w:t>⁴</w:t>
            </w:r>
          </w:p>
        </w:tc>
      </w:tr>
      <w:tr w:rsidR="00EF0FE6" w:rsidRPr="00EF0FE6" w14:paraId="10A06A05"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2DD9A888"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12232521"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69540D8C" w14:textId="77777777" w:rsidR="00EF0FE6" w:rsidRPr="00EF0FE6" w:rsidRDefault="00EF0FE6" w:rsidP="00EF0FE6">
            <w:pPr>
              <w:spacing w:after="160" w:line="278" w:lineRule="auto"/>
              <w:rPr>
                <w:lang w:val="en-US"/>
              </w:rPr>
            </w:pPr>
            <w:r w:rsidRPr="00EF0FE6">
              <w:rPr>
                <w:lang w:val="en-US"/>
              </w:rPr>
              <w:t>IDH-wildtype</w:t>
            </w:r>
          </w:p>
        </w:tc>
        <w:tc>
          <w:tcPr>
            <w:tcW w:w="1624" w:type="dxa"/>
            <w:tcBorders>
              <w:top w:val="single" w:sz="4" w:space="0" w:color="auto"/>
              <w:left w:val="single" w:sz="4" w:space="0" w:color="auto"/>
              <w:bottom w:val="single" w:sz="4" w:space="0" w:color="auto"/>
              <w:right w:val="single" w:sz="4" w:space="0" w:color="auto"/>
            </w:tcBorders>
            <w:hideMark/>
          </w:tcPr>
          <w:p w14:paraId="5898944A" w14:textId="77777777" w:rsidR="00EF0FE6" w:rsidRPr="00EF0FE6" w:rsidRDefault="00EF0FE6" w:rsidP="00EF0FE6">
            <w:pPr>
              <w:spacing w:after="160" w:line="278" w:lineRule="auto"/>
              <w:rPr>
                <w:lang w:val="en-US"/>
              </w:rPr>
            </w:pPr>
            <w:r w:rsidRPr="00EF0FE6">
              <w:rPr>
                <w:lang w:val="en-US"/>
              </w:rPr>
              <w:t>92</w:t>
            </w:r>
          </w:p>
        </w:tc>
        <w:tc>
          <w:tcPr>
            <w:tcW w:w="1624" w:type="dxa"/>
            <w:tcBorders>
              <w:top w:val="single" w:sz="4" w:space="0" w:color="auto"/>
              <w:left w:val="single" w:sz="4" w:space="0" w:color="auto"/>
              <w:bottom w:val="single" w:sz="4" w:space="0" w:color="auto"/>
              <w:right w:val="single" w:sz="4" w:space="0" w:color="auto"/>
            </w:tcBorders>
            <w:hideMark/>
          </w:tcPr>
          <w:p w14:paraId="707DD251" w14:textId="77777777" w:rsidR="00EF0FE6" w:rsidRPr="00EF0FE6" w:rsidRDefault="00EF0FE6" w:rsidP="00EF0FE6">
            <w:pPr>
              <w:spacing w:after="160" w:line="278" w:lineRule="auto"/>
              <w:rPr>
                <w:lang w:val="en-US"/>
              </w:rPr>
            </w:pPr>
            <w:r w:rsidRPr="00EF0FE6">
              <w:rPr>
                <w:lang w:val="en-US"/>
              </w:rPr>
              <w:t>50</w:t>
            </w:r>
          </w:p>
        </w:tc>
        <w:tc>
          <w:tcPr>
            <w:tcW w:w="1624" w:type="dxa"/>
            <w:tcBorders>
              <w:top w:val="single" w:sz="4" w:space="0" w:color="auto"/>
              <w:left w:val="single" w:sz="4" w:space="0" w:color="auto"/>
              <w:bottom w:val="single" w:sz="4" w:space="0" w:color="auto"/>
              <w:right w:val="single" w:sz="4" w:space="0" w:color="auto"/>
            </w:tcBorders>
            <w:hideMark/>
          </w:tcPr>
          <w:p w14:paraId="25FA5BCC" w14:textId="77777777" w:rsidR="00EF0FE6" w:rsidRPr="00EF0FE6" w:rsidRDefault="00EF0FE6" w:rsidP="00EF0FE6">
            <w:pPr>
              <w:spacing w:after="160" w:line="278" w:lineRule="auto"/>
              <w:rPr>
                <w:lang w:val="en-US"/>
              </w:rPr>
            </w:pPr>
            <w:r w:rsidRPr="00EF0FE6">
              <w:rPr>
                <w:lang w:val="en-US"/>
              </w:rPr>
              <w:t>0.463</w:t>
            </w:r>
          </w:p>
        </w:tc>
      </w:tr>
      <w:tr w:rsidR="00EF0FE6" w:rsidRPr="00EF0FE6" w14:paraId="67A1BF4A"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750FEB2D"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7EBE0160"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5A47AC98" w14:textId="77777777" w:rsidR="00EF0FE6" w:rsidRPr="00EF0FE6" w:rsidRDefault="00EF0FE6" w:rsidP="00EF0FE6">
            <w:pPr>
              <w:spacing w:after="160" w:line="278" w:lineRule="auto"/>
              <w:rPr>
                <w:lang w:val="en-US"/>
              </w:rPr>
            </w:pPr>
            <w:r w:rsidRPr="00EF0FE6">
              <w:rPr>
                <w:lang w:val="en-US"/>
              </w:rPr>
              <w:t>WHO grade 2</w:t>
            </w:r>
          </w:p>
        </w:tc>
        <w:tc>
          <w:tcPr>
            <w:tcW w:w="1624" w:type="dxa"/>
            <w:tcBorders>
              <w:top w:val="single" w:sz="4" w:space="0" w:color="auto"/>
              <w:left w:val="single" w:sz="4" w:space="0" w:color="auto"/>
              <w:bottom w:val="single" w:sz="4" w:space="0" w:color="auto"/>
              <w:right w:val="single" w:sz="4" w:space="0" w:color="auto"/>
            </w:tcBorders>
            <w:hideMark/>
          </w:tcPr>
          <w:p w14:paraId="0AB532A4" w14:textId="77777777" w:rsidR="00EF0FE6" w:rsidRPr="00EF0FE6" w:rsidRDefault="00EF0FE6" w:rsidP="00EF0FE6">
            <w:pPr>
              <w:spacing w:after="160" w:line="278" w:lineRule="auto"/>
              <w:rPr>
                <w:lang w:val="en-US"/>
              </w:rPr>
            </w:pPr>
            <w:r w:rsidRPr="00EF0FE6">
              <w:rPr>
                <w:lang w:val="en-US"/>
              </w:rPr>
              <w:t>241</w:t>
            </w:r>
          </w:p>
        </w:tc>
        <w:tc>
          <w:tcPr>
            <w:tcW w:w="1624" w:type="dxa"/>
            <w:tcBorders>
              <w:top w:val="single" w:sz="4" w:space="0" w:color="auto"/>
              <w:left w:val="single" w:sz="4" w:space="0" w:color="auto"/>
              <w:bottom w:val="single" w:sz="4" w:space="0" w:color="auto"/>
              <w:right w:val="single" w:sz="4" w:space="0" w:color="auto"/>
            </w:tcBorders>
            <w:hideMark/>
          </w:tcPr>
          <w:p w14:paraId="646474E0" w14:textId="77777777" w:rsidR="00EF0FE6" w:rsidRPr="00EF0FE6" w:rsidRDefault="00EF0FE6" w:rsidP="00EF0FE6">
            <w:pPr>
              <w:spacing w:after="160" w:line="278" w:lineRule="auto"/>
              <w:rPr>
                <w:lang w:val="en-US"/>
              </w:rPr>
            </w:pPr>
            <w:r w:rsidRPr="00EF0FE6">
              <w:rPr>
                <w:lang w:val="en-US"/>
              </w:rPr>
              <w:t>36</w:t>
            </w:r>
          </w:p>
        </w:tc>
        <w:tc>
          <w:tcPr>
            <w:tcW w:w="1624" w:type="dxa"/>
            <w:tcBorders>
              <w:top w:val="single" w:sz="4" w:space="0" w:color="auto"/>
              <w:left w:val="single" w:sz="4" w:space="0" w:color="auto"/>
              <w:bottom w:val="single" w:sz="4" w:space="0" w:color="auto"/>
              <w:right w:val="single" w:sz="4" w:space="0" w:color="auto"/>
            </w:tcBorders>
            <w:hideMark/>
          </w:tcPr>
          <w:p w14:paraId="7CE49129" w14:textId="77777777" w:rsidR="00EF0FE6" w:rsidRPr="00EF0FE6" w:rsidRDefault="00EF0FE6" w:rsidP="00EF0FE6">
            <w:pPr>
              <w:spacing w:after="160" w:line="278" w:lineRule="auto"/>
              <w:rPr>
                <w:lang w:val="en-US"/>
              </w:rPr>
            </w:pPr>
            <w:r w:rsidRPr="00EF0FE6">
              <w:rPr>
                <w:lang w:val="en-US"/>
              </w:rPr>
              <w:t>0.0333</w:t>
            </w:r>
          </w:p>
        </w:tc>
      </w:tr>
      <w:tr w:rsidR="00EF0FE6" w:rsidRPr="00EF0FE6" w14:paraId="3F3074A1"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43345B37" w14:textId="77777777" w:rsidR="00EF0FE6" w:rsidRPr="00EF0FE6" w:rsidRDefault="00EF0FE6" w:rsidP="00EF0FE6">
            <w:pPr>
              <w:spacing w:after="160" w:line="278" w:lineRule="auto"/>
              <w:rPr>
                <w:lang w:val="en-US"/>
              </w:rPr>
            </w:pPr>
            <w:r w:rsidRPr="00EF0FE6">
              <w:rPr>
                <w:lang w:val="en-US"/>
              </w:rPr>
              <w:lastRenderedPageBreak/>
              <w:t>TCGA-LGG</w:t>
            </w:r>
          </w:p>
        </w:tc>
        <w:tc>
          <w:tcPr>
            <w:tcW w:w="1624" w:type="dxa"/>
            <w:tcBorders>
              <w:top w:val="single" w:sz="4" w:space="0" w:color="auto"/>
              <w:left w:val="single" w:sz="4" w:space="0" w:color="auto"/>
              <w:bottom w:val="single" w:sz="4" w:space="0" w:color="auto"/>
              <w:right w:val="single" w:sz="4" w:space="0" w:color="auto"/>
            </w:tcBorders>
            <w:hideMark/>
          </w:tcPr>
          <w:p w14:paraId="4A9C24F2"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63423B31" w14:textId="77777777" w:rsidR="00EF0FE6" w:rsidRPr="00EF0FE6" w:rsidRDefault="00EF0FE6" w:rsidP="00EF0FE6">
            <w:pPr>
              <w:spacing w:after="160" w:line="278" w:lineRule="auto"/>
              <w:rPr>
                <w:lang w:val="en-US"/>
              </w:rPr>
            </w:pPr>
            <w:r w:rsidRPr="00EF0FE6">
              <w:rPr>
                <w:lang w:val="en-US"/>
              </w:rPr>
              <w:t>WHO grade 3</w:t>
            </w:r>
          </w:p>
        </w:tc>
        <w:tc>
          <w:tcPr>
            <w:tcW w:w="1624" w:type="dxa"/>
            <w:tcBorders>
              <w:top w:val="single" w:sz="4" w:space="0" w:color="auto"/>
              <w:left w:val="single" w:sz="4" w:space="0" w:color="auto"/>
              <w:bottom w:val="single" w:sz="4" w:space="0" w:color="auto"/>
              <w:right w:val="single" w:sz="4" w:space="0" w:color="auto"/>
            </w:tcBorders>
            <w:hideMark/>
          </w:tcPr>
          <w:p w14:paraId="7EE5BA7D" w14:textId="77777777" w:rsidR="00EF0FE6" w:rsidRPr="00EF0FE6" w:rsidRDefault="00EF0FE6" w:rsidP="00EF0FE6">
            <w:pPr>
              <w:spacing w:after="160" w:line="278" w:lineRule="auto"/>
              <w:rPr>
                <w:lang w:val="en-US"/>
              </w:rPr>
            </w:pPr>
            <w:r w:rsidRPr="00EF0FE6">
              <w:rPr>
                <w:lang w:val="en-US"/>
              </w:rPr>
              <w:t>261</w:t>
            </w:r>
          </w:p>
        </w:tc>
        <w:tc>
          <w:tcPr>
            <w:tcW w:w="1624" w:type="dxa"/>
            <w:tcBorders>
              <w:top w:val="single" w:sz="4" w:space="0" w:color="auto"/>
              <w:left w:val="single" w:sz="4" w:space="0" w:color="auto"/>
              <w:bottom w:val="single" w:sz="4" w:space="0" w:color="auto"/>
              <w:right w:val="single" w:sz="4" w:space="0" w:color="auto"/>
            </w:tcBorders>
            <w:hideMark/>
          </w:tcPr>
          <w:p w14:paraId="4E3038A2" w14:textId="77777777" w:rsidR="00EF0FE6" w:rsidRPr="00EF0FE6" w:rsidRDefault="00EF0FE6" w:rsidP="00EF0FE6">
            <w:pPr>
              <w:spacing w:after="160" w:line="278" w:lineRule="auto"/>
              <w:rPr>
                <w:lang w:val="en-US"/>
              </w:rPr>
            </w:pPr>
            <w:r w:rsidRPr="00EF0FE6">
              <w:rPr>
                <w:lang w:val="en-US"/>
              </w:rPr>
              <w:t>87</w:t>
            </w:r>
          </w:p>
        </w:tc>
        <w:tc>
          <w:tcPr>
            <w:tcW w:w="1624" w:type="dxa"/>
            <w:tcBorders>
              <w:top w:val="single" w:sz="4" w:space="0" w:color="auto"/>
              <w:left w:val="single" w:sz="4" w:space="0" w:color="auto"/>
              <w:bottom w:val="single" w:sz="4" w:space="0" w:color="auto"/>
              <w:right w:val="single" w:sz="4" w:space="0" w:color="auto"/>
            </w:tcBorders>
            <w:hideMark/>
          </w:tcPr>
          <w:p w14:paraId="2AF975FF" w14:textId="77777777" w:rsidR="00EF0FE6" w:rsidRPr="00EF0FE6" w:rsidRDefault="00EF0FE6" w:rsidP="00EF0FE6">
            <w:pPr>
              <w:spacing w:after="160" w:line="278" w:lineRule="auto"/>
              <w:rPr>
                <w:lang w:val="en-US"/>
              </w:rPr>
            </w:pPr>
            <w:r w:rsidRPr="00EF0FE6">
              <w:rPr>
                <w:lang w:val="en-US"/>
              </w:rPr>
              <w:t>2.02 × 10</w:t>
            </w:r>
            <w:r w:rsidRPr="00EF0FE6">
              <w:rPr>
                <w:rFonts w:ascii="Cambria Math" w:hAnsi="Cambria Math" w:cs="Cambria Math"/>
                <w:lang w:val="en-US"/>
              </w:rPr>
              <w:t>⁻</w:t>
            </w:r>
            <w:r w:rsidRPr="00EF0FE6">
              <w:rPr>
                <w:rFonts w:ascii="Aptos" w:hAnsi="Aptos" w:cs="Aptos"/>
                <w:lang w:val="en-US"/>
              </w:rPr>
              <w:t>⁶</w:t>
            </w:r>
          </w:p>
        </w:tc>
      </w:tr>
      <w:tr w:rsidR="00EF0FE6" w:rsidRPr="00EF0FE6" w14:paraId="6A3DB305"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40F718C8"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627E97C1"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2D90C4EB" w14:textId="77777777" w:rsidR="00EF0FE6" w:rsidRPr="00EF0FE6" w:rsidRDefault="00EF0FE6" w:rsidP="00EF0FE6">
            <w:pPr>
              <w:spacing w:after="160" w:line="278" w:lineRule="auto"/>
              <w:rPr>
                <w:lang w:val="en-US"/>
              </w:rPr>
            </w:pPr>
            <w:r w:rsidRPr="00EF0FE6">
              <w:rPr>
                <w:lang w:val="en-US"/>
              </w:rPr>
              <w:t>All patients</w:t>
            </w:r>
          </w:p>
        </w:tc>
        <w:tc>
          <w:tcPr>
            <w:tcW w:w="1624" w:type="dxa"/>
            <w:tcBorders>
              <w:top w:val="single" w:sz="4" w:space="0" w:color="auto"/>
              <w:left w:val="single" w:sz="4" w:space="0" w:color="auto"/>
              <w:bottom w:val="single" w:sz="4" w:space="0" w:color="auto"/>
              <w:right w:val="single" w:sz="4" w:space="0" w:color="auto"/>
            </w:tcBorders>
            <w:hideMark/>
          </w:tcPr>
          <w:p w14:paraId="25DF443D" w14:textId="77777777" w:rsidR="00EF0FE6" w:rsidRPr="00EF0FE6" w:rsidRDefault="00EF0FE6" w:rsidP="00EF0FE6">
            <w:pPr>
              <w:spacing w:after="160" w:line="278" w:lineRule="auto"/>
              <w:rPr>
                <w:lang w:val="en-US"/>
              </w:rPr>
            </w:pPr>
            <w:r w:rsidRPr="00EF0FE6">
              <w:rPr>
                <w:lang w:val="en-US"/>
              </w:rPr>
              <w:t>502</w:t>
            </w:r>
          </w:p>
        </w:tc>
        <w:tc>
          <w:tcPr>
            <w:tcW w:w="1624" w:type="dxa"/>
            <w:tcBorders>
              <w:top w:val="single" w:sz="4" w:space="0" w:color="auto"/>
              <w:left w:val="single" w:sz="4" w:space="0" w:color="auto"/>
              <w:bottom w:val="single" w:sz="4" w:space="0" w:color="auto"/>
              <w:right w:val="single" w:sz="4" w:space="0" w:color="auto"/>
            </w:tcBorders>
            <w:hideMark/>
          </w:tcPr>
          <w:p w14:paraId="01499BF9" w14:textId="77777777" w:rsidR="00EF0FE6" w:rsidRPr="00EF0FE6" w:rsidRDefault="00EF0FE6" w:rsidP="00EF0FE6">
            <w:pPr>
              <w:spacing w:after="160" w:line="278" w:lineRule="auto"/>
              <w:rPr>
                <w:lang w:val="en-US"/>
              </w:rPr>
            </w:pPr>
            <w:r w:rsidRPr="00EF0FE6">
              <w:rPr>
                <w:lang w:val="en-US"/>
              </w:rPr>
              <w:t>123</w:t>
            </w:r>
          </w:p>
        </w:tc>
        <w:tc>
          <w:tcPr>
            <w:tcW w:w="1624" w:type="dxa"/>
            <w:tcBorders>
              <w:top w:val="single" w:sz="4" w:space="0" w:color="auto"/>
              <w:left w:val="single" w:sz="4" w:space="0" w:color="auto"/>
              <w:bottom w:val="single" w:sz="4" w:space="0" w:color="auto"/>
              <w:right w:val="single" w:sz="4" w:space="0" w:color="auto"/>
            </w:tcBorders>
            <w:hideMark/>
          </w:tcPr>
          <w:p w14:paraId="7FF161B1" w14:textId="77777777" w:rsidR="00EF0FE6" w:rsidRPr="00EF0FE6" w:rsidRDefault="00EF0FE6" w:rsidP="00EF0FE6">
            <w:pPr>
              <w:spacing w:after="160" w:line="278" w:lineRule="auto"/>
              <w:rPr>
                <w:lang w:val="en-US"/>
              </w:rPr>
            </w:pPr>
            <w:r w:rsidRPr="00EF0FE6">
              <w:rPr>
                <w:lang w:val="en-US"/>
              </w:rPr>
              <w:t>2.29 × 10</w:t>
            </w:r>
            <w:r w:rsidRPr="00EF0FE6">
              <w:rPr>
                <w:rFonts w:ascii="Cambria Math" w:hAnsi="Cambria Math" w:cs="Cambria Math"/>
                <w:lang w:val="en-US"/>
              </w:rPr>
              <w:t>⁻</w:t>
            </w:r>
            <w:r w:rsidRPr="00EF0FE6">
              <w:rPr>
                <w:rFonts w:ascii="Aptos" w:hAnsi="Aptos" w:cs="Aptos"/>
                <w:lang w:val="en-US"/>
              </w:rPr>
              <w:t>¹⁰</w:t>
            </w:r>
          </w:p>
        </w:tc>
      </w:tr>
      <w:tr w:rsidR="00EF0FE6" w:rsidRPr="00EF0FE6" w14:paraId="113A130E"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5C09A599"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7922D62A"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487F0590" w14:textId="77777777" w:rsidR="00EF0FE6" w:rsidRPr="00EF0FE6" w:rsidRDefault="00EF0FE6" w:rsidP="00EF0FE6">
            <w:pPr>
              <w:spacing w:after="160" w:line="278" w:lineRule="auto"/>
              <w:rPr>
                <w:lang w:val="en-US"/>
              </w:rPr>
            </w:pPr>
            <w:r w:rsidRPr="00EF0FE6">
              <w:rPr>
                <w:lang w:val="en-US"/>
              </w:rPr>
              <w:t>IDH-mutant</w:t>
            </w:r>
          </w:p>
        </w:tc>
        <w:tc>
          <w:tcPr>
            <w:tcW w:w="1624" w:type="dxa"/>
            <w:tcBorders>
              <w:top w:val="single" w:sz="4" w:space="0" w:color="auto"/>
              <w:left w:val="single" w:sz="4" w:space="0" w:color="auto"/>
              <w:bottom w:val="single" w:sz="4" w:space="0" w:color="auto"/>
              <w:right w:val="single" w:sz="4" w:space="0" w:color="auto"/>
            </w:tcBorders>
            <w:hideMark/>
          </w:tcPr>
          <w:p w14:paraId="4C054C57" w14:textId="77777777" w:rsidR="00EF0FE6" w:rsidRPr="00EF0FE6" w:rsidRDefault="00EF0FE6" w:rsidP="00EF0FE6">
            <w:pPr>
              <w:spacing w:after="160" w:line="278" w:lineRule="auto"/>
              <w:rPr>
                <w:lang w:val="en-US"/>
              </w:rPr>
            </w:pPr>
            <w:r w:rsidRPr="00EF0FE6">
              <w:rPr>
                <w:lang w:val="en-US"/>
              </w:rPr>
              <w:t>410</w:t>
            </w:r>
          </w:p>
        </w:tc>
        <w:tc>
          <w:tcPr>
            <w:tcW w:w="1624" w:type="dxa"/>
            <w:tcBorders>
              <w:top w:val="single" w:sz="4" w:space="0" w:color="auto"/>
              <w:left w:val="single" w:sz="4" w:space="0" w:color="auto"/>
              <w:bottom w:val="single" w:sz="4" w:space="0" w:color="auto"/>
              <w:right w:val="single" w:sz="4" w:space="0" w:color="auto"/>
            </w:tcBorders>
            <w:hideMark/>
          </w:tcPr>
          <w:p w14:paraId="024E7615" w14:textId="77777777" w:rsidR="00EF0FE6" w:rsidRPr="00EF0FE6" w:rsidRDefault="00EF0FE6" w:rsidP="00EF0FE6">
            <w:pPr>
              <w:spacing w:after="160" w:line="278" w:lineRule="auto"/>
              <w:rPr>
                <w:lang w:val="en-US"/>
              </w:rPr>
            </w:pPr>
            <w:r w:rsidRPr="00EF0FE6">
              <w:rPr>
                <w:lang w:val="en-US"/>
              </w:rPr>
              <w:t>73</w:t>
            </w:r>
          </w:p>
        </w:tc>
        <w:tc>
          <w:tcPr>
            <w:tcW w:w="1624" w:type="dxa"/>
            <w:tcBorders>
              <w:top w:val="single" w:sz="4" w:space="0" w:color="auto"/>
              <w:left w:val="single" w:sz="4" w:space="0" w:color="auto"/>
              <w:bottom w:val="single" w:sz="4" w:space="0" w:color="auto"/>
              <w:right w:val="single" w:sz="4" w:space="0" w:color="auto"/>
            </w:tcBorders>
            <w:hideMark/>
          </w:tcPr>
          <w:p w14:paraId="1714BA41" w14:textId="77777777" w:rsidR="00EF0FE6" w:rsidRPr="00EF0FE6" w:rsidRDefault="00EF0FE6" w:rsidP="00EF0FE6">
            <w:pPr>
              <w:spacing w:after="160" w:line="278" w:lineRule="auto"/>
              <w:rPr>
                <w:lang w:val="en-US"/>
              </w:rPr>
            </w:pPr>
            <w:r w:rsidRPr="00EF0FE6">
              <w:rPr>
                <w:lang w:val="en-US"/>
              </w:rPr>
              <w:t>2.79 × 10</w:t>
            </w:r>
            <w:r w:rsidRPr="00EF0FE6">
              <w:rPr>
                <w:rFonts w:ascii="Cambria Math" w:hAnsi="Cambria Math" w:cs="Cambria Math"/>
                <w:lang w:val="en-US"/>
              </w:rPr>
              <w:t>⁻</w:t>
            </w:r>
            <w:r w:rsidRPr="00EF0FE6">
              <w:rPr>
                <w:rFonts w:ascii="Aptos" w:hAnsi="Aptos" w:cs="Aptos"/>
                <w:lang w:val="en-US"/>
              </w:rPr>
              <w:t>³</w:t>
            </w:r>
          </w:p>
        </w:tc>
      </w:tr>
      <w:tr w:rsidR="00EF0FE6" w:rsidRPr="00EF0FE6" w14:paraId="79B4AED9"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7BF9B67B"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35DA87F1"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1B9DFAC0" w14:textId="77777777" w:rsidR="00EF0FE6" w:rsidRPr="00EF0FE6" w:rsidRDefault="00EF0FE6" w:rsidP="00EF0FE6">
            <w:pPr>
              <w:spacing w:after="160" w:line="278" w:lineRule="auto"/>
              <w:rPr>
                <w:lang w:val="en-US"/>
              </w:rPr>
            </w:pPr>
            <w:r w:rsidRPr="00EF0FE6">
              <w:rPr>
                <w:lang w:val="en-US"/>
              </w:rPr>
              <w:t>IDH-wildtype</w:t>
            </w:r>
          </w:p>
        </w:tc>
        <w:tc>
          <w:tcPr>
            <w:tcW w:w="1624" w:type="dxa"/>
            <w:tcBorders>
              <w:top w:val="single" w:sz="4" w:space="0" w:color="auto"/>
              <w:left w:val="single" w:sz="4" w:space="0" w:color="auto"/>
              <w:bottom w:val="single" w:sz="4" w:space="0" w:color="auto"/>
              <w:right w:val="single" w:sz="4" w:space="0" w:color="auto"/>
            </w:tcBorders>
            <w:hideMark/>
          </w:tcPr>
          <w:p w14:paraId="16A95532" w14:textId="77777777" w:rsidR="00EF0FE6" w:rsidRPr="00EF0FE6" w:rsidRDefault="00EF0FE6" w:rsidP="00EF0FE6">
            <w:pPr>
              <w:spacing w:after="160" w:line="278" w:lineRule="auto"/>
              <w:rPr>
                <w:lang w:val="en-US"/>
              </w:rPr>
            </w:pPr>
            <w:r w:rsidRPr="00EF0FE6">
              <w:rPr>
                <w:lang w:val="en-US"/>
              </w:rPr>
              <w:t>92</w:t>
            </w:r>
          </w:p>
        </w:tc>
        <w:tc>
          <w:tcPr>
            <w:tcW w:w="1624" w:type="dxa"/>
            <w:tcBorders>
              <w:top w:val="single" w:sz="4" w:space="0" w:color="auto"/>
              <w:left w:val="single" w:sz="4" w:space="0" w:color="auto"/>
              <w:bottom w:val="single" w:sz="4" w:space="0" w:color="auto"/>
              <w:right w:val="single" w:sz="4" w:space="0" w:color="auto"/>
            </w:tcBorders>
            <w:hideMark/>
          </w:tcPr>
          <w:p w14:paraId="7936108A" w14:textId="77777777" w:rsidR="00EF0FE6" w:rsidRPr="00EF0FE6" w:rsidRDefault="00EF0FE6" w:rsidP="00EF0FE6">
            <w:pPr>
              <w:spacing w:after="160" w:line="278" w:lineRule="auto"/>
              <w:rPr>
                <w:lang w:val="en-US"/>
              </w:rPr>
            </w:pPr>
            <w:r w:rsidRPr="00EF0FE6">
              <w:rPr>
                <w:lang w:val="en-US"/>
              </w:rPr>
              <w:t>50</w:t>
            </w:r>
          </w:p>
        </w:tc>
        <w:tc>
          <w:tcPr>
            <w:tcW w:w="1624" w:type="dxa"/>
            <w:tcBorders>
              <w:top w:val="single" w:sz="4" w:space="0" w:color="auto"/>
              <w:left w:val="single" w:sz="4" w:space="0" w:color="auto"/>
              <w:bottom w:val="single" w:sz="4" w:space="0" w:color="auto"/>
              <w:right w:val="single" w:sz="4" w:space="0" w:color="auto"/>
            </w:tcBorders>
            <w:hideMark/>
          </w:tcPr>
          <w:p w14:paraId="2A2572DF" w14:textId="77777777" w:rsidR="00EF0FE6" w:rsidRPr="00EF0FE6" w:rsidRDefault="00EF0FE6" w:rsidP="00EF0FE6">
            <w:pPr>
              <w:spacing w:after="160" w:line="278" w:lineRule="auto"/>
              <w:rPr>
                <w:lang w:val="en-US"/>
              </w:rPr>
            </w:pPr>
            <w:r w:rsidRPr="00EF0FE6">
              <w:rPr>
                <w:lang w:val="en-US"/>
              </w:rPr>
              <w:t>6.77 × 10</w:t>
            </w:r>
            <w:r w:rsidRPr="00EF0FE6">
              <w:rPr>
                <w:rFonts w:ascii="Cambria Math" w:hAnsi="Cambria Math" w:cs="Cambria Math"/>
                <w:lang w:val="en-US"/>
              </w:rPr>
              <w:t>⁻</w:t>
            </w:r>
            <w:r w:rsidRPr="00EF0FE6">
              <w:rPr>
                <w:rFonts w:ascii="Aptos" w:hAnsi="Aptos" w:cs="Aptos"/>
                <w:lang w:val="en-US"/>
              </w:rPr>
              <w:t>³</w:t>
            </w:r>
          </w:p>
        </w:tc>
      </w:tr>
      <w:tr w:rsidR="00EF0FE6" w:rsidRPr="00EF0FE6" w14:paraId="1EBB5F89"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23A4B2DF"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006EC831"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3502B59A" w14:textId="77777777" w:rsidR="00EF0FE6" w:rsidRPr="00EF0FE6" w:rsidRDefault="00EF0FE6" w:rsidP="00EF0FE6">
            <w:pPr>
              <w:spacing w:after="160" w:line="278" w:lineRule="auto"/>
              <w:rPr>
                <w:lang w:val="en-US"/>
              </w:rPr>
            </w:pPr>
            <w:r w:rsidRPr="00EF0FE6">
              <w:rPr>
                <w:lang w:val="en-US"/>
              </w:rPr>
              <w:t>WHO grade 2</w:t>
            </w:r>
          </w:p>
        </w:tc>
        <w:tc>
          <w:tcPr>
            <w:tcW w:w="1624" w:type="dxa"/>
            <w:tcBorders>
              <w:top w:val="single" w:sz="4" w:space="0" w:color="auto"/>
              <w:left w:val="single" w:sz="4" w:space="0" w:color="auto"/>
              <w:bottom w:val="single" w:sz="4" w:space="0" w:color="auto"/>
              <w:right w:val="single" w:sz="4" w:space="0" w:color="auto"/>
            </w:tcBorders>
            <w:hideMark/>
          </w:tcPr>
          <w:p w14:paraId="43FD9875" w14:textId="77777777" w:rsidR="00EF0FE6" w:rsidRPr="00EF0FE6" w:rsidRDefault="00EF0FE6" w:rsidP="00EF0FE6">
            <w:pPr>
              <w:spacing w:after="160" w:line="278" w:lineRule="auto"/>
              <w:rPr>
                <w:lang w:val="en-US"/>
              </w:rPr>
            </w:pPr>
            <w:r w:rsidRPr="00EF0FE6">
              <w:rPr>
                <w:lang w:val="en-US"/>
              </w:rPr>
              <w:t>241</w:t>
            </w:r>
          </w:p>
        </w:tc>
        <w:tc>
          <w:tcPr>
            <w:tcW w:w="1624" w:type="dxa"/>
            <w:tcBorders>
              <w:top w:val="single" w:sz="4" w:space="0" w:color="auto"/>
              <w:left w:val="single" w:sz="4" w:space="0" w:color="auto"/>
              <w:bottom w:val="single" w:sz="4" w:space="0" w:color="auto"/>
              <w:right w:val="single" w:sz="4" w:space="0" w:color="auto"/>
            </w:tcBorders>
            <w:hideMark/>
          </w:tcPr>
          <w:p w14:paraId="72CE98BB" w14:textId="77777777" w:rsidR="00EF0FE6" w:rsidRPr="00EF0FE6" w:rsidRDefault="00EF0FE6" w:rsidP="00EF0FE6">
            <w:pPr>
              <w:spacing w:after="160" w:line="278" w:lineRule="auto"/>
              <w:rPr>
                <w:lang w:val="en-US"/>
              </w:rPr>
            </w:pPr>
            <w:r w:rsidRPr="00EF0FE6">
              <w:rPr>
                <w:lang w:val="en-US"/>
              </w:rPr>
              <w:t>36</w:t>
            </w:r>
          </w:p>
        </w:tc>
        <w:tc>
          <w:tcPr>
            <w:tcW w:w="1624" w:type="dxa"/>
            <w:tcBorders>
              <w:top w:val="single" w:sz="4" w:space="0" w:color="auto"/>
              <w:left w:val="single" w:sz="4" w:space="0" w:color="auto"/>
              <w:bottom w:val="single" w:sz="4" w:space="0" w:color="auto"/>
              <w:right w:val="single" w:sz="4" w:space="0" w:color="auto"/>
            </w:tcBorders>
            <w:hideMark/>
          </w:tcPr>
          <w:p w14:paraId="7AC62661" w14:textId="77777777" w:rsidR="00EF0FE6" w:rsidRPr="00EF0FE6" w:rsidRDefault="00EF0FE6" w:rsidP="00EF0FE6">
            <w:pPr>
              <w:spacing w:after="160" w:line="278" w:lineRule="auto"/>
              <w:rPr>
                <w:lang w:val="en-US"/>
              </w:rPr>
            </w:pPr>
            <w:r w:rsidRPr="00EF0FE6">
              <w:rPr>
                <w:lang w:val="en-US"/>
              </w:rPr>
              <w:t>0.0550</w:t>
            </w:r>
          </w:p>
        </w:tc>
      </w:tr>
      <w:tr w:rsidR="00EF0FE6" w:rsidRPr="00EF0FE6" w14:paraId="267BEC87"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154CCDD5" w14:textId="77777777" w:rsidR="00EF0FE6" w:rsidRPr="00EF0FE6" w:rsidRDefault="00EF0FE6" w:rsidP="00EF0FE6">
            <w:pPr>
              <w:spacing w:after="160" w:line="278" w:lineRule="auto"/>
              <w:rPr>
                <w:lang w:val="en-US"/>
              </w:rPr>
            </w:pPr>
            <w:r w:rsidRPr="00EF0FE6">
              <w:rPr>
                <w:lang w:val="en-US"/>
              </w:rPr>
              <w:t>TCGA-LGG</w:t>
            </w:r>
          </w:p>
        </w:tc>
        <w:tc>
          <w:tcPr>
            <w:tcW w:w="1624" w:type="dxa"/>
            <w:tcBorders>
              <w:top w:val="single" w:sz="4" w:space="0" w:color="auto"/>
              <w:left w:val="single" w:sz="4" w:space="0" w:color="auto"/>
              <w:bottom w:val="single" w:sz="4" w:space="0" w:color="auto"/>
              <w:right w:val="single" w:sz="4" w:space="0" w:color="auto"/>
            </w:tcBorders>
            <w:hideMark/>
          </w:tcPr>
          <w:p w14:paraId="3E812DA9"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7CC17898" w14:textId="77777777" w:rsidR="00EF0FE6" w:rsidRPr="00EF0FE6" w:rsidRDefault="00EF0FE6" w:rsidP="00EF0FE6">
            <w:pPr>
              <w:spacing w:after="160" w:line="278" w:lineRule="auto"/>
              <w:rPr>
                <w:lang w:val="en-US"/>
              </w:rPr>
            </w:pPr>
            <w:r w:rsidRPr="00EF0FE6">
              <w:rPr>
                <w:lang w:val="en-US"/>
              </w:rPr>
              <w:t>WHO grade 3</w:t>
            </w:r>
          </w:p>
        </w:tc>
        <w:tc>
          <w:tcPr>
            <w:tcW w:w="1624" w:type="dxa"/>
            <w:tcBorders>
              <w:top w:val="single" w:sz="4" w:space="0" w:color="auto"/>
              <w:left w:val="single" w:sz="4" w:space="0" w:color="auto"/>
              <w:bottom w:val="single" w:sz="4" w:space="0" w:color="auto"/>
              <w:right w:val="single" w:sz="4" w:space="0" w:color="auto"/>
            </w:tcBorders>
            <w:hideMark/>
          </w:tcPr>
          <w:p w14:paraId="253C5502" w14:textId="77777777" w:rsidR="00EF0FE6" w:rsidRPr="00EF0FE6" w:rsidRDefault="00EF0FE6" w:rsidP="00EF0FE6">
            <w:pPr>
              <w:spacing w:after="160" w:line="278" w:lineRule="auto"/>
              <w:rPr>
                <w:lang w:val="en-US"/>
              </w:rPr>
            </w:pPr>
            <w:r w:rsidRPr="00EF0FE6">
              <w:rPr>
                <w:lang w:val="en-US"/>
              </w:rPr>
              <w:t>261</w:t>
            </w:r>
          </w:p>
        </w:tc>
        <w:tc>
          <w:tcPr>
            <w:tcW w:w="1624" w:type="dxa"/>
            <w:tcBorders>
              <w:top w:val="single" w:sz="4" w:space="0" w:color="auto"/>
              <w:left w:val="single" w:sz="4" w:space="0" w:color="auto"/>
              <w:bottom w:val="single" w:sz="4" w:space="0" w:color="auto"/>
              <w:right w:val="single" w:sz="4" w:space="0" w:color="auto"/>
            </w:tcBorders>
            <w:hideMark/>
          </w:tcPr>
          <w:p w14:paraId="1695F5E3" w14:textId="77777777" w:rsidR="00EF0FE6" w:rsidRPr="00EF0FE6" w:rsidRDefault="00EF0FE6" w:rsidP="00EF0FE6">
            <w:pPr>
              <w:spacing w:after="160" w:line="278" w:lineRule="auto"/>
              <w:rPr>
                <w:lang w:val="en-US"/>
              </w:rPr>
            </w:pPr>
            <w:r w:rsidRPr="00EF0FE6">
              <w:rPr>
                <w:lang w:val="en-US"/>
              </w:rPr>
              <w:t>87</w:t>
            </w:r>
          </w:p>
        </w:tc>
        <w:tc>
          <w:tcPr>
            <w:tcW w:w="1624" w:type="dxa"/>
            <w:tcBorders>
              <w:top w:val="single" w:sz="4" w:space="0" w:color="auto"/>
              <w:left w:val="single" w:sz="4" w:space="0" w:color="auto"/>
              <w:bottom w:val="single" w:sz="4" w:space="0" w:color="auto"/>
              <w:right w:val="single" w:sz="4" w:space="0" w:color="auto"/>
            </w:tcBorders>
            <w:hideMark/>
          </w:tcPr>
          <w:p w14:paraId="1206B5DF" w14:textId="77777777" w:rsidR="00EF0FE6" w:rsidRPr="00EF0FE6" w:rsidRDefault="00EF0FE6" w:rsidP="00EF0FE6">
            <w:pPr>
              <w:spacing w:after="160" w:line="278" w:lineRule="auto"/>
              <w:rPr>
                <w:lang w:val="en-US"/>
              </w:rPr>
            </w:pPr>
            <w:r w:rsidRPr="00EF0FE6">
              <w:rPr>
                <w:lang w:val="en-US"/>
              </w:rPr>
              <w:t>6.07 × 10</w:t>
            </w:r>
            <w:r w:rsidRPr="00EF0FE6">
              <w:rPr>
                <w:rFonts w:ascii="Cambria Math" w:hAnsi="Cambria Math" w:cs="Cambria Math"/>
                <w:lang w:val="en-US"/>
              </w:rPr>
              <w:t>⁻</w:t>
            </w:r>
            <w:r w:rsidRPr="00EF0FE6">
              <w:rPr>
                <w:rFonts w:ascii="Aptos" w:hAnsi="Aptos" w:cs="Aptos"/>
                <w:lang w:val="en-US"/>
              </w:rPr>
              <w:t>⁶</w:t>
            </w:r>
          </w:p>
        </w:tc>
      </w:tr>
      <w:tr w:rsidR="00EF0FE6" w:rsidRPr="00EF0FE6" w14:paraId="0AD975A7"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7B2DB993"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243547FF"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2B17C466" w14:textId="77777777" w:rsidR="00EF0FE6" w:rsidRPr="00EF0FE6" w:rsidRDefault="00EF0FE6" w:rsidP="00EF0FE6">
            <w:pPr>
              <w:spacing w:after="160" w:line="278" w:lineRule="auto"/>
              <w:rPr>
                <w:lang w:val="en-US"/>
              </w:rPr>
            </w:pPr>
            <w:r w:rsidRPr="00EF0FE6">
              <w:rPr>
                <w:lang w:val="en-US"/>
              </w:rPr>
              <w:t>WHO II-III (all)</w:t>
            </w:r>
          </w:p>
        </w:tc>
        <w:tc>
          <w:tcPr>
            <w:tcW w:w="1624" w:type="dxa"/>
            <w:tcBorders>
              <w:top w:val="single" w:sz="4" w:space="0" w:color="auto"/>
              <w:left w:val="single" w:sz="4" w:space="0" w:color="auto"/>
              <w:bottom w:val="single" w:sz="4" w:space="0" w:color="auto"/>
              <w:right w:val="single" w:sz="4" w:space="0" w:color="auto"/>
            </w:tcBorders>
            <w:hideMark/>
          </w:tcPr>
          <w:p w14:paraId="49D650D3" w14:textId="77777777" w:rsidR="00EF0FE6" w:rsidRPr="00EF0FE6" w:rsidRDefault="00EF0FE6" w:rsidP="00EF0FE6">
            <w:pPr>
              <w:spacing w:after="160" w:line="278" w:lineRule="auto"/>
              <w:rPr>
                <w:lang w:val="en-US"/>
              </w:rPr>
            </w:pPr>
            <w:r w:rsidRPr="00EF0FE6">
              <w:rPr>
                <w:lang w:val="en-US"/>
              </w:rPr>
              <w:t>172</w:t>
            </w:r>
          </w:p>
        </w:tc>
        <w:tc>
          <w:tcPr>
            <w:tcW w:w="1624" w:type="dxa"/>
            <w:tcBorders>
              <w:top w:val="single" w:sz="4" w:space="0" w:color="auto"/>
              <w:left w:val="single" w:sz="4" w:space="0" w:color="auto"/>
              <w:bottom w:val="single" w:sz="4" w:space="0" w:color="auto"/>
              <w:right w:val="single" w:sz="4" w:space="0" w:color="auto"/>
            </w:tcBorders>
            <w:hideMark/>
          </w:tcPr>
          <w:p w14:paraId="3DE78B57" w14:textId="77777777" w:rsidR="00EF0FE6" w:rsidRPr="00EF0FE6" w:rsidRDefault="00EF0FE6" w:rsidP="00EF0FE6">
            <w:pPr>
              <w:spacing w:after="160" w:line="278" w:lineRule="auto"/>
              <w:rPr>
                <w:lang w:val="en-US"/>
              </w:rPr>
            </w:pPr>
            <w:r w:rsidRPr="00EF0FE6">
              <w:rPr>
                <w:lang w:val="en-US"/>
              </w:rPr>
              <w:t>90</w:t>
            </w:r>
          </w:p>
        </w:tc>
        <w:tc>
          <w:tcPr>
            <w:tcW w:w="1624" w:type="dxa"/>
            <w:tcBorders>
              <w:top w:val="single" w:sz="4" w:space="0" w:color="auto"/>
              <w:left w:val="single" w:sz="4" w:space="0" w:color="auto"/>
              <w:bottom w:val="single" w:sz="4" w:space="0" w:color="auto"/>
              <w:right w:val="single" w:sz="4" w:space="0" w:color="auto"/>
            </w:tcBorders>
            <w:hideMark/>
          </w:tcPr>
          <w:p w14:paraId="76D95687" w14:textId="77777777" w:rsidR="00EF0FE6" w:rsidRPr="00EF0FE6" w:rsidRDefault="00EF0FE6" w:rsidP="00EF0FE6">
            <w:pPr>
              <w:spacing w:after="160" w:line="278" w:lineRule="auto"/>
              <w:rPr>
                <w:lang w:val="en-US"/>
              </w:rPr>
            </w:pPr>
            <w:r w:rsidRPr="00EF0FE6">
              <w:rPr>
                <w:lang w:val="en-US"/>
              </w:rPr>
              <w:t>2.58 × 10</w:t>
            </w:r>
            <w:r w:rsidRPr="00EF0FE6">
              <w:rPr>
                <w:rFonts w:ascii="Cambria Math" w:hAnsi="Cambria Math" w:cs="Cambria Math"/>
                <w:lang w:val="en-US"/>
              </w:rPr>
              <w:t>⁻</w:t>
            </w:r>
            <w:r w:rsidRPr="00EF0FE6">
              <w:rPr>
                <w:rFonts w:ascii="Aptos" w:hAnsi="Aptos" w:cs="Aptos"/>
                <w:lang w:val="en-US"/>
              </w:rPr>
              <w:t>⁴</w:t>
            </w:r>
          </w:p>
        </w:tc>
      </w:tr>
      <w:tr w:rsidR="00EF0FE6" w:rsidRPr="00EF0FE6" w14:paraId="7C2234B2"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53833DD7"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6CE84775"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260A31FE" w14:textId="77777777" w:rsidR="00EF0FE6" w:rsidRPr="00EF0FE6" w:rsidRDefault="00EF0FE6" w:rsidP="00EF0FE6">
            <w:pPr>
              <w:spacing w:after="160" w:line="278" w:lineRule="auto"/>
              <w:rPr>
                <w:lang w:val="en-US"/>
              </w:rPr>
            </w:pPr>
            <w:r w:rsidRPr="00EF0FE6">
              <w:rPr>
                <w:lang w:val="en-US"/>
              </w:rPr>
              <w:t>IDH-mutant</w:t>
            </w:r>
          </w:p>
        </w:tc>
        <w:tc>
          <w:tcPr>
            <w:tcW w:w="1624" w:type="dxa"/>
            <w:tcBorders>
              <w:top w:val="single" w:sz="4" w:space="0" w:color="auto"/>
              <w:left w:val="single" w:sz="4" w:space="0" w:color="auto"/>
              <w:bottom w:val="single" w:sz="4" w:space="0" w:color="auto"/>
              <w:right w:val="single" w:sz="4" w:space="0" w:color="auto"/>
            </w:tcBorders>
            <w:hideMark/>
          </w:tcPr>
          <w:p w14:paraId="702C92B2" w14:textId="77777777" w:rsidR="00EF0FE6" w:rsidRPr="00EF0FE6" w:rsidRDefault="00EF0FE6" w:rsidP="00EF0FE6">
            <w:pPr>
              <w:spacing w:after="160" w:line="278" w:lineRule="auto"/>
              <w:rPr>
                <w:lang w:val="en-US"/>
              </w:rPr>
            </w:pPr>
            <w:r w:rsidRPr="00EF0FE6">
              <w:rPr>
                <w:lang w:val="en-US"/>
              </w:rPr>
              <w:t>127</w:t>
            </w:r>
          </w:p>
        </w:tc>
        <w:tc>
          <w:tcPr>
            <w:tcW w:w="1624" w:type="dxa"/>
            <w:tcBorders>
              <w:top w:val="single" w:sz="4" w:space="0" w:color="auto"/>
              <w:left w:val="single" w:sz="4" w:space="0" w:color="auto"/>
              <w:bottom w:val="single" w:sz="4" w:space="0" w:color="auto"/>
              <w:right w:val="single" w:sz="4" w:space="0" w:color="auto"/>
            </w:tcBorders>
            <w:hideMark/>
          </w:tcPr>
          <w:p w14:paraId="7904A40E" w14:textId="77777777" w:rsidR="00EF0FE6" w:rsidRPr="00EF0FE6" w:rsidRDefault="00EF0FE6" w:rsidP="00EF0FE6">
            <w:pPr>
              <w:spacing w:after="160" w:line="278" w:lineRule="auto"/>
              <w:rPr>
                <w:lang w:val="en-US"/>
              </w:rPr>
            </w:pPr>
            <w:r w:rsidRPr="00EF0FE6">
              <w:rPr>
                <w:lang w:val="en-US"/>
              </w:rPr>
              <w:t>58</w:t>
            </w:r>
          </w:p>
        </w:tc>
        <w:tc>
          <w:tcPr>
            <w:tcW w:w="1624" w:type="dxa"/>
            <w:tcBorders>
              <w:top w:val="single" w:sz="4" w:space="0" w:color="auto"/>
              <w:left w:val="single" w:sz="4" w:space="0" w:color="auto"/>
              <w:bottom w:val="single" w:sz="4" w:space="0" w:color="auto"/>
              <w:right w:val="single" w:sz="4" w:space="0" w:color="auto"/>
            </w:tcBorders>
            <w:hideMark/>
          </w:tcPr>
          <w:p w14:paraId="4216B4C8" w14:textId="77777777" w:rsidR="00EF0FE6" w:rsidRPr="00EF0FE6" w:rsidRDefault="00EF0FE6" w:rsidP="00EF0FE6">
            <w:pPr>
              <w:spacing w:after="160" w:line="278" w:lineRule="auto"/>
              <w:rPr>
                <w:lang w:val="en-US"/>
              </w:rPr>
            </w:pPr>
            <w:r w:rsidRPr="00EF0FE6">
              <w:rPr>
                <w:lang w:val="en-US"/>
              </w:rPr>
              <w:t>6.97 × 10</w:t>
            </w:r>
            <w:r w:rsidRPr="00EF0FE6">
              <w:rPr>
                <w:rFonts w:ascii="Cambria Math" w:hAnsi="Cambria Math" w:cs="Cambria Math"/>
                <w:lang w:val="en-US"/>
              </w:rPr>
              <w:t>⁻</w:t>
            </w:r>
            <w:r w:rsidRPr="00EF0FE6">
              <w:rPr>
                <w:rFonts w:ascii="Aptos" w:hAnsi="Aptos" w:cs="Aptos"/>
                <w:lang w:val="en-US"/>
              </w:rPr>
              <w:t>²</w:t>
            </w:r>
          </w:p>
        </w:tc>
      </w:tr>
      <w:tr w:rsidR="00EF0FE6" w:rsidRPr="00EF0FE6" w14:paraId="3564268F"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474C7AEA"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5C142C5C"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0CF6BEF6" w14:textId="77777777" w:rsidR="00EF0FE6" w:rsidRPr="00EF0FE6" w:rsidRDefault="00EF0FE6" w:rsidP="00EF0FE6">
            <w:pPr>
              <w:spacing w:after="160" w:line="278" w:lineRule="auto"/>
              <w:rPr>
                <w:lang w:val="en-US"/>
              </w:rPr>
            </w:pPr>
            <w:r w:rsidRPr="00EF0FE6">
              <w:rPr>
                <w:lang w:val="en-US"/>
              </w:rPr>
              <w:t>IDH-wildtype</w:t>
            </w:r>
          </w:p>
        </w:tc>
        <w:tc>
          <w:tcPr>
            <w:tcW w:w="1624" w:type="dxa"/>
            <w:tcBorders>
              <w:top w:val="single" w:sz="4" w:space="0" w:color="auto"/>
              <w:left w:val="single" w:sz="4" w:space="0" w:color="auto"/>
              <w:bottom w:val="single" w:sz="4" w:space="0" w:color="auto"/>
              <w:right w:val="single" w:sz="4" w:space="0" w:color="auto"/>
            </w:tcBorders>
            <w:hideMark/>
          </w:tcPr>
          <w:p w14:paraId="7108884E" w14:textId="77777777" w:rsidR="00EF0FE6" w:rsidRPr="00EF0FE6" w:rsidRDefault="00EF0FE6" w:rsidP="00EF0FE6">
            <w:pPr>
              <w:spacing w:after="160" w:line="278" w:lineRule="auto"/>
              <w:rPr>
                <w:lang w:val="en-US"/>
              </w:rPr>
            </w:pPr>
            <w:r w:rsidRPr="00EF0FE6">
              <w:rPr>
                <w:lang w:val="en-US"/>
              </w:rPr>
              <w:t>44</w:t>
            </w:r>
          </w:p>
        </w:tc>
        <w:tc>
          <w:tcPr>
            <w:tcW w:w="1624" w:type="dxa"/>
            <w:tcBorders>
              <w:top w:val="single" w:sz="4" w:space="0" w:color="auto"/>
              <w:left w:val="single" w:sz="4" w:space="0" w:color="auto"/>
              <w:bottom w:val="single" w:sz="4" w:space="0" w:color="auto"/>
              <w:right w:val="single" w:sz="4" w:space="0" w:color="auto"/>
            </w:tcBorders>
            <w:hideMark/>
          </w:tcPr>
          <w:p w14:paraId="6F62073A" w14:textId="77777777" w:rsidR="00EF0FE6" w:rsidRPr="00EF0FE6" w:rsidRDefault="00EF0FE6" w:rsidP="00EF0FE6">
            <w:pPr>
              <w:spacing w:after="160" w:line="278" w:lineRule="auto"/>
              <w:rPr>
                <w:lang w:val="en-US"/>
              </w:rPr>
            </w:pPr>
            <w:r w:rsidRPr="00EF0FE6">
              <w:rPr>
                <w:lang w:val="en-US"/>
              </w:rPr>
              <w:t>32</w:t>
            </w:r>
          </w:p>
        </w:tc>
        <w:tc>
          <w:tcPr>
            <w:tcW w:w="1624" w:type="dxa"/>
            <w:tcBorders>
              <w:top w:val="single" w:sz="4" w:space="0" w:color="auto"/>
              <w:left w:val="single" w:sz="4" w:space="0" w:color="auto"/>
              <w:bottom w:val="single" w:sz="4" w:space="0" w:color="auto"/>
              <w:right w:val="single" w:sz="4" w:space="0" w:color="auto"/>
            </w:tcBorders>
            <w:hideMark/>
          </w:tcPr>
          <w:p w14:paraId="1EBC35AE" w14:textId="77777777" w:rsidR="00EF0FE6" w:rsidRPr="00EF0FE6" w:rsidRDefault="00EF0FE6" w:rsidP="00EF0FE6">
            <w:pPr>
              <w:spacing w:after="160" w:line="278" w:lineRule="auto"/>
              <w:rPr>
                <w:lang w:val="en-US"/>
              </w:rPr>
            </w:pPr>
            <w:r w:rsidRPr="00EF0FE6">
              <w:rPr>
                <w:lang w:val="en-US"/>
              </w:rPr>
              <w:t>0.355</w:t>
            </w:r>
          </w:p>
        </w:tc>
      </w:tr>
      <w:tr w:rsidR="00EF0FE6" w:rsidRPr="00EF0FE6" w14:paraId="5D07B4EC"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5E280753"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40ADF104"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6C03F593" w14:textId="77777777" w:rsidR="00EF0FE6" w:rsidRPr="00EF0FE6" w:rsidRDefault="00EF0FE6" w:rsidP="00EF0FE6">
            <w:pPr>
              <w:spacing w:after="160" w:line="278" w:lineRule="auto"/>
              <w:rPr>
                <w:lang w:val="en-US"/>
              </w:rPr>
            </w:pPr>
            <w:r w:rsidRPr="00EF0FE6">
              <w:rPr>
                <w:lang w:val="en-US"/>
              </w:rPr>
              <w:t>WHO grade II</w:t>
            </w:r>
          </w:p>
        </w:tc>
        <w:tc>
          <w:tcPr>
            <w:tcW w:w="1624" w:type="dxa"/>
            <w:tcBorders>
              <w:top w:val="single" w:sz="4" w:space="0" w:color="auto"/>
              <w:left w:val="single" w:sz="4" w:space="0" w:color="auto"/>
              <w:bottom w:val="single" w:sz="4" w:space="0" w:color="auto"/>
              <w:right w:val="single" w:sz="4" w:space="0" w:color="auto"/>
            </w:tcBorders>
            <w:hideMark/>
          </w:tcPr>
          <w:p w14:paraId="6EF10169" w14:textId="77777777" w:rsidR="00EF0FE6" w:rsidRPr="00EF0FE6" w:rsidRDefault="00EF0FE6" w:rsidP="00EF0FE6">
            <w:pPr>
              <w:spacing w:after="160" w:line="278" w:lineRule="auto"/>
              <w:rPr>
                <w:lang w:val="en-US"/>
              </w:rPr>
            </w:pPr>
            <w:r w:rsidRPr="00EF0FE6">
              <w:rPr>
                <w:lang w:val="en-US"/>
              </w:rPr>
              <w:t>98</w:t>
            </w:r>
          </w:p>
        </w:tc>
        <w:tc>
          <w:tcPr>
            <w:tcW w:w="1624" w:type="dxa"/>
            <w:tcBorders>
              <w:top w:val="single" w:sz="4" w:space="0" w:color="auto"/>
              <w:left w:val="single" w:sz="4" w:space="0" w:color="auto"/>
              <w:bottom w:val="single" w:sz="4" w:space="0" w:color="auto"/>
              <w:right w:val="single" w:sz="4" w:space="0" w:color="auto"/>
            </w:tcBorders>
            <w:hideMark/>
          </w:tcPr>
          <w:p w14:paraId="2ED00079" w14:textId="77777777" w:rsidR="00EF0FE6" w:rsidRPr="00EF0FE6" w:rsidRDefault="00EF0FE6" w:rsidP="00EF0FE6">
            <w:pPr>
              <w:spacing w:after="160" w:line="278" w:lineRule="auto"/>
              <w:rPr>
                <w:lang w:val="en-US"/>
              </w:rPr>
            </w:pPr>
            <w:r w:rsidRPr="00EF0FE6">
              <w:rPr>
                <w:lang w:val="en-US"/>
              </w:rPr>
              <w:t>36</w:t>
            </w:r>
          </w:p>
        </w:tc>
        <w:tc>
          <w:tcPr>
            <w:tcW w:w="1624" w:type="dxa"/>
            <w:tcBorders>
              <w:top w:val="single" w:sz="4" w:space="0" w:color="auto"/>
              <w:left w:val="single" w:sz="4" w:space="0" w:color="auto"/>
              <w:bottom w:val="single" w:sz="4" w:space="0" w:color="auto"/>
              <w:right w:val="single" w:sz="4" w:space="0" w:color="auto"/>
            </w:tcBorders>
            <w:hideMark/>
          </w:tcPr>
          <w:p w14:paraId="7CAEE803" w14:textId="77777777" w:rsidR="00EF0FE6" w:rsidRPr="00EF0FE6" w:rsidRDefault="00EF0FE6" w:rsidP="00EF0FE6">
            <w:pPr>
              <w:spacing w:after="160" w:line="278" w:lineRule="auto"/>
              <w:rPr>
                <w:lang w:val="en-US"/>
              </w:rPr>
            </w:pPr>
            <w:r w:rsidRPr="00EF0FE6">
              <w:rPr>
                <w:lang w:val="en-US"/>
              </w:rPr>
              <w:t>0.522</w:t>
            </w:r>
          </w:p>
        </w:tc>
      </w:tr>
      <w:tr w:rsidR="00EF0FE6" w:rsidRPr="00EF0FE6" w14:paraId="10D3C568"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0BB4A910"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2CC690CC" w14:textId="77777777" w:rsidR="00EF0FE6" w:rsidRPr="00EF0FE6" w:rsidRDefault="00EF0FE6" w:rsidP="00EF0FE6">
            <w:pPr>
              <w:spacing w:after="160" w:line="278" w:lineRule="auto"/>
              <w:rPr>
                <w:lang w:val="en-US"/>
              </w:rPr>
            </w:pPr>
            <w:r w:rsidRPr="00EF0FE6">
              <w:rPr>
                <w:lang w:val="en-US"/>
              </w:rPr>
              <w:t>Model A</w:t>
            </w:r>
          </w:p>
        </w:tc>
        <w:tc>
          <w:tcPr>
            <w:tcW w:w="1624" w:type="dxa"/>
            <w:tcBorders>
              <w:top w:val="single" w:sz="4" w:space="0" w:color="auto"/>
              <w:left w:val="single" w:sz="4" w:space="0" w:color="auto"/>
              <w:bottom w:val="single" w:sz="4" w:space="0" w:color="auto"/>
              <w:right w:val="single" w:sz="4" w:space="0" w:color="auto"/>
            </w:tcBorders>
            <w:hideMark/>
          </w:tcPr>
          <w:p w14:paraId="58ADAE9C" w14:textId="77777777" w:rsidR="00EF0FE6" w:rsidRPr="00EF0FE6" w:rsidRDefault="00EF0FE6" w:rsidP="00EF0FE6">
            <w:pPr>
              <w:spacing w:after="160" w:line="278" w:lineRule="auto"/>
              <w:rPr>
                <w:lang w:val="en-US"/>
              </w:rPr>
            </w:pPr>
            <w:r w:rsidRPr="00EF0FE6">
              <w:rPr>
                <w:lang w:val="en-US"/>
              </w:rPr>
              <w:t>WHO grade III</w:t>
            </w:r>
          </w:p>
        </w:tc>
        <w:tc>
          <w:tcPr>
            <w:tcW w:w="1624" w:type="dxa"/>
            <w:tcBorders>
              <w:top w:val="single" w:sz="4" w:space="0" w:color="auto"/>
              <w:left w:val="single" w:sz="4" w:space="0" w:color="auto"/>
              <w:bottom w:val="single" w:sz="4" w:space="0" w:color="auto"/>
              <w:right w:val="single" w:sz="4" w:space="0" w:color="auto"/>
            </w:tcBorders>
            <w:hideMark/>
          </w:tcPr>
          <w:p w14:paraId="1A1081F9" w14:textId="77777777" w:rsidR="00EF0FE6" w:rsidRPr="00EF0FE6" w:rsidRDefault="00EF0FE6" w:rsidP="00EF0FE6">
            <w:pPr>
              <w:spacing w:after="160" w:line="278" w:lineRule="auto"/>
              <w:rPr>
                <w:lang w:val="en-US"/>
              </w:rPr>
            </w:pPr>
            <w:r w:rsidRPr="00EF0FE6">
              <w:rPr>
                <w:lang w:val="en-US"/>
              </w:rPr>
              <w:t>74</w:t>
            </w:r>
          </w:p>
        </w:tc>
        <w:tc>
          <w:tcPr>
            <w:tcW w:w="1624" w:type="dxa"/>
            <w:tcBorders>
              <w:top w:val="single" w:sz="4" w:space="0" w:color="auto"/>
              <w:left w:val="single" w:sz="4" w:space="0" w:color="auto"/>
              <w:bottom w:val="single" w:sz="4" w:space="0" w:color="auto"/>
              <w:right w:val="single" w:sz="4" w:space="0" w:color="auto"/>
            </w:tcBorders>
            <w:hideMark/>
          </w:tcPr>
          <w:p w14:paraId="0656E522" w14:textId="77777777" w:rsidR="00EF0FE6" w:rsidRPr="00EF0FE6" w:rsidRDefault="00EF0FE6" w:rsidP="00EF0FE6">
            <w:pPr>
              <w:spacing w:after="160" w:line="278" w:lineRule="auto"/>
              <w:rPr>
                <w:lang w:val="en-US"/>
              </w:rPr>
            </w:pPr>
            <w:r w:rsidRPr="00EF0FE6">
              <w:rPr>
                <w:lang w:val="en-US"/>
              </w:rPr>
              <w:t>54</w:t>
            </w:r>
          </w:p>
        </w:tc>
        <w:tc>
          <w:tcPr>
            <w:tcW w:w="1624" w:type="dxa"/>
            <w:tcBorders>
              <w:top w:val="single" w:sz="4" w:space="0" w:color="auto"/>
              <w:left w:val="single" w:sz="4" w:space="0" w:color="auto"/>
              <w:bottom w:val="single" w:sz="4" w:space="0" w:color="auto"/>
              <w:right w:val="single" w:sz="4" w:space="0" w:color="auto"/>
            </w:tcBorders>
            <w:hideMark/>
          </w:tcPr>
          <w:p w14:paraId="4EA0FB41" w14:textId="77777777" w:rsidR="00EF0FE6" w:rsidRPr="00EF0FE6" w:rsidRDefault="00EF0FE6" w:rsidP="00EF0FE6">
            <w:pPr>
              <w:spacing w:after="160" w:line="278" w:lineRule="auto"/>
              <w:rPr>
                <w:lang w:val="en-US"/>
              </w:rPr>
            </w:pPr>
            <w:r w:rsidRPr="00EF0FE6">
              <w:rPr>
                <w:lang w:val="en-US"/>
              </w:rPr>
              <w:t>0.0191</w:t>
            </w:r>
          </w:p>
        </w:tc>
      </w:tr>
      <w:tr w:rsidR="00EF0FE6" w:rsidRPr="00EF0FE6" w14:paraId="36F835E4"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2748E3A0"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3251377C"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70CA5906" w14:textId="77777777" w:rsidR="00EF0FE6" w:rsidRPr="00EF0FE6" w:rsidRDefault="00EF0FE6" w:rsidP="00EF0FE6">
            <w:pPr>
              <w:spacing w:after="160" w:line="278" w:lineRule="auto"/>
              <w:rPr>
                <w:lang w:val="en-US"/>
              </w:rPr>
            </w:pPr>
            <w:r w:rsidRPr="00EF0FE6">
              <w:rPr>
                <w:lang w:val="en-US"/>
              </w:rPr>
              <w:t>WHO II-III (all)</w:t>
            </w:r>
          </w:p>
        </w:tc>
        <w:tc>
          <w:tcPr>
            <w:tcW w:w="1624" w:type="dxa"/>
            <w:tcBorders>
              <w:top w:val="single" w:sz="4" w:space="0" w:color="auto"/>
              <w:left w:val="single" w:sz="4" w:space="0" w:color="auto"/>
              <w:bottom w:val="single" w:sz="4" w:space="0" w:color="auto"/>
              <w:right w:val="single" w:sz="4" w:space="0" w:color="auto"/>
            </w:tcBorders>
            <w:hideMark/>
          </w:tcPr>
          <w:p w14:paraId="1DC6383D" w14:textId="77777777" w:rsidR="00EF0FE6" w:rsidRPr="00EF0FE6" w:rsidRDefault="00EF0FE6" w:rsidP="00EF0FE6">
            <w:pPr>
              <w:spacing w:after="160" w:line="278" w:lineRule="auto"/>
              <w:rPr>
                <w:lang w:val="en-US"/>
              </w:rPr>
            </w:pPr>
            <w:r w:rsidRPr="00EF0FE6">
              <w:rPr>
                <w:lang w:val="en-US"/>
              </w:rPr>
              <w:t>172</w:t>
            </w:r>
          </w:p>
        </w:tc>
        <w:tc>
          <w:tcPr>
            <w:tcW w:w="1624" w:type="dxa"/>
            <w:tcBorders>
              <w:top w:val="single" w:sz="4" w:space="0" w:color="auto"/>
              <w:left w:val="single" w:sz="4" w:space="0" w:color="auto"/>
              <w:bottom w:val="single" w:sz="4" w:space="0" w:color="auto"/>
              <w:right w:val="single" w:sz="4" w:space="0" w:color="auto"/>
            </w:tcBorders>
            <w:hideMark/>
          </w:tcPr>
          <w:p w14:paraId="586835C7" w14:textId="77777777" w:rsidR="00EF0FE6" w:rsidRPr="00EF0FE6" w:rsidRDefault="00EF0FE6" w:rsidP="00EF0FE6">
            <w:pPr>
              <w:spacing w:after="160" w:line="278" w:lineRule="auto"/>
              <w:rPr>
                <w:lang w:val="en-US"/>
              </w:rPr>
            </w:pPr>
            <w:r w:rsidRPr="00EF0FE6">
              <w:rPr>
                <w:lang w:val="en-US"/>
              </w:rPr>
              <w:t>90</w:t>
            </w:r>
          </w:p>
        </w:tc>
        <w:tc>
          <w:tcPr>
            <w:tcW w:w="1624" w:type="dxa"/>
            <w:tcBorders>
              <w:top w:val="single" w:sz="4" w:space="0" w:color="auto"/>
              <w:left w:val="single" w:sz="4" w:space="0" w:color="auto"/>
              <w:bottom w:val="single" w:sz="4" w:space="0" w:color="auto"/>
              <w:right w:val="single" w:sz="4" w:space="0" w:color="auto"/>
            </w:tcBorders>
            <w:hideMark/>
          </w:tcPr>
          <w:p w14:paraId="30E40749" w14:textId="77777777" w:rsidR="00EF0FE6" w:rsidRPr="00EF0FE6" w:rsidRDefault="00EF0FE6" w:rsidP="00EF0FE6">
            <w:pPr>
              <w:spacing w:after="160" w:line="278" w:lineRule="auto"/>
              <w:rPr>
                <w:lang w:val="en-US"/>
              </w:rPr>
            </w:pPr>
            <w:r w:rsidRPr="00EF0FE6">
              <w:rPr>
                <w:lang w:val="en-US"/>
              </w:rPr>
              <w:t>6.61 × 10</w:t>
            </w:r>
            <w:r w:rsidRPr="00EF0FE6">
              <w:rPr>
                <w:rFonts w:ascii="Cambria Math" w:hAnsi="Cambria Math" w:cs="Cambria Math"/>
                <w:lang w:val="en-US"/>
              </w:rPr>
              <w:t>⁻</w:t>
            </w:r>
            <w:r w:rsidRPr="00EF0FE6">
              <w:rPr>
                <w:rFonts w:ascii="Aptos" w:hAnsi="Aptos" w:cs="Aptos"/>
                <w:lang w:val="en-US"/>
              </w:rPr>
              <w:t>¹¹</w:t>
            </w:r>
          </w:p>
        </w:tc>
      </w:tr>
      <w:tr w:rsidR="00EF0FE6" w:rsidRPr="00EF0FE6" w14:paraId="498FB59E"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6B383269"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65F2C407"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2D573150" w14:textId="77777777" w:rsidR="00EF0FE6" w:rsidRPr="00EF0FE6" w:rsidRDefault="00EF0FE6" w:rsidP="00EF0FE6">
            <w:pPr>
              <w:spacing w:after="160" w:line="278" w:lineRule="auto"/>
              <w:rPr>
                <w:lang w:val="en-US"/>
              </w:rPr>
            </w:pPr>
            <w:r w:rsidRPr="00EF0FE6">
              <w:rPr>
                <w:lang w:val="en-US"/>
              </w:rPr>
              <w:t>IDH-mutant</w:t>
            </w:r>
          </w:p>
        </w:tc>
        <w:tc>
          <w:tcPr>
            <w:tcW w:w="1624" w:type="dxa"/>
            <w:tcBorders>
              <w:top w:val="single" w:sz="4" w:space="0" w:color="auto"/>
              <w:left w:val="single" w:sz="4" w:space="0" w:color="auto"/>
              <w:bottom w:val="single" w:sz="4" w:space="0" w:color="auto"/>
              <w:right w:val="single" w:sz="4" w:space="0" w:color="auto"/>
            </w:tcBorders>
            <w:hideMark/>
          </w:tcPr>
          <w:p w14:paraId="050B8BB4" w14:textId="77777777" w:rsidR="00EF0FE6" w:rsidRPr="00EF0FE6" w:rsidRDefault="00EF0FE6" w:rsidP="00EF0FE6">
            <w:pPr>
              <w:spacing w:after="160" w:line="278" w:lineRule="auto"/>
              <w:rPr>
                <w:lang w:val="en-US"/>
              </w:rPr>
            </w:pPr>
            <w:r w:rsidRPr="00EF0FE6">
              <w:rPr>
                <w:lang w:val="en-US"/>
              </w:rPr>
              <w:t>127</w:t>
            </w:r>
          </w:p>
        </w:tc>
        <w:tc>
          <w:tcPr>
            <w:tcW w:w="1624" w:type="dxa"/>
            <w:tcBorders>
              <w:top w:val="single" w:sz="4" w:space="0" w:color="auto"/>
              <w:left w:val="single" w:sz="4" w:space="0" w:color="auto"/>
              <w:bottom w:val="single" w:sz="4" w:space="0" w:color="auto"/>
              <w:right w:val="single" w:sz="4" w:space="0" w:color="auto"/>
            </w:tcBorders>
            <w:hideMark/>
          </w:tcPr>
          <w:p w14:paraId="26FB305D" w14:textId="77777777" w:rsidR="00EF0FE6" w:rsidRPr="00EF0FE6" w:rsidRDefault="00EF0FE6" w:rsidP="00EF0FE6">
            <w:pPr>
              <w:spacing w:after="160" w:line="278" w:lineRule="auto"/>
              <w:rPr>
                <w:lang w:val="en-US"/>
              </w:rPr>
            </w:pPr>
            <w:r w:rsidRPr="00EF0FE6">
              <w:rPr>
                <w:lang w:val="en-US"/>
              </w:rPr>
              <w:t>58</w:t>
            </w:r>
          </w:p>
        </w:tc>
        <w:tc>
          <w:tcPr>
            <w:tcW w:w="1624" w:type="dxa"/>
            <w:tcBorders>
              <w:top w:val="single" w:sz="4" w:space="0" w:color="auto"/>
              <w:left w:val="single" w:sz="4" w:space="0" w:color="auto"/>
              <w:bottom w:val="single" w:sz="4" w:space="0" w:color="auto"/>
              <w:right w:val="single" w:sz="4" w:space="0" w:color="auto"/>
            </w:tcBorders>
            <w:hideMark/>
          </w:tcPr>
          <w:p w14:paraId="0D7B2D90" w14:textId="77777777" w:rsidR="00EF0FE6" w:rsidRPr="00EF0FE6" w:rsidRDefault="00EF0FE6" w:rsidP="00EF0FE6">
            <w:pPr>
              <w:spacing w:after="160" w:line="278" w:lineRule="auto"/>
              <w:rPr>
                <w:lang w:val="en-US"/>
              </w:rPr>
            </w:pPr>
            <w:r w:rsidRPr="00EF0FE6">
              <w:rPr>
                <w:lang w:val="en-US"/>
              </w:rPr>
              <w:t>2.22 × 10</w:t>
            </w:r>
            <w:r w:rsidRPr="00EF0FE6">
              <w:rPr>
                <w:rFonts w:ascii="Cambria Math" w:hAnsi="Cambria Math" w:cs="Cambria Math"/>
                <w:lang w:val="en-US"/>
              </w:rPr>
              <w:t>⁻</w:t>
            </w:r>
            <w:r w:rsidRPr="00EF0FE6">
              <w:rPr>
                <w:rFonts w:ascii="Aptos" w:hAnsi="Aptos" w:cs="Aptos"/>
                <w:lang w:val="en-US"/>
              </w:rPr>
              <w:t>⁶</w:t>
            </w:r>
          </w:p>
        </w:tc>
      </w:tr>
      <w:tr w:rsidR="00EF0FE6" w:rsidRPr="00EF0FE6" w14:paraId="775C7C99"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2937531B"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4A7BEB14"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0EF647EB" w14:textId="77777777" w:rsidR="00EF0FE6" w:rsidRPr="00EF0FE6" w:rsidRDefault="00EF0FE6" w:rsidP="00EF0FE6">
            <w:pPr>
              <w:spacing w:after="160" w:line="278" w:lineRule="auto"/>
              <w:rPr>
                <w:lang w:val="en-US"/>
              </w:rPr>
            </w:pPr>
            <w:r w:rsidRPr="00EF0FE6">
              <w:rPr>
                <w:lang w:val="en-US"/>
              </w:rPr>
              <w:t>IDH-wildtype</w:t>
            </w:r>
          </w:p>
        </w:tc>
        <w:tc>
          <w:tcPr>
            <w:tcW w:w="1624" w:type="dxa"/>
            <w:tcBorders>
              <w:top w:val="single" w:sz="4" w:space="0" w:color="auto"/>
              <w:left w:val="single" w:sz="4" w:space="0" w:color="auto"/>
              <w:bottom w:val="single" w:sz="4" w:space="0" w:color="auto"/>
              <w:right w:val="single" w:sz="4" w:space="0" w:color="auto"/>
            </w:tcBorders>
            <w:hideMark/>
          </w:tcPr>
          <w:p w14:paraId="1931BA32" w14:textId="77777777" w:rsidR="00EF0FE6" w:rsidRPr="00EF0FE6" w:rsidRDefault="00EF0FE6" w:rsidP="00EF0FE6">
            <w:pPr>
              <w:spacing w:after="160" w:line="278" w:lineRule="auto"/>
              <w:rPr>
                <w:lang w:val="en-US"/>
              </w:rPr>
            </w:pPr>
            <w:r w:rsidRPr="00EF0FE6">
              <w:rPr>
                <w:lang w:val="en-US"/>
              </w:rPr>
              <w:t>44</w:t>
            </w:r>
          </w:p>
        </w:tc>
        <w:tc>
          <w:tcPr>
            <w:tcW w:w="1624" w:type="dxa"/>
            <w:tcBorders>
              <w:top w:val="single" w:sz="4" w:space="0" w:color="auto"/>
              <w:left w:val="single" w:sz="4" w:space="0" w:color="auto"/>
              <w:bottom w:val="single" w:sz="4" w:space="0" w:color="auto"/>
              <w:right w:val="single" w:sz="4" w:space="0" w:color="auto"/>
            </w:tcBorders>
            <w:hideMark/>
          </w:tcPr>
          <w:p w14:paraId="23C0D001" w14:textId="77777777" w:rsidR="00EF0FE6" w:rsidRPr="00EF0FE6" w:rsidRDefault="00EF0FE6" w:rsidP="00EF0FE6">
            <w:pPr>
              <w:spacing w:after="160" w:line="278" w:lineRule="auto"/>
              <w:rPr>
                <w:lang w:val="en-US"/>
              </w:rPr>
            </w:pPr>
            <w:r w:rsidRPr="00EF0FE6">
              <w:rPr>
                <w:lang w:val="en-US"/>
              </w:rPr>
              <w:t>32</w:t>
            </w:r>
          </w:p>
        </w:tc>
        <w:tc>
          <w:tcPr>
            <w:tcW w:w="1624" w:type="dxa"/>
            <w:tcBorders>
              <w:top w:val="single" w:sz="4" w:space="0" w:color="auto"/>
              <w:left w:val="single" w:sz="4" w:space="0" w:color="auto"/>
              <w:bottom w:val="single" w:sz="4" w:space="0" w:color="auto"/>
              <w:right w:val="single" w:sz="4" w:space="0" w:color="auto"/>
            </w:tcBorders>
            <w:hideMark/>
          </w:tcPr>
          <w:p w14:paraId="36F886E9" w14:textId="77777777" w:rsidR="00EF0FE6" w:rsidRPr="00EF0FE6" w:rsidRDefault="00EF0FE6" w:rsidP="00EF0FE6">
            <w:pPr>
              <w:spacing w:after="160" w:line="278" w:lineRule="auto"/>
              <w:rPr>
                <w:lang w:val="en-US"/>
              </w:rPr>
            </w:pPr>
            <w:r w:rsidRPr="00EF0FE6">
              <w:rPr>
                <w:lang w:val="en-US"/>
              </w:rPr>
              <w:t>2.17 × 10</w:t>
            </w:r>
            <w:r w:rsidRPr="00EF0FE6">
              <w:rPr>
                <w:rFonts w:ascii="Cambria Math" w:hAnsi="Cambria Math" w:cs="Cambria Math"/>
                <w:lang w:val="en-US"/>
              </w:rPr>
              <w:t>⁻</w:t>
            </w:r>
            <w:r w:rsidRPr="00EF0FE6">
              <w:rPr>
                <w:rFonts w:ascii="Aptos" w:hAnsi="Aptos" w:cs="Aptos"/>
                <w:lang w:val="en-US"/>
              </w:rPr>
              <w:t>³</w:t>
            </w:r>
          </w:p>
        </w:tc>
      </w:tr>
      <w:tr w:rsidR="00EF0FE6" w:rsidRPr="00EF0FE6" w14:paraId="2384491B"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3224DF43"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4B95D38C"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4DE18344" w14:textId="77777777" w:rsidR="00EF0FE6" w:rsidRPr="00EF0FE6" w:rsidRDefault="00EF0FE6" w:rsidP="00EF0FE6">
            <w:pPr>
              <w:spacing w:after="160" w:line="278" w:lineRule="auto"/>
              <w:rPr>
                <w:lang w:val="en-US"/>
              </w:rPr>
            </w:pPr>
            <w:r w:rsidRPr="00EF0FE6">
              <w:rPr>
                <w:lang w:val="en-US"/>
              </w:rPr>
              <w:t>WHO grade II</w:t>
            </w:r>
          </w:p>
        </w:tc>
        <w:tc>
          <w:tcPr>
            <w:tcW w:w="1624" w:type="dxa"/>
            <w:tcBorders>
              <w:top w:val="single" w:sz="4" w:space="0" w:color="auto"/>
              <w:left w:val="single" w:sz="4" w:space="0" w:color="auto"/>
              <w:bottom w:val="single" w:sz="4" w:space="0" w:color="auto"/>
              <w:right w:val="single" w:sz="4" w:space="0" w:color="auto"/>
            </w:tcBorders>
            <w:hideMark/>
          </w:tcPr>
          <w:p w14:paraId="5F75A6A3" w14:textId="77777777" w:rsidR="00EF0FE6" w:rsidRPr="00EF0FE6" w:rsidRDefault="00EF0FE6" w:rsidP="00EF0FE6">
            <w:pPr>
              <w:spacing w:after="160" w:line="278" w:lineRule="auto"/>
              <w:rPr>
                <w:lang w:val="en-US"/>
              </w:rPr>
            </w:pPr>
            <w:r w:rsidRPr="00EF0FE6">
              <w:rPr>
                <w:lang w:val="en-US"/>
              </w:rPr>
              <w:t>98</w:t>
            </w:r>
          </w:p>
        </w:tc>
        <w:tc>
          <w:tcPr>
            <w:tcW w:w="1624" w:type="dxa"/>
            <w:tcBorders>
              <w:top w:val="single" w:sz="4" w:space="0" w:color="auto"/>
              <w:left w:val="single" w:sz="4" w:space="0" w:color="auto"/>
              <w:bottom w:val="single" w:sz="4" w:space="0" w:color="auto"/>
              <w:right w:val="single" w:sz="4" w:space="0" w:color="auto"/>
            </w:tcBorders>
            <w:hideMark/>
          </w:tcPr>
          <w:p w14:paraId="3F869A60" w14:textId="77777777" w:rsidR="00EF0FE6" w:rsidRPr="00EF0FE6" w:rsidRDefault="00EF0FE6" w:rsidP="00EF0FE6">
            <w:pPr>
              <w:spacing w:after="160" w:line="278" w:lineRule="auto"/>
              <w:rPr>
                <w:lang w:val="en-US"/>
              </w:rPr>
            </w:pPr>
            <w:r w:rsidRPr="00EF0FE6">
              <w:rPr>
                <w:lang w:val="en-US"/>
              </w:rPr>
              <w:t>36</w:t>
            </w:r>
          </w:p>
        </w:tc>
        <w:tc>
          <w:tcPr>
            <w:tcW w:w="1624" w:type="dxa"/>
            <w:tcBorders>
              <w:top w:val="single" w:sz="4" w:space="0" w:color="auto"/>
              <w:left w:val="single" w:sz="4" w:space="0" w:color="auto"/>
              <w:bottom w:val="single" w:sz="4" w:space="0" w:color="auto"/>
              <w:right w:val="single" w:sz="4" w:space="0" w:color="auto"/>
            </w:tcBorders>
            <w:hideMark/>
          </w:tcPr>
          <w:p w14:paraId="29DD2294" w14:textId="77777777" w:rsidR="00EF0FE6" w:rsidRPr="00EF0FE6" w:rsidRDefault="00EF0FE6" w:rsidP="00EF0FE6">
            <w:pPr>
              <w:spacing w:after="160" w:line="278" w:lineRule="auto"/>
              <w:rPr>
                <w:lang w:val="en-US"/>
              </w:rPr>
            </w:pPr>
            <w:r w:rsidRPr="00EF0FE6">
              <w:rPr>
                <w:lang w:val="en-US"/>
              </w:rPr>
              <w:t>1.83 × 10</w:t>
            </w:r>
            <w:r w:rsidRPr="00EF0FE6">
              <w:rPr>
                <w:rFonts w:ascii="Cambria Math" w:hAnsi="Cambria Math" w:cs="Cambria Math"/>
                <w:lang w:val="en-US"/>
              </w:rPr>
              <w:t>⁻</w:t>
            </w:r>
            <w:r w:rsidRPr="00EF0FE6">
              <w:rPr>
                <w:rFonts w:ascii="Aptos" w:hAnsi="Aptos" w:cs="Aptos"/>
                <w:lang w:val="en-US"/>
              </w:rPr>
              <w:t>³</w:t>
            </w:r>
          </w:p>
        </w:tc>
      </w:tr>
      <w:tr w:rsidR="00EF0FE6" w:rsidRPr="00EF0FE6" w14:paraId="4EFABC3B" w14:textId="77777777">
        <w:trPr>
          <w:jc w:val="center"/>
        </w:trPr>
        <w:tc>
          <w:tcPr>
            <w:tcW w:w="1624" w:type="dxa"/>
            <w:tcBorders>
              <w:top w:val="single" w:sz="4" w:space="0" w:color="auto"/>
              <w:left w:val="single" w:sz="4" w:space="0" w:color="auto"/>
              <w:bottom w:val="single" w:sz="4" w:space="0" w:color="auto"/>
              <w:right w:val="single" w:sz="4" w:space="0" w:color="auto"/>
            </w:tcBorders>
            <w:hideMark/>
          </w:tcPr>
          <w:p w14:paraId="24F55346" w14:textId="77777777" w:rsidR="00EF0FE6" w:rsidRPr="00EF0FE6" w:rsidRDefault="00EF0FE6" w:rsidP="00EF0FE6">
            <w:pPr>
              <w:spacing w:after="160" w:line="278" w:lineRule="auto"/>
              <w:rPr>
                <w:lang w:val="en-US"/>
              </w:rPr>
            </w:pPr>
            <w:r w:rsidRPr="00EF0FE6">
              <w:rPr>
                <w:lang w:val="en-US"/>
              </w:rPr>
              <w:t>CGGA-325</w:t>
            </w:r>
          </w:p>
        </w:tc>
        <w:tc>
          <w:tcPr>
            <w:tcW w:w="1624" w:type="dxa"/>
            <w:tcBorders>
              <w:top w:val="single" w:sz="4" w:space="0" w:color="auto"/>
              <w:left w:val="single" w:sz="4" w:space="0" w:color="auto"/>
              <w:bottom w:val="single" w:sz="4" w:space="0" w:color="auto"/>
              <w:right w:val="single" w:sz="4" w:space="0" w:color="auto"/>
            </w:tcBorders>
            <w:hideMark/>
          </w:tcPr>
          <w:p w14:paraId="72885C53" w14:textId="77777777" w:rsidR="00EF0FE6" w:rsidRPr="00EF0FE6" w:rsidRDefault="00EF0FE6" w:rsidP="00EF0FE6">
            <w:pPr>
              <w:spacing w:after="160" w:line="278" w:lineRule="auto"/>
              <w:rPr>
                <w:lang w:val="en-US"/>
              </w:rPr>
            </w:pPr>
            <w:r w:rsidRPr="00EF0FE6">
              <w:rPr>
                <w:lang w:val="en-US"/>
              </w:rPr>
              <w:t>MRG-4</w:t>
            </w:r>
          </w:p>
        </w:tc>
        <w:tc>
          <w:tcPr>
            <w:tcW w:w="1624" w:type="dxa"/>
            <w:tcBorders>
              <w:top w:val="single" w:sz="4" w:space="0" w:color="auto"/>
              <w:left w:val="single" w:sz="4" w:space="0" w:color="auto"/>
              <w:bottom w:val="single" w:sz="4" w:space="0" w:color="auto"/>
              <w:right w:val="single" w:sz="4" w:space="0" w:color="auto"/>
            </w:tcBorders>
            <w:hideMark/>
          </w:tcPr>
          <w:p w14:paraId="744AC952" w14:textId="77777777" w:rsidR="00EF0FE6" w:rsidRPr="00EF0FE6" w:rsidRDefault="00EF0FE6" w:rsidP="00EF0FE6">
            <w:pPr>
              <w:spacing w:after="160" w:line="278" w:lineRule="auto"/>
              <w:rPr>
                <w:lang w:val="en-US"/>
              </w:rPr>
            </w:pPr>
            <w:r w:rsidRPr="00EF0FE6">
              <w:rPr>
                <w:lang w:val="en-US"/>
              </w:rPr>
              <w:t>WHO grade III</w:t>
            </w:r>
          </w:p>
        </w:tc>
        <w:tc>
          <w:tcPr>
            <w:tcW w:w="1624" w:type="dxa"/>
            <w:tcBorders>
              <w:top w:val="single" w:sz="4" w:space="0" w:color="auto"/>
              <w:left w:val="single" w:sz="4" w:space="0" w:color="auto"/>
              <w:bottom w:val="single" w:sz="4" w:space="0" w:color="auto"/>
              <w:right w:val="single" w:sz="4" w:space="0" w:color="auto"/>
            </w:tcBorders>
            <w:hideMark/>
          </w:tcPr>
          <w:p w14:paraId="741A41A7" w14:textId="77777777" w:rsidR="00EF0FE6" w:rsidRPr="00EF0FE6" w:rsidRDefault="00EF0FE6" w:rsidP="00EF0FE6">
            <w:pPr>
              <w:spacing w:after="160" w:line="278" w:lineRule="auto"/>
              <w:rPr>
                <w:lang w:val="en-US"/>
              </w:rPr>
            </w:pPr>
            <w:r w:rsidRPr="00EF0FE6">
              <w:rPr>
                <w:lang w:val="en-US"/>
              </w:rPr>
              <w:t>74</w:t>
            </w:r>
          </w:p>
        </w:tc>
        <w:tc>
          <w:tcPr>
            <w:tcW w:w="1624" w:type="dxa"/>
            <w:tcBorders>
              <w:top w:val="single" w:sz="4" w:space="0" w:color="auto"/>
              <w:left w:val="single" w:sz="4" w:space="0" w:color="auto"/>
              <w:bottom w:val="single" w:sz="4" w:space="0" w:color="auto"/>
              <w:right w:val="single" w:sz="4" w:space="0" w:color="auto"/>
            </w:tcBorders>
            <w:hideMark/>
          </w:tcPr>
          <w:p w14:paraId="2E558F0B" w14:textId="77777777" w:rsidR="00EF0FE6" w:rsidRPr="00EF0FE6" w:rsidRDefault="00EF0FE6" w:rsidP="00EF0FE6">
            <w:pPr>
              <w:spacing w:after="160" w:line="278" w:lineRule="auto"/>
              <w:rPr>
                <w:lang w:val="en-US"/>
              </w:rPr>
            </w:pPr>
            <w:r w:rsidRPr="00EF0FE6">
              <w:rPr>
                <w:lang w:val="en-US"/>
              </w:rPr>
              <w:t>54</w:t>
            </w:r>
          </w:p>
        </w:tc>
        <w:tc>
          <w:tcPr>
            <w:tcW w:w="1624" w:type="dxa"/>
            <w:tcBorders>
              <w:top w:val="single" w:sz="4" w:space="0" w:color="auto"/>
              <w:left w:val="single" w:sz="4" w:space="0" w:color="auto"/>
              <w:bottom w:val="single" w:sz="4" w:space="0" w:color="auto"/>
              <w:right w:val="single" w:sz="4" w:space="0" w:color="auto"/>
            </w:tcBorders>
            <w:hideMark/>
          </w:tcPr>
          <w:p w14:paraId="235D57B7" w14:textId="77777777" w:rsidR="00EF0FE6" w:rsidRPr="00EF0FE6" w:rsidRDefault="00EF0FE6" w:rsidP="00EF0FE6">
            <w:pPr>
              <w:spacing w:after="160" w:line="278" w:lineRule="auto"/>
              <w:rPr>
                <w:lang w:val="en-US"/>
              </w:rPr>
            </w:pPr>
            <w:r w:rsidRPr="00EF0FE6">
              <w:rPr>
                <w:lang w:val="en-US"/>
              </w:rPr>
              <w:t>3.07 × 10</w:t>
            </w:r>
            <w:r w:rsidRPr="00EF0FE6">
              <w:rPr>
                <w:rFonts w:ascii="Cambria Math" w:hAnsi="Cambria Math" w:cs="Cambria Math"/>
                <w:lang w:val="en-US"/>
              </w:rPr>
              <w:t>⁻</w:t>
            </w:r>
            <w:r w:rsidRPr="00EF0FE6">
              <w:rPr>
                <w:rFonts w:ascii="Aptos" w:hAnsi="Aptos" w:cs="Aptos"/>
                <w:lang w:val="en-US"/>
              </w:rPr>
              <w:t>⁵</w:t>
            </w:r>
          </w:p>
        </w:tc>
      </w:tr>
    </w:tbl>
    <w:p w14:paraId="0413F87B" w14:textId="77777777" w:rsidR="00EF0FE6" w:rsidRPr="00EF0FE6" w:rsidRDefault="00EF0FE6" w:rsidP="00EF0FE6">
      <w:pPr>
        <w:rPr>
          <w:lang w:val="en-US"/>
        </w:rPr>
      </w:pPr>
    </w:p>
    <w:p w14:paraId="0D304062" w14:textId="77777777" w:rsidR="00EF0FE6" w:rsidRPr="00EF0FE6" w:rsidRDefault="00EF0FE6" w:rsidP="00EF0FE6">
      <w:pPr>
        <w:rPr>
          <w:lang w:val="en-US"/>
        </w:rPr>
      </w:pPr>
      <w:r w:rsidRPr="00EF0FE6">
        <w:rPr>
          <w:b/>
          <w:lang w:val="en-US"/>
        </w:rPr>
        <w:t>Supplementary Table S30.</w:t>
      </w:r>
      <w:r w:rsidRPr="00EF0FE6">
        <w:rPr>
          <w:lang w:val="en-US"/>
        </w:rPr>
        <w:t xml:space="preserve"> Uncertainty of the principal quantities: each headline number with its interval or stated denominator, and a column recording what the number does and does not support. Every headline quantity is given with its interval or </w:t>
      </w:r>
      <w:r w:rsidRPr="00EF0FE6">
        <w:rPr>
          <w:lang w:val="en-US"/>
        </w:rPr>
        <w:lastRenderedPageBreak/>
        <w:t>its stated denominator, and the table is the reference for every "uncertainty" statement in the text. The data are deposited as Table_S30_uncertainty.csv.</w:t>
      </w:r>
    </w:p>
    <w:tbl>
      <w:tblPr>
        <w:tblStyle w:val="TableGrid"/>
        <w:tblW w:w="0" w:type="auto"/>
        <w:jc w:val="center"/>
        <w:tblLook w:val="04A0" w:firstRow="1" w:lastRow="0" w:firstColumn="1" w:lastColumn="0" w:noHBand="0" w:noVBand="1"/>
      </w:tblPr>
      <w:tblGrid>
        <w:gridCol w:w="3007"/>
        <w:gridCol w:w="2977"/>
        <w:gridCol w:w="3032"/>
      </w:tblGrid>
      <w:tr w:rsidR="00EF0FE6" w:rsidRPr="00EF0FE6" w14:paraId="23E01CCD"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0F229DD6" w14:textId="77777777" w:rsidR="00EF0FE6" w:rsidRPr="00EF0FE6" w:rsidRDefault="00EF0FE6" w:rsidP="00EF0FE6">
            <w:pPr>
              <w:spacing w:after="160" w:line="278" w:lineRule="auto"/>
              <w:rPr>
                <w:lang w:val="en-US"/>
              </w:rPr>
            </w:pPr>
            <w:r w:rsidRPr="00EF0FE6">
              <w:rPr>
                <w:b/>
                <w:lang w:val="en-US"/>
              </w:rPr>
              <w:t>Quantity</w:t>
            </w:r>
          </w:p>
        </w:tc>
        <w:tc>
          <w:tcPr>
            <w:tcW w:w="3249" w:type="dxa"/>
            <w:tcBorders>
              <w:top w:val="single" w:sz="4" w:space="0" w:color="auto"/>
              <w:left w:val="single" w:sz="4" w:space="0" w:color="auto"/>
              <w:bottom w:val="single" w:sz="4" w:space="0" w:color="auto"/>
              <w:right w:val="single" w:sz="4" w:space="0" w:color="auto"/>
            </w:tcBorders>
            <w:hideMark/>
          </w:tcPr>
          <w:p w14:paraId="3E0DD0FE" w14:textId="77777777" w:rsidR="00EF0FE6" w:rsidRPr="00EF0FE6" w:rsidRDefault="00EF0FE6" w:rsidP="00EF0FE6">
            <w:pPr>
              <w:spacing w:after="160" w:line="278" w:lineRule="auto"/>
              <w:rPr>
                <w:lang w:val="en-US"/>
              </w:rPr>
            </w:pPr>
            <w:r w:rsidRPr="00EF0FE6">
              <w:rPr>
                <w:b/>
                <w:lang w:val="en-US"/>
              </w:rPr>
              <w:t>Value</w:t>
            </w:r>
          </w:p>
        </w:tc>
        <w:tc>
          <w:tcPr>
            <w:tcW w:w="3249" w:type="dxa"/>
            <w:tcBorders>
              <w:top w:val="single" w:sz="4" w:space="0" w:color="auto"/>
              <w:left w:val="single" w:sz="4" w:space="0" w:color="auto"/>
              <w:bottom w:val="single" w:sz="4" w:space="0" w:color="auto"/>
              <w:right w:val="single" w:sz="4" w:space="0" w:color="auto"/>
            </w:tcBorders>
            <w:hideMark/>
          </w:tcPr>
          <w:p w14:paraId="3317673B" w14:textId="77777777" w:rsidR="00EF0FE6" w:rsidRPr="00EF0FE6" w:rsidRDefault="00EF0FE6" w:rsidP="00EF0FE6">
            <w:pPr>
              <w:spacing w:after="160" w:line="278" w:lineRule="auto"/>
              <w:rPr>
                <w:lang w:val="en-US"/>
              </w:rPr>
            </w:pPr>
            <w:r w:rsidRPr="00EF0FE6">
              <w:rPr>
                <w:b/>
                <w:lang w:val="en-US"/>
              </w:rPr>
              <w:t>Uncertainty or note</w:t>
            </w:r>
          </w:p>
        </w:tc>
      </w:tr>
      <w:tr w:rsidR="00EF0FE6" w:rsidRPr="00EF0FE6" w14:paraId="7FD17180"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7BD9A32" w14:textId="77777777" w:rsidR="00EF0FE6" w:rsidRPr="00EF0FE6" w:rsidRDefault="00EF0FE6" w:rsidP="00EF0FE6">
            <w:pPr>
              <w:spacing w:after="160" w:line="278" w:lineRule="auto"/>
              <w:rPr>
                <w:lang w:val="en-US"/>
              </w:rPr>
            </w:pPr>
            <w:r w:rsidRPr="00EF0FE6">
              <w:rPr>
                <w:lang w:val="en-US"/>
              </w:rPr>
              <w:t>External C-index, CGGA-325 WHO II–III, cohort z</w:t>
            </w:r>
          </w:p>
        </w:tc>
        <w:tc>
          <w:tcPr>
            <w:tcW w:w="3249" w:type="dxa"/>
            <w:tcBorders>
              <w:top w:val="single" w:sz="4" w:space="0" w:color="auto"/>
              <w:left w:val="single" w:sz="4" w:space="0" w:color="auto"/>
              <w:bottom w:val="single" w:sz="4" w:space="0" w:color="auto"/>
              <w:right w:val="single" w:sz="4" w:space="0" w:color="auto"/>
            </w:tcBorders>
            <w:hideMark/>
          </w:tcPr>
          <w:p w14:paraId="6FD15311" w14:textId="77777777" w:rsidR="00EF0FE6" w:rsidRPr="00EF0FE6" w:rsidRDefault="00EF0FE6" w:rsidP="00EF0FE6">
            <w:pPr>
              <w:spacing w:after="160" w:line="278" w:lineRule="auto"/>
              <w:rPr>
                <w:lang w:val="en-US"/>
              </w:rPr>
            </w:pPr>
            <w:r w:rsidRPr="00EF0FE6">
              <w:rPr>
                <w:lang w:val="en-US"/>
              </w:rPr>
              <w:t>MRG-4 0.769 vs Model A 0.664</w:t>
            </w:r>
          </w:p>
        </w:tc>
        <w:tc>
          <w:tcPr>
            <w:tcW w:w="3249" w:type="dxa"/>
            <w:tcBorders>
              <w:top w:val="single" w:sz="4" w:space="0" w:color="auto"/>
              <w:left w:val="single" w:sz="4" w:space="0" w:color="auto"/>
              <w:bottom w:val="single" w:sz="4" w:space="0" w:color="auto"/>
              <w:right w:val="single" w:sz="4" w:space="0" w:color="auto"/>
            </w:tcBorders>
            <w:hideMark/>
          </w:tcPr>
          <w:p w14:paraId="4C6CAA63" w14:textId="77777777" w:rsidR="00EF0FE6" w:rsidRPr="00EF0FE6" w:rsidRDefault="00EF0FE6" w:rsidP="00EF0FE6">
            <w:pPr>
              <w:spacing w:after="160" w:line="278" w:lineRule="auto"/>
              <w:rPr>
                <w:lang w:val="en-US"/>
              </w:rPr>
            </w:pPr>
            <w:r w:rsidRPr="00EF0FE6">
              <w:rPr>
                <w:lang w:val="en-US"/>
              </w:rPr>
              <w:t>bootstrap 95% CI over patients, 2,000 resamples: MRG-4 0.722–0.812, Model A 0.610–0.715; under discovery-SD scaling 0.731 (0.682–0.776) vs 0.620; five-gene version 0.755</w:t>
            </w:r>
          </w:p>
        </w:tc>
      </w:tr>
      <w:tr w:rsidR="00EF0FE6" w:rsidRPr="00EF0FE6" w14:paraId="71E5902E"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20FC3E07" w14:textId="77777777" w:rsidR="00EF0FE6" w:rsidRPr="00EF0FE6" w:rsidRDefault="00EF0FE6" w:rsidP="00EF0FE6">
            <w:pPr>
              <w:spacing w:after="160" w:line="278" w:lineRule="auto"/>
              <w:rPr>
                <w:lang w:val="en-US"/>
              </w:rPr>
            </w:pPr>
            <w:r w:rsidRPr="00EF0FE6">
              <w:rPr>
                <w:lang w:val="en-US"/>
              </w:rPr>
              <w:t>Difference in external C-index (MRG-4 − Model A)</w:t>
            </w:r>
          </w:p>
        </w:tc>
        <w:tc>
          <w:tcPr>
            <w:tcW w:w="3249" w:type="dxa"/>
            <w:tcBorders>
              <w:top w:val="single" w:sz="4" w:space="0" w:color="auto"/>
              <w:left w:val="single" w:sz="4" w:space="0" w:color="auto"/>
              <w:bottom w:val="single" w:sz="4" w:space="0" w:color="auto"/>
              <w:right w:val="single" w:sz="4" w:space="0" w:color="auto"/>
            </w:tcBorders>
            <w:hideMark/>
          </w:tcPr>
          <w:p w14:paraId="07E45635" w14:textId="77777777" w:rsidR="00EF0FE6" w:rsidRPr="00EF0FE6" w:rsidRDefault="00EF0FE6" w:rsidP="00EF0FE6">
            <w:pPr>
              <w:spacing w:after="160" w:line="278" w:lineRule="auto"/>
              <w:rPr>
                <w:lang w:val="en-US"/>
              </w:rPr>
            </w:pPr>
            <w:r w:rsidRPr="00EF0FE6">
              <w:rPr>
                <w:lang w:val="en-US"/>
              </w:rPr>
              <w:t>+0.105</w:t>
            </w:r>
          </w:p>
        </w:tc>
        <w:tc>
          <w:tcPr>
            <w:tcW w:w="3249" w:type="dxa"/>
            <w:tcBorders>
              <w:top w:val="single" w:sz="4" w:space="0" w:color="auto"/>
              <w:left w:val="single" w:sz="4" w:space="0" w:color="auto"/>
              <w:bottom w:val="single" w:sz="4" w:space="0" w:color="auto"/>
              <w:right w:val="single" w:sz="4" w:space="0" w:color="auto"/>
            </w:tcBorders>
            <w:hideMark/>
          </w:tcPr>
          <w:p w14:paraId="5DCBE38D" w14:textId="77777777" w:rsidR="00EF0FE6" w:rsidRPr="00EF0FE6" w:rsidRDefault="00EF0FE6" w:rsidP="00EF0FE6">
            <w:pPr>
              <w:spacing w:after="160" w:line="278" w:lineRule="auto"/>
              <w:rPr>
                <w:lang w:val="en-US"/>
              </w:rPr>
            </w:pPr>
            <w:r w:rsidRPr="00EF0FE6">
              <w:rPr>
                <w:lang w:val="en-US"/>
              </w:rPr>
              <w:t xml:space="preserve">95% CI 0.054–0.162; paired bootstrap, 2,000 resamples, </w:t>
            </w:r>
            <w:r w:rsidRPr="00EF0FE6">
              <w:rPr>
                <w:i/>
                <w:lang w:val="en-US"/>
              </w:rPr>
              <w:t>P</w:t>
            </w:r>
            <w:r w:rsidRPr="00EF0FE6">
              <w:rPr>
                <w:lang w:val="en-US"/>
              </w:rPr>
              <w:t xml:space="preserve"> &lt; 0.0001</w:t>
            </w:r>
          </w:p>
        </w:tc>
      </w:tr>
      <w:tr w:rsidR="00EF0FE6" w:rsidRPr="00EF0FE6" w14:paraId="201D1019"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0ED92D80" w14:textId="77777777" w:rsidR="00EF0FE6" w:rsidRPr="00EF0FE6" w:rsidRDefault="00EF0FE6" w:rsidP="00EF0FE6">
            <w:pPr>
              <w:spacing w:after="160" w:line="278" w:lineRule="auto"/>
              <w:rPr>
                <w:lang w:val="en-US"/>
              </w:rPr>
            </w:pPr>
            <w:r w:rsidRPr="00EF0FE6">
              <w:rPr>
                <w:lang w:val="en-US"/>
              </w:rPr>
              <w:t xml:space="preserve">External C-index under rank-inverse-normal </w:t>
            </w:r>
            <w:proofErr w:type="spellStart"/>
            <w:r w:rsidRPr="00EF0FE6">
              <w:rPr>
                <w:lang w:val="en-US"/>
              </w:rPr>
              <w:t>harmonisation</w:t>
            </w:r>
            <w:proofErr w:type="spellEnd"/>
          </w:p>
        </w:tc>
        <w:tc>
          <w:tcPr>
            <w:tcW w:w="3249" w:type="dxa"/>
            <w:tcBorders>
              <w:top w:val="single" w:sz="4" w:space="0" w:color="auto"/>
              <w:left w:val="single" w:sz="4" w:space="0" w:color="auto"/>
              <w:bottom w:val="single" w:sz="4" w:space="0" w:color="auto"/>
              <w:right w:val="single" w:sz="4" w:space="0" w:color="auto"/>
            </w:tcBorders>
            <w:hideMark/>
          </w:tcPr>
          <w:p w14:paraId="3CB3337C" w14:textId="77777777" w:rsidR="00EF0FE6" w:rsidRPr="00EF0FE6" w:rsidRDefault="00EF0FE6" w:rsidP="00EF0FE6">
            <w:pPr>
              <w:spacing w:after="160" w:line="278" w:lineRule="auto"/>
              <w:rPr>
                <w:lang w:val="en-US"/>
              </w:rPr>
            </w:pPr>
            <w:r w:rsidRPr="00EF0FE6">
              <w:rPr>
                <w:lang w:val="en-US"/>
              </w:rPr>
              <w:t>0.744 vs 0.676</w:t>
            </w:r>
          </w:p>
        </w:tc>
        <w:tc>
          <w:tcPr>
            <w:tcW w:w="3249" w:type="dxa"/>
            <w:tcBorders>
              <w:top w:val="single" w:sz="4" w:space="0" w:color="auto"/>
              <w:left w:val="single" w:sz="4" w:space="0" w:color="auto"/>
              <w:bottom w:val="single" w:sz="4" w:space="0" w:color="auto"/>
              <w:right w:val="single" w:sz="4" w:space="0" w:color="auto"/>
            </w:tcBorders>
            <w:hideMark/>
          </w:tcPr>
          <w:p w14:paraId="41CAE76D" w14:textId="77777777" w:rsidR="00EF0FE6" w:rsidRPr="00EF0FE6" w:rsidRDefault="00EF0FE6" w:rsidP="00EF0FE6">
            <w:pPr>
              <w:spacing w:after="160" w:line="278" w:lineRule="auto"/>
              <w:rPr>
                <w:lang w:val="en-US"/>
              </w:rPr>
            </w:pPr>
            <w:r w:rsidRPr="00EF0FE6">
              <w:rPr>
                <w:lang w:val="en-US"/>
              </w:rPr>
              <w:t>difference +0.068; ranking unchanged</w:t>
            </w:r>
          </w:p>
        </w:tc>
      </w:tr>
      <w:tr w:rsidR="00EF0FE6" w:rsidRPr="00EF0FE6" w14:paraId="0105DB38"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15FF5E36" w14:textId="77777777" w:rsidR="00EF0FE6" w:rsidRPr="00EF0FE6" w:rsidRDefault="00EF0FE6" w:rsidP="00EF0FE6">
            <w:pPr>
              <w:spacing w:after="160" w:line="278" w:lineRule="auto"/>
              <w:rPr>
                <w:lang w:val="en-US"/>
              </w:rPr>
            </w:pPr>
            <w:r w:rsidRPr="00EF0FE6">
              <w:rPr>
                <w:lang w:val="en-US"/>
              </w:rPr>
              <w:t>Within-cohort regression slope, per 1 SD of the index</w:t>
            </w:r>
          </w:p>
        </w:tc>
        <w:tc>
          <w:tcPr>
            <w:tcW w:w="3249" w:type="dxa"/>
            <w:tcBorders>
              <w:top w:val="single" w:sz="4" w:space="0" w:color="auto"/>
              <w:left w:val="single" w:sz="4" w:space="0" w:color="auto"/>
              <w:bottom w:val="single" w:sz="4" w:space="0" w:color="auto"/>
              <w:right w:val="single" w:sz="4" w:space="0" w:color="auto"/>
            </w:tcBorders>
            <w:hideMark/>
          </w:tcPr>
          <w:p w14:paraId="00CDE9E7" w14:textId="77777777" w:rsidR="00EF0FE6" w:rsidRPr="00EF0FE6" w:rsidRDefault="00EF0FE6" w:rsidP="00EF0FE6">
            <w:pPr>
              <w:spacing w:after="160" w:line="278" w:lineRule="auto"/>
              <w:rPr>
                <w:lang w:val="en-US"/>
              </w:rPr>
            </w:pPr>
            <w:r w:rsidRPr="00EF0FE6">
              <w:rPr>
                <w:lang w:val="en-US"/>
              </w:rPr>
              <w:t>0.548</w:t>
            </w:r>
          </w:p>
        </w:tc>
        <w:tc>
          <w:tcPr>
            <w:tcW w:w="3249" w:type="dxa"/>
            <w:tcBorders>
              <w:top w:val="single" w:sz="4" w:space="0" w:color="auto"/>
              <w:left w:val="single" w:sz="4" w:space="0" w:color="auto"/>
              <w:bottom w:val="single" w:sz="4" w:space="0" w:color="auto"/>
              <w:right w:val="single" w:sz="4" w:space="0" w:color="auto"/>
            </w:tcBorders>
            <w:hideMark/>
          </w:tcPr>
          <w:p w14:paraId="769303CE" w14:textId="77777777" w:rsidR="00EF0FE6" w:rsidRPr="00EF0FE6" w:rsidRDefault="00EF0FE6" w:rsidP="00EF0FE6">
            <w:pPr>
              <w:spacing w:after="160" w:line="278" w:lineRule="auto"/>
              <w:rPr>
                <w:lang w:val="en-US"/>
              </w:rPr>
            </w:pPr>
            <w:r w:rsidRPr="00EF0FE6">
              <w:rPr>
                <w:lang w:val="en-US"/>
              </w:rPr>
              <w:t>95% CI 0.400–0.697; computed on the cohort-</w:t>
            </w:r>
            <w:proofErr w:type="spellStart"/>
            <w:r w:rsidRPr="00EF0FE6">
              <w:rPr>
                <w:lang w:val="en-US"/>
              </w:rPr>
              <w:t>standardised</w:t>
            </w:r>
            <w:proofErr w:type="spellEnd"/>
            <w:r w:rsidRPr="00EF0FE6">
              <w:rPr>
                <w:lang w:val="en-US"/>
              </w:rPr>
              <w:t xml:space="preserve"> index, so it equals the cohort's unadjusted per-SD log HR and is not a calibration test</w:t>
            </w:r>
          </w:p>
        </w:tc>
      </w:tr>
      <w:tr w:rsidR="00EF0FE6" w:rsidRPr="00EF0FE6" w14:paraId="4E6F6067"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58B7A937" w14:textId="77777777" w:rsidR="00EF0FE6" w:rsidRPr="00EF0FE6" w:rsidRDefault="00EF0FE6" w:rsidP="00EF0FE6">
            <w:pPr>
              <w:spacing w:after="160" w:line="278" w:lineRule="auto"/>
              <w:rPr>
                <w:lang w:val="en-US"/>
              </w:rPr>
            </w:pPr>
            <w:r w:rsidRPr="00EF0FE6">
              <w:rPr>
                <w:lang w:val="en-US"/>
              </w:rPr>
              <w:t>3-year calibration by tertile, predicted / observed</w:t>
            </w:r>
          </w:p>
        </w:tc>
        <w:tc>
          <w:tcPr>
            <w:tcW w:w="3249" w:type="dxa"/>
            <w:tcBorders>
              <w:top w:val="single" w:sz="4" w:space="0" w:color="auto"/>
              <w:left w:val="single" w:sz="4" w:space="0" w:color="auto"/>
              <w:bottom w:val="single" w:sz="4" w:space="0" w:color="auto"/>
              <w:right w:val="single" w:sz="4" w:space="0" w:color="auto"/>
            </w:tcBorders>
            <w:hideMark/>
          </w:tcPr>
          <w:p w14:paraId="18E393D4" w14:textId="77777777" w:rsidR="00EF0FE6" w:rsidRPr="00EF0FE6" w:rsidRDefault="00EF0FE6" w:rsidP="00EF0FE6">
            <w:pPr>
              <w:spacing w:after="160" w:line="278" w:lineRule="auto"/>
              <w:rPr>
                <w:lang w:val="en-US"/>
              </w:rPr>
            </w:pPr>
            <w:r w:rsidRPr="00EF0FE6">
              <w:rPr>
                <w:lang w:val="en-US"/>
              </w:rPr>
              <w:t>Q1 0.867/0.981; Q2 0.766/0.835; Q3 0.397/0.292</w:t>
            </w:r>
          </w:p>
        </w:tc>
        <w:tc>
          <w:tcPr>
            <w:tcW w:w="3249" w:type="dxa"/>
            <w:tcBorders>
              <w:top w:val="single" w:sz="4" w:space="0" w:color="auto"/>
              <w:left w:val="single" w:sz="4" w:space="0" w:color="auto"/>
              <w:bottom w:val="single" w:sz="4" w:space="0" w:color="auto"/>
              <w:right w:val="single" w:sz="4" w:space="0" w:color="auto"/>
            </w:tcBorders>
            <w:hideMark/>
          </w:tcPr>
          <w:p w14:paraId="6DAAD9B8" w14:textId="77777777" w:rsidR="00EF0FE6" w:rsidRPr="00EF0FE6" w:rsidRDefault="00EF0FE6" w:rsidP="00EF0FE6">
            <w:pPr>
              <w:spacing w:after="160" w:line="278" w:lineRule="auto"/>
              <w:rPr>
                <w:lang w:val="en-US"/>
              </w:rPr>
            </w:pPr>
            <w:r w:rsidRPr="00EF0FE6">
              <w:rPr>
                <w:lang w:val="en-US"/>
              </w:rPr>
              <w:t>baseline hazard re-estimated in the validation cohort</w:t>
            </w:r>
          </w:p>
        </w:tc>
      </w:tr>
      <w:tr w:rsidR="00EF0FE6" w:rsidRPr="00EF0FE6" w14:paraId="02DB9510"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21D2334D" w14:textId="77777777" w:rsidR="00EF0FE6" w:rsidRPr="00EF0FE6" w:rsidRDefault="00EF0FE6" w:rsidP="00EF0FE6">
            <w:pPr>
              <w:spacing w:after="160" w:line="278" w:lineRule="auto"/>
              <w:rPr>
                <w:lang w:val="en-US"/>
              </w:rPr>
            </w:pPr>
            <w:r w:rsidRPr="00EF0FE6">
              <w:rPr>
                <w:lang w:val="en-US"/>
              </w:rPr>
              <w:t>Integrated Brier score, 6–60 months</w:t>
            </w:r>
          </w:p>
        </w:tc>
        <w:tc>
          <w:tcPr>
            <w:tcW w:w="3249" w:type="dxa"/>
            <w:tcBorders>
              <w:top w:val="single" w:sz="4" w:space="0" w:color="auto"/>
              <w:left w:val="single" w:sz="4" w:space="0" w:color="auto"/>
              <w:bottom w:val="single" w:sz="4" w:space="0" w:color="auto"/>
              <w:right w:val="single" w:sz="4" w:space="0" w:color="auto"/>
            </w:tcBorders>
            <w:hideMark/>
          </w:tcPr>
          <w:p w14:paraId="1806C952" w14:textId="77777777" w:rsidR="00EF0FE6" w:rsidRPr="00EF0FE6" w:rsidRDefault="00EF0FE6" w:rsidP="00EF0FE6">
            <w:pPr>
              <w:spacing w:after="160" w:line="278" w:lineRule="auto"/>
              <w:rPr>
                <w:lang w:val="en-US"/>
              </w:rPr>
            </w:pPr>
            <w:r w:rsidRPr="00EF0FE6">
              <w:rPr>
                <w:lang w:val="en-US"/>
              </w:rPr>
              <w:t>0.287 vs 0.316</w:t>
            </w:r>
          </w:p>
        </w:tc>
        <w:tc>
          <w:tcPr>
            <w:tcW w:w="3249" w:type="dxa"/>
            <w:tcBorders>
              <w:top w:val="single" w:sz="4" w:space="0" w:color="auto"/>
              <w:left w:val="single" w:sz="4" w:space="0" w:color="auto"/>
              <w:bottom w:val="single" w:sz="4" w:space="0" w:color="auto"/>
              <w:right w:val="single" w:sz="4" w:space="0" w:color="auto"/>
            </w:tcBorders>
            <w:hideMark/>
          </w:tcPr>
          <w:p w14:paraId="5766190B" w14:textId="77777777" w:rsidR="00EF0FE6" w:rsidRPr="00EF0FE6" w:rsidRDefault="00EF0FE6" w:rsidP="00EF0FE6">
            <w:pPr>
              <w:spacing w:after="160" w:line="278" w:lineRule="auto"/>
              <w:rPr>
                <w:lang w:val="en-US"/>
              </w:rPr>
            </w:pPr>
            <w:r w:rsidRPr="00EF0FE6">
              <w:rPr>
                <w:lang w:val="en-US"/>
              </w:rPr>
              <w:t>MRG-4 lower (better)</w:t>
            </w:r>
          </w:p>
        </w:tc>
      </w:tr>
      <w:tr w:rsidR="00EF0FE6" w:rsidRPr="00EF0FE6" w14:paraId="7B8FE9CF"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3CF24707" w14:textId="77777777" w:rsidR="00EF0FE6" w:rsidRPr="00EF0FE6" w:rsidRDefault="00EF0FE6" w:rsidP="00EF0FE6">
            <w:pPr>
              <w:spacing w:after="160" w:line="278" w:lineRule="auto"/>
              <w:rPr>
                <w:lang w:val="en-US"/>
              </w:rPr>
            </w:pPr>
            <w:r w:rsidRPr="00EF0FE6">
              <w:rPr>
                <w:lang w:val="en-US"/>
              </w:rPr>
              <w:t>Continuous NRI and IDI, 3-year mortality</w:t>
            </w:r>
          </w:p>
        </w:tc>
        <w:tc>
          <w:tcPr>
            <w:tcW w:w="3249" w:type="dxa"/>
            <w:tcBorders>
              <w:top w:val="single" w:sz="4" w:space="0" w:color="auto"/>
              <w:left w:val="single" w:sz="4" w:space="0" w:color="auto"/>
              <w:bottom w:val="single" w:sz="4" w:space="0" w:color="auto"/>
              <w:right w:val="single" w:sz="4" w:space="0" w:color="auto"/>
            </w:tcBorders>
            <w:hideMark/>
          </w:tcPr>
          <w:p w14:paraId="359BA493" w14:textId="77777777" w:rsidR="00EF0FE6" w:rsidRPr="00EF0FE6" w:rsidRDefault="00EF0FE6" w:rsidP="00EF0FE6">
            <w:pPr>
              <w:spacing w:after="160" w:line="278" w:lineRule="auto"/>
              <w:rPr>
                <w:lang w:val="en-US"/>
              </w:rPr>
            </w:pPr>
            <w:r w:rsidRPr="00EF0FE6">
              <w:rPr>
                <w:lang w:val="en-US"/>
              </w:rPr>
              <w:t>NRI −0.291, IDI −0.047</w:t>
            </w:r>
          </w:p>
        </w:tc>
        <w:tc>
          <w:tcPr>
            <w:tcW w:w="3249" w:type="dxa"/>
            <w:tcBorders>
              <w:top w:val="single" w:sz="4" w:space="0" w:color="auto"/>
              <w:left w:val="single" w:sz="4" w:space="0" w:color="auto"/>
              <w:bottom w:val="single" w:sz="4" w:space="0" w:color="auto"/>
              <w:right w:val="single" w:sz="4" w:space="0" w:color="auto"/>
            </w:tcBorders>
            <w:hideMark/>
          </w:tcPr>
          <w:p w14:paraId="2F055B64" w14:textId="77777777" w:rsidR="00EF0FE6" w:rsidRPr="00EF0FE6" w:rsidRDefault="00EF0FE6" w:rsidP="00EF0FE6">
            <w:pPr>
              <w:spacing w:after="160" w:line="278" w:lineRule="auto"/>
              <w:rPr>
                <w:lang w:val="en-US"/>
              </w:rPr>
            </w:pPr>
            <w:r w:rsidRPr="00EF0FE6">
              <w:rPr>
                <w:lang w:val="en-US"/>
              </w:rPr>
              <w:t xml:space="preserve">computed on </w:t>
            </w:r>
            <w:r w:rsidRPr="00EF0FE6">
              <w:rPr>
                <w:b/>
                <w:lang w:val="en-US"/>
              </w:rPr>
              <w:t>n = 160, 50 events</w:t>
            </w:r>
            <w:r w:rsidRPr="00EF0FE6">
              <w:rPr>
                <w:lang w:val="en-US"/>
              </w:rPr>
              <w:t xml:space="preserve">, not the 172 used for discrimination and net benefit, because absolute risks exist only where both a coefficient set and a baseline hazard are defined; the 5-year values use n = 156. The sign is not robust to the risk scale: </w:t>
            </w:r>
            <w:r w:rsidRPr="00EF0FE6">
              <w:rPr>
                <w:lang w:val="en-US"/>
              </w:rPr>
              <w:lastRenderedPageBreak/>
              <w:t xml:space="preserve">with the baseline hazard re-estimated in the validation cohort NRI is −0.396, and with the coefficients refitted in the validation cohort it is </w:t>
            </w:r>
            <w:r w:rsidRPr="00EF0FE6">
              <w:rPr>
                <w:b/>
                <w:lang w:val="en-US"/>
              </w:rPr>
              <w:t>+0.440</w:t>
            </w:r>
            <w:r w:rsidRPr="00EF0FE6">
              <w:rPr>
                <w:lang w:val="en-US"/>
              </w:rPr>
              <w:t xml:space="preserve"> (IDI +0.041)</w:t>
            </w:r>
          </w:p>
        </w:tc>
      </w:tr>
      <w:tr w:rsidR="00EF0FE6" w:rsidRPr="00EF0FE6" w14:paraId="43D6DCAE"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5B09AC46" w14:textId="77777777" w:rsidR="00EF0FE6" w:rsidRPr="00EF0FE6" w:rsidRDefault="00EF0FE6" w:rsidP="00EF0FE6">
            <w:pPr>
              <w:spacing w:after="160" w:line="278" w:lineRule="auto"/>
              <w:rPr>
                <w:lang w:val="en-US"/>
              </w:rPr>
            </w:pPr>
            <w:r w:rsidRPr="00EF0FE6">
              <w:rPr>
                <w:lang w:val="en-US"/>
              </w:rPr>
              <w:lastRenderedPageBreak/>
              <w:t>Category-based NRI (within-model risk tertiles), 3 years</w:t>
            </w:r>
          </w:p>
        </w:tc>
        <w:tc>
          <w:tcPr>
            <w:tcW w:w="3249" w:type="dxa"/>
            <w:tcBorders>
              <w:top w:val="single" w:sz="4" w:space="0" w:color="auto"/>
              <w:left w:val="single" w:sz="4" w:space="0" w:color="auto"/>
              <w:bottom w:val="single" w:sz="4" w:space="0" w:color="auto"/>
              <w:right w:val="single" w:sz="4" w:space="0" w:color="auto"/>
            </w:tcBorders>
            <w:hideMark/>
          </w:tcPr>
          <w:p w14:paraId="1D22DFDC" w14:textId="77777777" w:rsidR="00EF0FE6" w:rsidRPr="00EF0FE6" w:rsidRDefault="00EF0FE6" w:rsidP="00EF0FE6">
            <w:pPr>
              <w:spacing w:after="160" w:line="278" w:lineRule="auto"/>
              <w:rPr>
                <w:lang w:val="en-US"/>
              </w:rPr>
            </w:pPr>
            <w:r w:rsidRPr="00EF0FE6">
              <w:rPr>
                <w:lang w:val="en-US"/>
              </w:rPr>
              <w:t>+0.429</w:t>
            </w:r>
          </w:p>
        </w:tc>
        <w:tc>
          <w:tcPr>
            <w:tcW w:w="3249" w:type="dxa"/>
            <w:tcBorders>
              <w:top w:val="single" w:sz="4" w:space="0" w:color="auto"/>
              <w:left w:val="single" w:sz="4" w:space="0" w:color="auto"/>
              <w:bottom w:val="single" w:sz="4" w:space="0" w:color="auto"/>
              <w:right w:val="single" w:sz="4" w:space="0" w:color="auto"/>
            </w:tcBorders>
            <w:hideMark/>
          </w:tcPr>
          <w:p w14:paraId="5DF2BA03" w14:textId="77777777" w:rsidR="00EF0FE6" w:rsidRPr="00EF0FE6" w:rsidRDefault="00EF0FE6" w:rsidP="00EF0FE6">
            <w:pPr>
              <w:spacing w:after="160" w:line="278" w:lineRule="auto"/>
              <w:rPr>
                <w:lang w:val="en-US"/>
              </w:rPr>
            </w:pPr>
            <w:r w:rsidRPr="00EF0FE6">
              <w:rPr>
                <w:lang w:val="en-US"/>
              </w:rPr>
              <w:t>scale-independent by construction, and reported for completeness; it is not a validated reclassification statistic and is not used in any claim</w:t>
            </w:r>
          </w:p>
        </w:tc>
      </w:tr>
      <w:tr w:rsidR="00EF0FE6" w:rsidRPr="00EF0FE6" w14:paraId="5458D3EF"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24DCE604" w14:textId="77777777" w:rsidR="00EF0FE6" w:rsidRPr="00EF0FE6" w:rsidRDefault="00EF0FE6" w:rsidP="00EF0FE6">
            <w:pPr>
              <w:spacing w:after="160" w:line="278" w:lineRule="auto"/>
              <w:rPr>
                <w:lang w:val="en-US"/>
              </w:rPr>
            </w:pPr>
            <w:r w:rsidRPr="00EF0FE6">
              <w:rPr>
                <w:lang w:val="en-US"/>
              </w:rPr>
              <w:t>Nested 10-fold CV, Model A pipeline</w:t>
            </w:r>
          </w:p>
        </w:tc>
        <w:tc>
          <w:tcPr>
            <w:tcW w:w="3249" w:type="dxa"/>
            <w:tcBorders>
              <w:top w:val="single" w:sz="4" w:space="0" w:color="auto"/>
              <w:left w:val="single" w:sz="4" w:space="0" w:color="auto"/>
              <w:bottom w:val="single" w:sz="4" w:space="0" w:color="auto"/>
              <w:right w:val="single" w:sz="4" w:space="0" w:color="auto"/>
            </w:tcBorders>
            <w:hideMark/>
          </w:tcPr>
          <w:p w14:paraId="4970E305" w14:textId="77777777" w:rsidR="00EF0FE6" w:rsidRPr="00EF0FE6" w:rsidRDefault="00EF0FE6" w:rsidP="00EF0FE6">
            <w:pPr>
              <w:spacing w:after="160" w:line="278" w:lineRule="auto"/>
              <w:rPr>
                <w:lang w:val="en-US"/>
              </w:rPr>
            </w:pPr>
            <w:r w:rsidRPr="00EF0FE6">
              <w:rPr>
                <w:lang w:val="en-US"/>
              </w:rPr>
              <w:t>0.832 ± 0.021</w:t>
            </w:r>
          </w:p>
        </w:tc>
        <w:tc>
          <w:tcPr>
            <w:tcW w:w="3249" w:type="dxa"/>
            <w:tcBorders>
              <w:top w:val="single" w:sz="4" w:space="0" w:color="auto"/>
              <w:left w:val="single" w:sz="4" w:space="0" w:color="auto"/>
              <w:bottom w:val="single" w:sz="4" w:space="0" w:color="auto"/>
              <w:right w:val="single" w:sz="4" w:space="0" w:color="auto"/>
            </w:tcBorders>
            <w:hideMark/>
          </w:tcPr>
          <w:p w14:paraId="0AC2202B" w14:textId="77777777" w:rsidR="00EF0FE6" w:rsidRPr="00EF0FE6" w:rsidRDefault="00EF0FE6" w:rsidP="00EF0FE6">
            <w:pPr>
              <w:spacing w:after="160" w:line="278" w:lineRule="auto"/>
              <w:rPr>
                <w:lang w:val="en-US"/>
              </w:rPr>
            </w:pPr>
            <w:r w:rsidRPr="00EF0FE6">
              <w:rPr>
                <w:lang w:val="en-US"/>
              </w:rPr>
              <w:t>selection repeated inside folds</w:t>
            </w:r>
          </w:p>
        </w:tc>
      </w:tr>
      <w:tr w:rsidR="00EF0FE6" w:rsidRPr="00EF0FE6" w14:paraId="5C23BA1D"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EC74825" w14:textId="77777777" w:rsidR="00EF0FE6" w:rsidRPr="00EF0FE6" w:rsidRDefault="00EF0FE6" w:rsidP="00EF0FE6">
            <w:pPr>
              <w:spacing w:after="160" w:line="278" w:lineRule="auto"/>
              <w:rPr>
                <w:lang w:val="en-US"/>
              </w:rPr>
            </w:pPr>
            <w:r w:rsidRPr="00EF0FE6">
              <w:rPr>
                <w:lang w:val="en-US"/>
              </w:rPr>
              <w:t>Nested 10-fold CV, full MRG-4 procedure</w:t>
            </w:r>
          </w:p>
        </w:tc>
        <w:tc>
          <w:tcPr>
            <w:tcW w:w="3249" w:type="dxa"/>
            <w:tcBorders>
              <w:top w:val="single" w:sz="4" w:space="0" w:color="auto"/>
              <w:left w:val="single" w:sz="4" w:space="0" w:color="auto"/>
              <w:bottom w:val="single" w:sz="4" w:space="0" w:color="auto"/>
              <w:right w:val="single" w:sz="4" w:space="0" w:color="auto"/>
            </w:tcBorders>
            <w:hideMark/>
          </w:tcPr>
          <w:p w14:paraId="6E27A8DA" w14:textId="77777777" w:rsidR="00EF0FE6" w:rsidRPr="00EF0FE6" w:rsidRDefault="00EF0FE6" w:rsidP="00EF0FE6">
            <w:pPr>
              <w:spacing w:after="160" w:line="278" w:lineRule="auto"/>
              <w:rPr>
                <w:lang w:val="en-US"/>
              </w:rPr>
            </w:pPr>
            <w:r w:rsidRPr="00EF0FE6">
              <w:rPr>
                <w:lang w:val="en-US"/>
              </w:rPr>
              <w:t>0.731 ± 0.023</w:t>
            </w:r>
          </w:p>
        </w:tc>
        <w:tc>
          <w:tcPr>
            <w:tcW w:w="3249" w:type="dxa"/>
            <w:tcBorders>
              <w:top w:val="single" w:sz="4" w:space="0" w:color="auto"/>
              <w:left w:val="single" w:sz="4" w:space="0" w:color="auto"/>
              <w:bottom w:val="single" w:sz="4" w:space="0" w:color="auto"/>
              <w:right w:val="single" w:sz="4" w:space="0" w:color="auto"/>
            </w:tcBorders>
            <w:hideMark/>
          </w:tcPr>
          <w:p w14:paraId="0285A551" w14:textId="77777777" w:rsidR="00EF0FE6" w:rsidRPr="00EF0FE6" w:rsidRDefault="00EF0FE6" w:rsidP="00EF0FE6">
            <w:pPr>
              <w:spacing w:after="160" w:line="278" w:lineRule="auto"/>
              <w:rPr>
                <w:lang w:val="en-US"/>
              </w:rPr>
            </w:pPr>
            <w:r w:rsidRPr="00EF0FE6">
              <w:rPr>
                <w:lang w:val="en-US"/>
              </w:rPr>
              <w:t>selection repeated inside folds; the conservative internal figure</w:t>
            </w:r>
          </w:p>
        </w:tc>
      </w:tr>
      <w:tr w:rsidR="00EF0FE6" w:rsidRPr="00EF0FE6" w14:paraId="522EA3E6"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1A7D263" w14:textId="77777777" w:rsidR="00EF0FE6" w:rsidRPr="00EF0FE6" w:rsidRDefault="00EF0FE6" w:rsidP="00EF0FE6">
            <w:pPr>
              <w:spacing w:after="160" w:line="278" w:lineRule="auto"/>
              <w:rPr>
                <w:lang w:val="en-US"/>
              </w:rPr>
            </w:pPr>
            <w:r w:rsidRPr="00EF0FE6">
              <w:rPr>
                <w:lang w:val="en-US"/>
              </w:rPr>
              <w:t>Nested 10-fold CV, four genes fixed, coefficients refit in fold</w:t>
            </w:r>
          </w:p>
        </w:tc>
        <w:tc>
          <w:tcPr>
            <w:tcW w:w="3249" w:type="dxa"/>
            <w:tcBorders>
              <w:top w:val="single" w:sz="4" w:space="0" w:color="auto"/>
              <w:left w:val="single" w:sz="4" w:space="0" w:color="auto"/>
              <w:bottom w:val="single" w:sz="4" w:space="0" w:color="auto"/>
              <w:right w:val="single" w:sz="4" w:space="0" w:color="auto"/>
            </w:tcBorders>
            <w:hideMark/>
          </w:tcPr>
          <w:p w14:paraId="7E3F075D" w14:textId="77777777" w:rsidR="00EF0FE6" w:rsidRPr="00EF0FE6" w:rsidRDefault="00EF0FE6" w:rsidP="00EF0FE6">
            <w:pPr>
              <w:spacing w:after="160" w:line="278" w:lineRule="auto"/>
              <w:rPr>
                <w:lang w:val="en-US"/>
              </w:rPr>
            </w:pPr>
            <w:r w:rsidRPr="00EF0FE6">
              <w:rPr>
                <w:lang w:val="en-US"/>
              </w:rPr>
              <w:t>0.786 ± 0.014</w:t>
            </w:r>
          </w:p>
        </w:tc>
        <w:tc>
          <w:tcPr>
            <w:tcW w:w="3249" w:type="dxa"/>
            <w:tcBorders>
              <w:top w:val="single" w:sz="4" w:space="0" w:color="auto"/>
              <w:left w:val="single" w:sz="4" w:space="0" w:color="auto"/>
              <w:bottom w:val="single" w:sz="4" w:space="0" w:color="auto"/>
              <w:right w:val="single" w:sz="4" w:space="0" w:color="auto"/>
            </w:tcBorders>
            <w:hideMark/>
          </w:tcPr>
          <w:p w14:paraId="530A6E19" w14:textId="77777777" w:rsidR="00EF0FE6" w:rsidRPr="00EF0FE6" w:rsidRDefault="00EF0FE6" w:rsidP="00EF0FE6">
            <w:pPr>
              <w:spacing w:after="160" w:line="278" w:lineRule="auto"/>
              <w:rPr>
                <w:lang w:val="en-US"/>
              </w:rPr>
            </w:pPr>
            <w:r w:rsidRPr="00EF0FE6">
              <w:rPr>
                <w:lang w:val="en-US"/>
              </w:rPr>
              <w:t>intermediate case</w:t>
            </w:r>
          </w:p>
        </w:tc>
      </w:tr>
      <w:tr w:rsidR="00EF0FE6" w:rsidRPr="00EF0FE6" w14:paraId="274380B1"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252A131" w14:textId="77777777" w:rsidR="00EF0FE6" w:rsidRPr="00EF0FE6" w:rsidRDefault="00EF0FE6" w:rsidP="00EF0FE6">
            <w:pPr>
              <w:spacing w:after="160" w:line="278" w:lineRule="auto"/>
              <w:rPr>
                <w:lang w:val="en-US"/>
              </w:rPr>
            </w:pPr>
            <w:r w:rsidRPr="00EF0FE6">
              <w:rPr>
                <w:lang w:val="en-US"/>
              </w:rPr>
              <w:t>Non-nested 10-fold CV, gene set fixed</w:t>
            </w:r>
          </w:p>
        </w:tc>
        <w:tc>
          <w:tcPr>
            <w:tcW w:w="3249" w:type="dxa"/>
            <w:tcBorders>
              <w:top w:val="single" w:sz="4" w:space="0" w:color="auto"/>
              <w:left w:val="single" w:sz="4" w:space="0" w:color="auto"/>
              <w:bottom w:val="single" w:sz="4" w:space="0" w:color="auto"/>
              <w:right w:val="single" w:sz="4" w:space="0" w:color="auto"/>
            </w:tcBorders>
            <w:hideMark/>
          </w:tcPr>
          <w:p w14:paraId="16FED18F" w14:textId="77777777" w:rsidR="00EF0FE6" w:rsidRPr="00EF0FE6" w:rsidRDefault="00EF0FE6" w:rsidP="00EF0FE6">
            <w:pPr>
              <w:spacing w:after="160" w:line="278" w:lineRule="auto"/>
              <w:rPr>
                <w:lang w:val="en-US"/>
              </w:rPr>
            </w:pPr>
            <w:r w:rsidRPr="00EF0FE6">
              <w:rPr>
                <w:lang w:val="en-US"/>
              </w:rPr>
              <w:t>0.796 ± 0.019</w:t>
            </w:r>
          </w:p>
        </w:tc>
        <w:tc>
          <w:tcPr>
            <w:tcW w:w="3249" w:type="dxa"/>
            <w:tcBorders>
              <w:top w:val="single" w:sz="4" w:space="0" w:color="auto"/>
              <w:left w:val="single" w:sz="4" w:space="0" w:color="auto"/>
              <w:bottom w:val="single" w:sz="4" w:space="0" w:color="auto"/>
              <w:right w:val="single" w:sz="4" w:space="0" w:color="auto"/>
            </w:tcBorders>
            <w:hideMark/>
          </w:tcPr>
          <w:p w14:paraId="48BA1EFC" w14:textId="77777777" w:rsidR="00EF0FE6" w:rsidRPr="00EF0FE6" w:rsidRDefault="00EF0FE6" w:rsidP="00EF0FE6">
            <w:pPr>
              <w:spacing w:after="160" w:line="278" w:lineRule="auto"/>
              <w:rPr>
                <w:lang w:val="en-US"/>
              </w:rPr>
            </w:pPr>
            <w:r w:rsidRPr="00EF0FE6">
              <w:rPr>
                <w:lang w:val="en-US"/>
              </w:rPr>
              <w:t>the same figure as the 10-fold CV row of Table 3; optimistic for both models</w:t>
            </w:r>
          </w:p>
        </w:tc>
      </w:tr>
      <w:tr w:rsidR="00EF0FE6" w:rsidRPr="00EF0FE6" w14:paraId="4F911E3D"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3ACC34A" w14:textId="77777777" w:rsidR="00EF0FE6" w:rsidRPr="00EF0FE6" w:rsidRDefault="00EF0FE6" w:rsidP="00EF0FE6">
            <w:pPr>
              <w:spacing w:after="160" w:line="278" w:lineRule="auto"/>
              <w:rPr>
                <w:lang w:val="en-US"/>
              </w:rPr>
            </w:pPr>
            <w:r w:rsidRPr="00EF0FE6">
              <w:rPr>
                <w:lang w:val="en-US"/>
              </w:rPr>
              <w:t>26-gene LASSO apparent C-index, TCGA</w:t>
            </w:r>
          </w:p>
        </w:tc>
        <w:tc>
          <w:tcPr>
            <w:tcW w:w="3249" w:type="dxa"/>
            <w:tcBorders>
              <w:top w:val="single" w:sz="4" w:space="0" w:color="auto"/>
              <w:left w:val="single" w:sz="4" w:space="0" w:color="auto"/>
              <w:bottom w:val="single" w:sz="4" w:space="0" w:color="auto"/>
              <w:right w:val="single" w:sz="4" w:space="0" w:color="auto"/>
            </w:tcBorders>
            <w:hideMark/>
          </w:tcPr>
          <w:p w14:paraId="75CCE88A" w14:textId="77777777" w:rsidR="00EF0FE6" w:rsidRPr="00EF0FE6" w:rsidRDefault="00EF0FE6" w:rsidP="00EF0FE6">
            <w:pPr>
              <w:spacing w:after="160" w:line="278" w:lineRule="auto"/>
              <w:rPr>
                <w:lang w:val="en-US"/>
              </w:rPr>
            </w:pPr>
            <w:r w:rsidRPr="00EF0FE6">
              <w:rPr>
                <w:lang w:val="en-US"/>
              </w:rPr>
              <w:t>0.870</w:t>
            </w:r>
          </w:p>
        </w:tc>
        <w:tc>
          <w:tcPr>
            <w:tcW w:w="3249" w:type="dxa"/>
            <w:tcBorders>
              <w:top w:val="single" w:sz="4" w:space="0" w:color="auto"/>
              <w:left w:val="single" w:sz="4" w:space="0" w:color="auto"/>
              <w:bottom w:val="single" w:sz="4" w:space="0" w:color="auto"/>
              <w:right w:val="single" w:sz="4" w:space="0" w:color="auto"/>
            </w:tcBorders>
            <w:hideMark/>
          </w:tcPr>
          <w:p w14:paraId="5101DD3C" w14:textId="77777777" w:rsidR="00EF0FE6" w:rsidRPr="00EF0FE6" w:rsidRDefault="00EF0FE6" w:rsidP="00EF0FE6">
            <w:pPr>
              <w:spacing w:after="160" w:line="278" w:lineRule="auto"/>
              <w:rPr>
                <w:lang w:val="en-US"/>
              </w:rPr>
            </w:pPr>
            <w:r w:rsidRPr="00EF0FE6">
              <w:rPr>
                <w:lang w:val="en-US"/>
              </w:rPr>
              <w:t>quoted from the derivation run and printed in Figure 2B; the only value in Table 3 that cannot be rebuilt from the deposited objects, because the 26-gene coefficient vector at the 1-SE α was not retained. Its cross-validated (0.777) and external (0.726) counterparts are rebuildable</w:t>
            </w:r>
          </w:p>
        </w:tc>
      </w:tr>
      <w:tr w:rsidR="00EF0FE6" w:rsidRPr="00EF0FE6" w14:paraId="53B69CF7"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0D41E307" w14:textId="77777777" w:rsidR="00EF0FE6" w:rsidRPr="00EF0FE6" w:rsidRDefault="00EF0FE6" w:rsidP="00EF0FE6">
            <w:pPr>
              <w:spacing w:after="160" w:line="278" w:lineRule="auto"/>
              <w:rPr>
                <w:lang w:val="en-US"/>
              </w:rPr>
            </w:pPr>
            <w:r w:rsidRPr="00EF0FE6">
              <w:rPr>
                <w:lang w:val="en-US"/>
              </w:rPr>
              <w:lastRenderedPageBreak/>
              <w:t>Standard deviation of each score, TCGA-LGG</w:t>
            </w:r>
          </w:p>
        </w:tc>
        <w:tc>
          <w:tcPr>
            <w:tcW w:w="3249" w:type="dxa"/>
            <w:tcBorders>
              <w:top w:val="single" w:sz="4" w:space="0" w:color="auto"/>
              <w:left w:val="single" w:sz="4" w:space="0" w:color="auto"/>
              <w:bottom w:val="single" w:sz="4" w:space="0" w:color="auto"/>
              <w:right w:val="single" w:sz="4" w:space="0" w:color="auto"/>
            </w:tcBorders>
            <w:hideMark/>
          </w:tcPr>
          <w:p w14:paraId="33AF475B" w14:textId="77777777" w:rsidR="00EF0FE6" w:rsidRPr="00EF0FE6" w:rsidRDefault="00EF0FE6" w:rsidP="00EF0FE6">
            <w:pPr>
              <w:spacing w:after="160" w:line="278" w:lineRule="auto"/>
              <w:rPr>
                <w:lang w:val="en-US"/>
              </w:rPr>
            </w:pPr>
            <w:r w:rsidRPr="00EF0FE6">
              <w:rPr>
                <w:lang w:val="en-US"/>
              </w:rPr>
              <w:t>MRG-4 0.903 (n = 510); Model A 1.062 (n = 502)</w:t>
            </w:r>
          </w:p>
        </w:tc>
        <w:tc>
          <w:tcPr>
            <w:tcW w:w="3249" w:type="dxa"/>
            <w:tcBorders>
              <w:top w:val="single" w:sz="4" w:space="0" w:color="auto"/>
              <w:left w:val="single" w:sz="4" w:space="0" w:color="auto"/>
              <w:bottom w:val="single" w:sz="4" w:space="0" w:color="auto"/>
              <w:right w:val="single" w:sz="4" w:space="0" w:color="auto"/>
            </w:tcBorders>
            <w:hideMark/>
          </w:tcPr>
          <w:p w14:paraId="6651304B" w14:textId="77777777" w:rsidR="00EF0FE6" w:rsidRPr="00EF0FE6" w:rsidRDefault="00EF0FE6" w:rsidP="00EF0FE6">
            <w:pPr>
              <w:spacing w:after="160" w:line="278" w:lineRule="auto"/>
              <w:rPr>
                <w:lang w:val="en-US"/>
              </w:rPr>
            </w:pPr>
            <w:r w:rsidRPr="00EF0FE6">
              <w:rPr>
                <w:lang w:val="en-US"/>
              </w:rPr>
              <w:t>the per-SD denominators of every Table 2 hazard ratio; both recomputed from the deposited per-patient scores (Supplementary Tables S2 and S4)</w:t>
            </w:r>
          </w:p>
        </w:tc>
      </w:tr>
      <w:tr w:rsidR="00EF0FE6" w:rsidRPr="00EF0FE6" w14:paraId="75E81967"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1FB082E7" w14:textId="77777777" w:rsidR="00EF0FE6" w:rsidRPr="00EF0FE6" w:rsidRDefault="00EF0FE6" w:rsidP="00EF0FE6">
            <w:pPr>
              <w:spacing w:after="160" w:line="278" w:lineRule="auto"/>
              <w:rPr>
                <w:lang w:val="en-US"/>
              </w:rPr>
            </w:pPr>
            <w:r w:rsidRPr="00EF0FE6">
              <w:rPr>
                <w:lang w:val="en-US"/>
              </w:rPr>
              <w:t xml:space="preserve">Stability threshold π ≥ 0.75, </w:t>
            </w:r>
            <w:proofErr w:type="spellStart"/>
            <w:r w:rsidRPr="00EF0FE6">
              <w:rPr>
                <w:lang w:val="en-US"/>
              </w:rPr>
              <w:t>Meinshausen</w:t>
            </w:r>
            <w:proofErr w:type="spellEnd"/>
            <w:r w:rsidRPr="00EF0FE6">
              <w:rPr>
                <w:lang w:val="en-US"/>
              </w:rPr>
              <w:t>–</w:t>
            </w:r>
            <w:proofErr w:type="spellStart"/>
            <w:r w:rsidRPr="00EF0FE6">
              <w:rPr>
                <w:lang w:val="en-US"/>
              </w:rPr>
              <w:t>Bühlmann</w:t>
            </w:r>
            <w:proofErr w:type="spellEnd"/>
            <w:r w:rsidRPr="00EF0FE6">
              <w:rPr>
                <w:lang w:val="en-US"/>
              </w:rPr>
              <w:t xml:space="preserve"> bound</w:t>
            </w:r>
          </w:p>
        </w:tc>
        <w:tc>
          <w:tcPr>
            <w:tcW w:w="3249" w:type="dxa"/>
            <w:tcBorders>
              <w:top w:val="single" w:sz="4" w:space="0" w:color="auto"/>
              <w:left w:val="single" w:sz="4" w:space="0" w:color="auto"/>
              <w:bottom w:val="single" w:sz="4" w:space="0" w:color="auto"/>
              <w:right w:val="single" w:sz="4" w:space="0" w:color="auto"/>
            </w:tcBorders>
            <w:hideMark/>
          </w:tcPr>
          <w:p w14:paraId="519AA338" w14:textId="77777777" w:rsidR="00EF0FE6" w:rsidRPr="00EF0FE6" w:rsidRDefault="00EF0FE6" w:rsidP="00EF0FE6">
            <w:pPr>
              <w:spacing w:after="160" w:line="278" w:lineRule="auto"/>
              <w:rPr>
                <w:lang w:val="en-US"/>
              </w:rPr>
            </w:pPr>
            <w:r w:rsidRPr="00EF0FE6">
              <w:rPr>
                <w:lang w:val="en-US"/>
              </w:rPr>
              <w:t>E[V] ≤ 32.4 permitted false selections (q = 38, the largest selected-gene count in the 200 resamples; p = 89)</w:t>
            </w:r>
          </w:p>
        </w:tc>
        <w:tc>
          <w:tcPr>
            <w:tcW w:w="3249" w:type="dxa"/>
            <w:tcBorders>
              <w:top w:val="single" w:sz="4" w:space="0" w:color="auto"/>
              <w:left w:val="single" w:sz="4" w:space="0" w:color="auto"/>
              <w:bottom w:val="single" w:sz="4" w:space="0" w:color="auto"/>
              <w:right w:val="single" w:sz="4" w:space="0" w:color="auto"/>
            </w:tcBorders>
            <w:hideMark/>
          </w:tcPr>
          <w:p w14:paraId="34748A3D" w14:textId="77777777" w:rsidR="00EF0FE6" w:rsidRPr="00EF0FE6" w:rsidRDefault="00EF0FE6" w:rsidP="00EF0FE6">
            <w:pPr>
              <w:spacing w:after="160" w:line="278" w:lineRule="auto"/>
              <w:rPr>
                <w:lang w:val="en-US"/>
              </w:rPr>
            </w:pPr>
            <w:r w:rsidRPr="00EF0FE6">
              <w:rPr>
                <w:lang w:val="en-US"/>
              </w:rPr>
              <w:t>27.0 at π = 0.80 and 40.6 at π = 0.70; the bound is non-binding, so the threshold carries no useful false-discovery control of its own. π sensitivity: 11 genes at 0.70, 5 at 0.75, and exactly the four MRG-4 genes at 0.80</w:t>
            </w:r>
          </w:p>
        </w:tc>
      </w:tr>
      <w:tr w:rsidR="00EF0FE6" w:rsidRPr="00EF0FE6" w14:paraId="5CF93A02"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4237D0D" w14:textId="77777777" w:rsidR="00EF0FE6" w:rsidRPr="00EF0FE6" w:rsidRDefault="00EF0FE6" w:rsidP="00EF0FE6">
            <w:pPr>
              <w:spacing w:after="160" w:line="278" w:lineRule="auto"/>
              <w:rPr>
                <w:lang w:val="en-US"/>
              </w:rPr>
            </w:pPr>
            <w:r w:rsidRPr="00EF0FE6">
              <w:rPr>
                <w:lang w:val="en-US"/>
              </w:rPr>
              <w:t xml:space="preserve">MRG-4 against 3,000 random 4-gene panels, </w:t>
            </w:r>
            <w:proofErr w:type="spellStart"/>
            <w:r w:rsidRPr="00EF0FE6">
              <w:rPr>
                <w:lang w:val="en-US"/>
              </w:rPr>
              <w:t>penalisation</w:t>
            </w:r>
            <w:proofErr w:type="spellEnd"/>
            <w:r w:rsidRPr="00EF0FE6">
              <w:rPr>
                <w:lang w:val="en-US"/>
              </w:rPr>
              <w:t xml:space="preserve"> matched (</w:t>
            </w:r>
            <w:proofErr w:type="spellStart"/>
            <w:r w:rsidRPr="00EF0FE6">
              <w:rPr>
                <w:lang w:val="en-US"/>
              </w:rPr>
              <w:t>unpenalised</w:t>
            </w:r>
            <w:proofErr w:type="spellEnd"/>
            <w:r w:rsidRPr="00EF0FE6">
              <w:rPr>
                <w:lang w:val="en-US"/>
              </w:rPr>
              <w:t>)</w:t>
            </w:r>
          </w:p>
        </w:tc>
        <w:tc>
          <w:tcPr>
            <w:tcW w:w="3249" w:type="dxa"/>
            <w:tcBorders>
              <w:top w:val="single" w:sz="4" w:space="0" w:color="auto"/>
              <w:left w:val="single" w:sz="4" w:space="0" w:color="auto"/>
              <w:bottom w:val="single" w:sz="4" w:space="0" w:color="auto"/>
              <w:right w:val="single" w:sz="4" w:space="0" w:color="auto"/>
            </w:tcBorders>
            <w:hideMark/>
          </w:tcPr>
          <w:p w14:paraId="408146A5" w14:textId="77777777" w:rsidR="00EF0FE6" w:rsidRPr="00EF0FE6" w:rsidRDefault="00EF0FE6" w:rsidP="00EF0FE6">
            <w:pPr>
              <w:spacing w:after="160" w:line="278" w:lineRule="auto"/>
              <w:rPr>
                <w:lang w:val="en-US"/>
              </w:rPr>
            </w:pPr>
            <w:r w:rsidRPr="00EF0FE6">
              <w:rPr>
                <w:lang w:val="en-US"/>
              </w:rPr>
              <w:t>0.68% of the 2,287 valid panels match or beat it</w:t>
            </w:r>
          </w:p>
        </w:tc>
        <w:tc>
          <w:tcPr>
            <w:tcW w:w="3249" w:type="dxa"/>
            <w:tcBorders>
              <w:top w:val="single" w:sz="4" w:space="0" w:color="auto"/>
              <w:left w:val="single" w:sz="4" w:space="0" w:color="auto"/>
              <w:bottom w:val="single" w:sz="4" w:space="0" w:color="auto"/>
              <w:right w:val="single" w:sz="4" w:space="0" w:color="auto"/>
            </w:tcBorders>
            <w:hideMark/>
          </w:tcPr>
          <w:p w14:paraId="3A800980" w14:textId="77777777" w:rsidR="00EF0FE6" w:rsidRPr="00EF0FE6" w:rsidRDefault="00EF0FE6" w:rsidP="00EF0FE6">
            <w:pPr>
              <w:spacing w:after="160" w:line="278" w:lineRule="auto"/>
              <w:rPr>
                <w:lang w:val="en-US"/>
              </w:rPr>
            </w:pPr>
            <w:r w:rsidRPr="00EF0FE6">
              <w:rPr>
                <w:lang w:val="en-US"/>
              </w:rPr>
              <w:t xml:space="preserve">713 draws failed to fit; null mean 0.638, SD 0.069, 95th pct 0.737; independent seed 2,213 valid, 0.68%; at </w:t>
            </w:r>
            <w:proofErr w:type="spellStart"/>
            <w:r w:rsidRPr="00EF0FE6">
              <w:rPr>
                <w:lang w:val="en-US"/>
              </w:rPr>
              <w:t>penalisation</w:t>
            </w:r>
            <w:proofErr w:type="spellEnd"/>
            <w:r w:rsidRPr="00EF0FE6">
              <w:rPr>
                <w:lang w:val="en-US"/>
              </w:rPr>
              <w:t xml:space="preserve"> 1.0, 2,264 valid and 0.54%</w:t>
            </w:r>
          </w:p>
        </w:tc>
      </w:tr>
      <w:tr w:rsidR="00EF0FE6" w:rsidRPr="00EF0FE6" w14:paraId="26416687"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03335A4" w14:textId="77777777" w:rsidR="00EF0FE6" w:rsidRPr="00EF0FE6" w:rsidRDefault="00EF0FE6" w:rsidP="00EF0FE6">
            <w:pPr>
              <w:spacing w:after="160" w:line="278" w:lineRule="auto"/>
              <w:rPr>
                <w:lang w:val="en-US"/>
              </w:rPr>
            </w:pPr>
            <w:r w:rsidRPr="00EF0FE6">
              <w:rPr>
                <w:lang w:val="en-US"/>
              </w:rPr>
              <w:t xml:space="preserve">Model A against 3,000 random 25-gene panels, </w:t>
            </w:r>
            <w:proofErr w:type="spellStart"/>
            <w:r w:rsidRPr="00EF0FE6">
              <w:rPr>
                <w:lang w:val="en-US"/>
              </w:rPr>
              <w:t>penalisation</w:t>
            </w:r>
            <w:proofErr w:type="spellEnd"/>
            <w:r w:rsidRPr="00EF0FE6">
              <w:rPr>
                <w:lang w:val="en-US"/>
              </w:rPr>
              <w:t xml:space="preserve"> matched (λ = 1.0)</w:t>
            </w:r>
          </w:p>
        </w:tc>
        <w:tc>
          <w:tcPr>
            <w:tcW w:w="3249" w:type="dxa"/>
            <w:tcBorders>
              <w:top w:val="single" w:sz="4" w:space="0" w:color="auto"/>
              <w:left w:val="single" w:sz="4" w:space="0" w:color="auto"/>
              <w:bottom w:val="single" w:sz="4" w:space="0" w:color="auto"/>
              <w:right w:val="single" w:sz="4" w:space="0" w:color="auto"/>
            </w:tcBorders>
            <w:hideMark/>
          </w:tcPr>
          <w:p w14:paraId="279DC965" w14:textId="77777777" w:rsidR="00EF0FE6" w:rsidRPr="00EF0FE6" w:rsidRDefault="00EF0FE6" w:rsidP="00EF0FE6">
            <w:pPr>
              <w:spacing w:after="160" w:line="278" w:lineRule="auto"/>
              <w:rPr>
                <w:lang w:val="en-US"/>
              </w:rPr>
            </w:pPr>
            <w:r w:rsidRPr="00EF0FE6">
              <w:rPr>
                <w:lang w:val="en-US"/>
              </w:rPr>
              <w:t>97.8% of the 348 valid panels match or beat it</w:t>
            </w:r>
          </w:p>
        </w:tc>
        <w:tc>
          <w:tcPr>
            <w:tcW w:w="3249" w:type="dxa"/>
            <w:tcBorders>
              <w:top w:val="single" w:sz="4" w:space="0" w:color="auto"/>
              <w:left w:val="single" w:sz="4" w:space="0" w:color="auto"/>
              <w:bottom w:val="single" w:sz="4" w:space="0" w:color="auto"/>
              <w:right w:val="single" w:sz="4" w:space="0" w:color="auto"/>
            </w:tcBorders>
            <w:hideMark/>
          </w:tcPr>
          <w:p w14:paraId="6B43E1FC" w14:textId="77777777" w:rsidR="00EF0FE6" w:rsidRPr="00EF0FE6" w:rsidRDefault="00EF0FE6" w:rsidP="00EF0FE6">
            <w:pPr>
              <w:spacing w:after="160" w:line="278" w:lineRule="auto"/>
              <w:rPr>
                <w:lang w:val="en-US"/>
              </w:rPr>
            </w:pPr>
            <w:r w:rsidRPr="00EF0FE6">
              <w:rPr>
                <w:lang w:val="en-US"/>
              </w:rPr>
              <w:t xml:space="preserve">2,652 draws failed to fit; null mean 0.731, SD 0.024; independent seed 358 valid, 97.8%. </w:t>
            </w:r>
            <w:proofErr w:type="spellStart"/>
            <w:r w:rsidRPr="00EF0FE6">
              <w:rPr>
                <w:b/>
                <w:lang w:val="en-US"/>
              </w:rPr>
              <w:t>Unpenalised</w:t>
            </w:r>
            <w:proofErr w:type="spellEnd"/>
            <w:r w:rsidRPr="00EF0FE6">
              <w:rPr>
                <w:lang w:val="en-US"/>
              </w:rPr>
              <w:t xml:space="preserve"> panels: 354 valid, null mean 0.662, 49.3% match or beat it, i.e. Model A is not distinguishable from an arbitrary panel under no penalty</w:t>
            </w:r>
          </w:p>
        </w:tc>
      </w:tr>
      <w:tr w:rsidR="00EF0FE6" w:rsidRPr="00EF0FE6" w14:paraId="22018881"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360704C3" w14:textId="77777777" w:rsidR="00EF0FE6" w:rsidRPr="00EF0FE6" w:rsidRDefault="00EF0FE6" w:rsidP="00EF0FE6">
            <w:pPr>
              <w:spacing w:after="160" w:line="278" w:lineRule="auto"/>
              <w:rPr>
                <w:lang w:val="en-US"/>
              </w:rPr>
            </w:pPr>
            <w:r w:rsidRPr="00EF0FE6">
              <w:rPr>
                <w:lang w:val="en-US"/>
              </w:rPr>
              <w:t>Leave-one-gene-out, external C-index</w:t>
            </w:r>
          </w:p>
        </w:tc>
        <w:tc>
          <w:tcPr>
            <w:tcW w:w="3249" w:type="dxa"/>
            <w:tcBorders>
              <w:top w:val="single" w:sz="4" w:space="0" w:color="auto"/>
              <w:left w:val="single" w:sz="4" w:space="0" w:color="auto"/>
              <w:bottom w:val="single" w:sz="4" w:space="0" w:color="auto"/>
              <w:right w:val="single" w:sz="4" w:space="0" w:color="auto"/>
            </w:tcBorders>
            <w:hideMark/>
          </w:tcPr>
          <w:p w14:paraId="464E7DC3" w14:textId="77777777" w:rsidR="00EF0FE6" w:rsidRPr="00EF0FE6" w:rsidRDefault="00EF0FE6" w:rsidP="00EF0FE6">
            <w:pPr>
              <w:spacing w:after="160" w:line="278" w:lineRule="auto"/>
              <w:rPr>
                <w:lang w:val="en-US"/>
              </w:rPr>
            </w:pPr>
            <w:r w:rsidRPr="00EF0FE6">
              <w:rPr>
                <w:lang w:val="en-US"/>
              </w:rPr>
              <w:t>−BMP1 0.747; −KIF15 0.741; −TRAF3 0.751; −PDGFA 0.722</w:t>
            </w:r>
          </w:p>
        </w:tc>
        <w:tc>
          <w:tcPr>
            <w:tcW w:w="3249" w:type="dxa"/>
            <w:tcBorders>
              <w:top w:val="single" w:sz="4" w:space="0" w:color="auto"/>
              <w:left w:val="single" w:sz="4" w:space="0" w:color="auto"/>
              <w:bottom w:val="single" w:sz="4" w:space="0" w:color="auto"/>
              <w:right w:val="single" w:sz="4" w:space="0" w:color="auto"/>
            </w:tcBorders>
            <w:hideMark/>
          </w:tcPr>
          <w:p w14:paraId="4C3B8246" w14:textId="77777777" w:rsidR="00EF0FE6" w:rsidRPr="00EF0FE6" w:rsidRDefault="00EF0FE6" w:rsidP="00EF0FE6">
            <w:pPr>
              <w:spacing w:after="160" w:line="278" w:lineRule="auto"/>
              <w:rPr>
                <w:lang w:val="en-US"/>
              </w:rPr>
            </w:pPr>
            <w:r w:rsidRPr="00EF0FE6">
              <w:rPr>
                <w:lang w:val="en-US"/>
              </w:rPr>
              <w:t xml:space="preserve">all four below the full-model 0.769 under cohort z; under discovery-SD scaling the full model is 0.731 and removing PDGFA </w:t>
            </w:r>
            <w:r w:rsidRPr="00EF0FE6">
              <w:rPr>
                <w:b/>
                <w:lang w:val="en-US"/>
              </w:rPr>
              <w:t>raises</w:t>
            </w:r>
            <w:r w:rsidRPr="00EF0FE6">
              <w:rPr>
                <w:lang w:val="en-US"/>
              </w:rPr>
              <w:t xml:space="preserve"> it to 0.739, so the </w:t>
            </w:r>
            <w:r w:rsidRPr="00EF0FE6">
              <w:rPr>
                <w:lang w:val="en-US"/>
              </w:rPr>
              <w:lastRenderedPageBreak/>
              <w:t>property is convention-dependent</w:t>
            </w:r>
          </w:p>
        </w:tc>
      </w:tr>
      <w:tr w:rsidR="00EF0FE6" w:rsidRPr="00EF0FE6" w14:paraId="40AC3CDC"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2FDE84DF" w14:textId="77777777" w:rsidR="00EF0FE6" w:rsidRPr="00EF0FE6" w:rsidRDefault="00EF0FE6" w:rsidP="00EF0FE6">
            <w:pPr>
              <w:spacing w:after="160" w:line="278" w:lineRule="auto"/>
              <w:rPr>
                <w:lang w:val="en-US"/>
              </w:rPr>
            </w:pPr>
            <w:r w:rsidRPr="00EF0FE6">
              <w:rPr>
                <w:lang w:val="en-US"/>
              </w:rPr>
              <w:lastRenderedPageBreak/>
              <w:t>Univariate screen, Benjamini–Hochberg over 89 genes</w:t>
            </w:r>
          </w:p>
        </w:tc>
        <w:tc>
          <w:tcPr>
            <w:tcW w:w="3249" w:type="dxa"/>
            <w:tcBorders>
              <w:top w:val="single" w:sz="4" w:space="0" w:color="auto"/>
              <w:left w:val="single" w:sz="4" w:space="0" w:color="auto"/>
              <w:bottom w:val="single" w:sz="4" w:space="0" w:color="auto"/>
              <w:right w:val="single" w:sz="4" w:space="0" w:color="auto"/>
            </w:tcBorders>
            <w:hideMark/>
          </w:tcPr>
          <w:p w14:paraId="069C27D9" w14:textId="77777777" w:rsidR="00EF0FE6" w:rsidRPr="00EF0FE6" w:rsidRDefault="00EF0FE6" w:rsidP="00EF0FE6">
            <w:pPr>
              <w:spacing w:after="160" w:line="278" w:lineRule="auto"/>
              <w:rPr>
                <w:lang w:val="en-US"/>
              </w:rPr>
            </w:pPr>
            <w:r w:rsidRPr="00EF0FE6">
              <w:rPr>
                <w:lang w:val="en-US"/>
              </w:rPr>
              <w:t>50 of 89 at q &lt; 0.05</w:t>
            </w:r>
          </w:p>
        </w:tc>
        <w:tc>
          <w:tcPr>
            <w:tcW w:w="3249" w:type="dxa"/>
            <w:tcBorders>
              <w:top w:val="single" w:sz="4" w:space="0" w:color="auto"/>
              <w:left w:val="single" w:sz="4" w:space="0" w:color="auto"/>
              <w:bottom w:val="single" w:sz="4" w:space="0" w:color="auto"/>
              <w:right w:val="single" w:sz="4" w:space="0" w:color="auto"/>
            </w:tcBorders>
            <w:hideMark/>
          </w:tcPr>
          <w:p w14:paraId="2FB1523A" w14:textId="77777777" w:rsidR="00EF0FE6" w:rsidRPr="00EF0FE6" w:rsidRDefault="00EF0FE6" w:rsidP="00EF0FE6">
            <w:pPr>
              <w:spacing w:after="160" w:line="278" w:lineRule="auto"/>
              <w:rPr>
                <w:lang w:val="en-US"/>
              </w:rPr>
            </w:pPr>
            <w:r w:rsidRPr="00EF0FE6">
              <w:rPr>
                <w:lang w:val="en-US"/>
              </w:rPr>
              <w:t xml:space="preserve">56 at raw </w:t>
            </w:r>
            <w:r w:rsidRPr="00EF0FE6">
              <w:rPr>
                <w:i/>
                <w:lang w:val="en-US"/>
              </w:rPr>
              <w:t>P</w:t>
            </w:r>
            <w:r w:rsidRPr="00EF0FE6">
              <w:rPr>
                <w:lang w:val="en-US"/>
              </w:rPr>
              <w:t xml:space="preserve"> &lt; 0.05; 57 at q &lt; 0.10; 64 at q &lt; 0.20</w:t>
            </w:r>
          </w:p>
        </w:tc>
      </w:tr>
      <w:tr w:rsidR="00EF0FE6" w:rsidRPr="00EF0FE6" w14:paraId="5D21528C"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2AA789D5" w14:textId="77777777" w:rsidR="00EF0FE6" w:rsidRPr="00EF0FE6" w:rsidRDefault="00EF0FE6" w:rsidP="00EF0FE6">
            <w:pPr>
              <w:spacing w:after="160" w:line="278" w:lineRule="auto"/>
              <w:rPr>
                <w:lang w:val="en-US"/>
              </w:rPr>
            </w:pPr>
            <w:r w:rsidRPr="00EF0FE6">
              <w:rPr>
                <w:lang w:val="en-US"/>
              </w:rPr>
              <w:t>BH q for the four MRG-4 genes</w:t>
            </w:r>
          </w:p>
        </w:tc>
        <w:tc>
          <w:tcPr>
            <w:tcW w:w="3249" w:type="dxa"/>
            <w:tcBorders>
              <w:top w:val="single" w:sz="4" w:space="0" w:color="auto"/>
              <w:left w:val="single" w:sz="4" w:space="0" w:color="auto"/>
              <w:bottom w:val="single" w:sz="4" w:space="0" w:color="auto"/>
              <w:right w:val="single" w:sz="4" w:space="0" w:color="auto"/>
            </w:tcBorders>
            <w:hideMark/>
          </w:tcPr>
          <w:p w14:paraId="785F75E9" w14:textId="77777777" w:rsidR="00EF0FE6" w:rsidRPr="00EF0FE6" w:rsidRDefault="00EF0FE6" w:rsidP="00EF0FE6">
            <w:pPr>
              <w:spacing w:after="160" w:line="278" w:lineRule="auto"/>
              <w:rPr>
                <w:lang w:val="en-US"/>
              </w:rPr>
            </w:pPr>
            <w:r w:rsidRPr="00EF0FE6">
              <w:rPr>
                <w:lang w:val="en-US"/>
              </w:rPr>
              <w:t>PDGFA 7.7 × 10</w:t>
            </w:r>
            <w:r w:rsidRPr="00EF0FE6">
              <w:rPr>
                <w:rFonts w:ascii="Cambria Math" w:hAnsi="Cambria Math" w:cs="Cambria Math"/>
                <w:lang w:val="en-US"/>
              </w:rPr>
              <w:t>⁻</w:t>
            </w:r>
            <w:r w:rsidRPr="00EF0FE6">
              <w:rPr>
                <w:rFonts w:ascii="Aptos" w:hAnsi="Aptos" w:cs="Aptos"/>
                <w:lang w:val="en-US"/>
              </w:rPr>
              <w:t>¹³</w:t>
            </w:r>
            <w:r w:rsidRPr="00EF0FE6">
              <w:rPr>
                <w:lang w:val="en-US"/>
              </w:rPr>
              <w:t xml:space="preserve">; BMP1 1.4 </w:t>
            </w:r>
            <w:r w:rsidRPr="00EF0FE6">
              <w:rPr>
                <w:rFonts w:ascii="Aptos" w:hAnsi="Aptos" w:cs="Aptos"/>
                <w:lang w:val="en-US"/>
              </w:rPr>
              <w:t>×</w:t>
            </w:r>
            <w:r w:rsidRPr="00EF0FE6">
              <w:rPr>
                <w:lang w:val="en-US"/>
              </w:rPr>
              <w:t xml:space="preserve"> 10</w:t>
            </w:r>
            <w:r w:rsidRPr="00EF0FE6">
              <w:rPr>
                <w:rFonts w:ascii="Cambria Math" w:hAnsi="Cambria Math" w:cs="Cambria Math"/>
                <w:lang w:val="en-US"/>
              </w:rPr>
              <w:t>⁻</w:t>
            </w:r>
            <w:r w:rsidRPr="00EF0FE6">
              <w:rPr>
                <w:rFonts w:ascii="Aptos" w:hAnsi="Aptos" w:cs="Aptos"/>
                <w:lang w:val="en-US"/>
              </w:rPr>
              <w:t>¹¹</w:t>
            </w:r>
            <w:r w:rsidRPr="00EF0FE6">
              <w:rPr>
                <w:lang w:val="en-US"/>
              </w:rPr>
              <w:t xml:space="preserve">; KIF15 7.5 </w:t>
            </w:r>
            <w:r w:rsidRPr="00EF0FE6">
              <w:rPr>
                <w:rFonts w:ascii="Aptos" w:hAnsi="Aptos" w:cs="Aptos"/>
                <w:lang w:val="en-US"/>
              </w:rPr>
              <w:t>×</w:t>
            </w:r>
            <w:r w:rsidRPr="00EF0FE6">
              <w:rPr>
                <w:lang w:val="en-US"/>
              </w:rPr>
              <w:t xml:space="preserve"> 10</w:t>
            </w:r>
            <w:r w:rsidRPr="00EF0FE6">
              <w:rPr>
                <w:rFonts w:ascii="Cambria Math" w:hAnsi="Cambria Math" w:cs="Cambria Math"/>
                <w:lang w:val="en-US"/>
              </w:rPr>
              <w:t>⁻</w:t>
            </w:r>
            <w:r w:rsidRPr="00EF0FE6">
              <w:rPr>
                <w:rFonts w:ascii="Aptos" w:hAnsi="Aptos" w:cs="Aptos"/>
                <w:lang w:val="en-US"/>
              </w:rPr>
              <w:t>¹⁰</w:t>
            </w:r>
            <w:r w:rsidRPr="00EF0FE6">
              <w:rPr>
                <w:lang w:val="en-US"/>
              </w:rPr>
              <w:t>; TRAF3 0.056</w:t>
            </w:r>
          </w:p>
        </w:tc>
        <w:tc>
          <w:tcPr>
            <w:tcW w:w="3249" w:type="dxa"/>
            <w:tcBorders>
              <w:top w:val="single" w:sz="4" w:space="0" w:color="auto"/>
              <w:left w:val="single" w:sz="4" w:space="0" w:color="auto"/>
              <w:bottom w:val="single" w:sz="4" w:space="0" w:color="auto"/>
              <w:right w:val="single" w:sz="4" w:space="0" w:color="auto"/>
            </w:tcBorders>
            <w:hideMark/>
          </w:tcPr>
          <w:p w14:paraId="013B5B11" w14:textId="77777777" w:rsidR="00EF0FE6" w:rsidRPr="00EF0FE6" w:rsidRDefault="00EF0FE6" w:rsidP="00EF0FE6">
            <w:pPr>
              <w:spacing w:after="160" w:line="278" w:lineRule="auto"/>
              <w:rPr>
                <w:lang w:val="en-US"/>
              </w:rPr>
            </w:pPr>
            <w:r w:rsidRPr="00EF0FE6">
              <w:rPr>
                <w:lang w:val="en-US"/>
              </w:rPr>
              <w:t>TRAF3 does not survive at q &lt; 0.05</w:t>
            </w:r>
          </w:p>
        </w:tc>
      </w:tr>
      <w:tr w:rsidR="00EF0FE6" w:rsidRPr="00EF0FE6" w14:paraId="204BBE80"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268A79D" w14:textId="77777777" w:rsidR="00EF0FE6" w:rsidRPr="00EF0FE6" w:rsidRDefault="00EF0FE6" w:rsidP="00EF0FE6">
            <w:pPr>
              <w:spacing w:after="160" w:line="278" w:lineRule="auto"/>
              <w:rPr>
                <w:lang w:val="en-US"/>
              </w:rPr>
            </w:pPr>
            <w:r w:rsidRPr="00EF0FE6">
              <w:rPr>
                <w:lang w:val="en-US"/>
              </w:rPr>
              <w:t>Adjusted HR per SD, CGGA, IDH + grade</w:t>
            </w:r>
          </w:p>
        </w:tc>
        <w:tc>
          <w:tcPr>
            <w:tcW w:w="3249" w:type="dxa"/>
            <w:tcBorders>
              <w:top w:val="single" w:sz="4" w:space="0" w:color="auto"/>
              <w:left w:val="single" w:sz="4" w:space="0" w:color="auto"/>
              <w:bottom w:val="single" w:sz="4" w:space="0" w:color="auto"/>
              <w:right w:val="single" w:sz="4" w:space="0" w:color="auto"/>
            </w:tcBorders>
            <w:hideMark/>
          </w:tcPr>
          <w:p w14:paraId="63F326C6" w14:textId="77777777" w:rsidR="00EF0FE6" w:rsidRPr="00EF0FE6" w:rsidRDefault="00EF0FE6" w:rsidP="00EF0FE6">
            <w:pPr>
              <w:spacing w:after="160" w:line="278" w:lineRule="auto"/>
              <w:rPr>
                <w:lang w:val="en-US"/>
              </w:rPr>
            </w:pPr>
            <w:r w:rsidRPr="00EF0FE6">
              <w:rPr>
                <w:lang w:val="en-US"/>
              </w:rPr>
              <w:t>1.52</w:t>
            </w:r>
          </w:p>
        </w:tc>
        <w:tc>
          <w:tcPr>
            <w:tcW w:w="3249" w:type="dxa"/>
            <w:tcBorders>
              <w:top w:val="single" w:sz="4" w:space="0" w:color="auto"/>
              <w:left w:val="single" w:sz="4" w:space="0" w:color="auto"/>
              <w:bottom w:val="single" w:sz="4" w:space="0" w:color="auto"/>
              <w:right w:val="single" w:sz="4" w:space="0" w:color="auto"/>
            </w:tcBorders>
            <w:hideMark/>
          </w:tcPr>
          <w:p w14:paraId="0223539F" w14:textId="77777777" w:rsidR="00EF0FE6" w:rsidRPr="00EF0FE6" w:rsidRDefault="00EF0FE6" w:rsidP="00EF0FE6">
            <w:pPr>
              <w:spacing w:after="160" w:line="278" w:lineRule="auto"/>
              <w:rPr>
                <w:lang w:val="en-US"/>
              </w:rPr>
            </w:pPr>
            <w:r w:rsidRPr="00EF0FE6">
              <w:rPr>
                <w:lang w:val="en-US"/>
              </w:rPr>
              <w:t xml:space="preserve">1.29–1.79, </w:t>
            </w:r>
            <w:r w:rsidRPr="00EF0FE6">
              <w:rPr>
                <w:i/>
                <w:lang w:val="en-US"/>
              </w:rPr>
              <w:t>P</w:t>
            </w:r>
            <w:r w:rsidRPr="00EF0FE6">
              <w:rPr>
                <w:lang w:val="en-US"/>
              </w:rPr>
              <w:t xml:space="preserve"> = 6.2 × 10</w:t>
            </w:r>
            <w:r w:rsidRPr="00EF0FE6">
              <w:rPr>
                <w:rFonts w:ascii="Cambria Math" w:hAnsi="Cambria Math" w:cs="Cambria Math"/>
                <w:lang w:val="en-US"/>
              </w:rPr>
              <w:t>⁻</w:t>
            </w:r>
            <w:r w:rsidRPr="00EF0FE6">
              <w:rPr>
                <w:rFonts w:ascii="Aptos" w:hAnsi="Aptos" w:cs="Aptos"/>
                <w:lang w:val="en-US"/>
              </w:rPr>
              <w:t>⁷</w:t>
            </w:r>
            <w:r w:rsidRPr="00EF0FE6">
              <w:rPr>
                <w:lang w:val="en-US"/>
              </w:rPr>
              <w:t>; n = 171 (1 patient has no IDH call)</w:t>
            </w:r>
          </w:p>
        </w:tc>
      </w:tr>
      <w:tr w:rsidR="00EF0FE6" w:rsidRPr="00EF0FE6" w14:paraId="6C1FA500"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14D7EFC6" w14:textId="77777777" w:rsidR="00EF0FE6" w:rsidRPr="00EF0FE6" w:rsidRDefault="00EF0FE6" w:rsidP="00EF0FE6">
            <w:pPr>
              <w:spacing w:after="160" w:line="278" w:lineRule="auto"/>
              <w:rPr>
                <w:lang w:val="en-US"/>
              </w:rPr>
            </w:pPr>
            <w:r w:rsidRPr="00EF0FE6">
              <w:rPr>
                <w:lang w:val="en-US"/>
              </w:rPr>
              <w:t>Adjusted HR per SD, CGGA, + 1p/19q (n = 170)</w:t>
            </w:r>
          </w:p>
        </w:tc>
        <w:tc>
          <w:tcPr>
            <w:tcW w:w="3249" w:type="dxa"/>
            <w:tcBorders>
              <w:top w:val="single" w:sz="4" w:space="0" w:color="auto"/>
              <w:left w:val="single" w:sz="4" w:space="0" w:color="auto"/>
              <w:bottom w:val="single" w:sz="4" w:space="0" w:color="auto"/>
              <w:right w:val="single" w:sz="4" w:space="0" w:color="auto"/>
            </w:tcBorders>
            <w:hideMark/>
          </w:tcPr>
          <w:p w14:paraId="3B163D0C" w14:textId="77777777" w:rsidR="00EF0FE6" w:rsidRPr="00EF0FE6" w:rsidRDefault="00EF0FE6" w:rsidP="00EF0FE6">
            <w:pPr>
              <w:spacing w:after="160" w:line="278" w:lineRule="auto"/>
              <w:rPr>
                <w:lang w:val="en-US"/>
              </w:rPr>
            </w:pPr>
            <w:r w:rsidRPr="00EF0FE6">
              <w:rPr>
                <w:lang w:val="en-US"/>
              </w:rPr>
              <w:t>1.33</w:t>
            </w:r>
          </w:p>
        </w:tc>
        <w:tc>
          <w:tcPr>
            <w:tcW w:w="3249" w:type="dxa"/>
            <w:tcBorders>
              <w:top w:val="single" w:sz="4" w:space="0" w:color="auto"/>
              <w:left w:val="single" w:sz="4" w:space="0" w:color="auto"/>
              <w:bottom w:val="single" w:sz="4" w:space="0" w:color="auto"/>
              <w:right w:val="single" w:sz="4" w:space="0" w:color="auto"/>
            </w:tcBorders>
            <w:hideMark/>
          </w:tcPr>
          <w:p w14:paraId="5F30BF16" w14:textId="77777777" w:rsidR="00EF0FE6" w:rsidRPr="00EF0FE6" w:rsidRDefault="00EF0FE6" w:rsidP="00EF0FE6">
            <w:pPr>
              <w:spacing w:after="160" w:line="278" w:lineRule="auto"/>
              <w:rPr>
                <w:lang w:val="en-US"/>
              </w:rPr>
            </w:pPr>
            <w:r w:rsidRPr="00EF0FE6">
              <w:rPr>
                <w:lang w:val="en-US"/>
              </w:rPr>
              <w:t xml:space="preserve">1.13–1.57, </w:t>
            </w:r>
            <w:r w:rsidRPr="00EF0FE6">
              <w:rPr>
                <w:i/>
                <w:lang w:val="en-US"/>
              </w:rPr>
              <w:t>P</w:t>
            </w:r>
            <w:r w:rsidRPr="00EF0FE6">
              <w:rPr>
                <w:lang w:val="en-US"/>
              </w:rPr>
              <w:t xml:space="preserve"> = 7.8 × 10</w:t>
            </w:r>
            <w:r w:rsidRPr="00EF0FE6">
              <w:rPr>
                <w:rFonts w:ascii="Cambria Math" w:hAnsi="Cambria Math" w:cs="Cambria Math"/>
                <w:lang w:val="en-US"/>
              </w:rPr>
              <w:t>⁻</w:t>
            </w:r>
            <w:r w:rsidRPr="00EF0FE6">
              <w:rPr>
                <w:rFonts w:ascii="Aptos" w:hAnsi="Aptos" w:cs="Aptos"/>
                <w:lang w:val="en-US"/>
              </w:rPr>
              <w:t>⁴</w:t>
            </w:r>
            <w:r w:rsidRPr="00EF0FE6">
              <w:rPr>
                <w:lang w:val="en-US"/>
              </w:rPr>
              <w:t>; 2 patients missing codeletion; deposited as Supplementary Table S15</w:t>
            </w:r>
          </w:p>
        </w:tc>
      </w:tr>
      <w:tr w:rsidR="00EF0FE6" w:rsidRPr="00EF0FE6" w14:paraId="2C09DE1E"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1509F46D" w14:textId="77777777" w:rsidR="00EF0FE6" w:rsidRPr="00EF0FE6" w:rsidRDefault="00EF0FE6" w:rsidP="00EF0FE6">
            <w:pPr>
              <w:spacing w:after="160" w:line="278" w:lineRule="auto"/>
              <w:rPr>
                <w:lang w:val="en-US"/>
              </w:rPr>
            </w:pPr>
            <w:r w:rsidRPr="00EF0FE6">
              <w:rPr>
                <w:lang w:val="en-US"/>
              </w:rPr>
              <w:t>Adjusted HR per SD, CGGA, + IDH + grade + 1p/19q + MGMT (n = 154, 83 deaths)</w:t>
            </w:r>
          </w:p>
        </w:tc>
        <w:tc>
          <w:tcPr>
            <w:tcW w:w="3249" w:type="dxa"/>
            <w:tcBorders>
              <w:top w:val="single" w:sz="4" w:space="0" w:color="auto"/>
              <w:left w:val="single" w:sz="4" w:space="0" w:color="auto"/>
              <w:bottom w:val="single" w:sz="4" w:space="0" w:color="auto"/>
              <w:right w:val="single" w:sz="4" w:space="0" w:color="auto"/>
            </w:tcBorders>
            <w:hideMark/>
          </w:tcPr>
          <w:p w14:paraId="39F2C427" w14:textId="77777777" w:rsidR="00EF0FE6" w:rsidRPr="00EF0FE6" w:rsidRDefault="00EF0FE6" w:rsidP="00EF0FE6">
            <w:pPr>
              <w:spacing w:after="160" w:line="278" w:lineRule="auto"/>
              <w:rPr>
                <w:lang w:val="en-US"/>
              </w:rPr>
            </w:pPr>
            <w:r w:rsidRPr="00EF0FE6">
              <w:rPr>
                <w:lang w:val="en-US"/>
              </w:rPr>
              <w:t>1.37</w:t>
            </w:r>
          </w:p>
        </w:tc>
        <w:tc>
          <w:tcPr>
            <w:tcW w:w="3249" w:type="dxa"/>
            <w:tcBorders>
              <w:top w:val="single" w:sz="4" w:space="0" w:color="auto"/>
              <w:left w:val="single" w:sz="4" w:space="0" w:color="auto"/>
              <w:bottom w:val="single" w:sz="4" w:space="0" w:color="auto"/>
              <w:right w:val="single" w:sz="4" w:space="0" w:color="auto"/>
            </w:tcBorders>
            <w:hideMark/>
          </w:tcPr>
          <w:p w14:paraId="315BDBBE" w14:textId="77777777" w:rsidR="00EF0FE6" w:rsidRPr="00EF0FE6" w:rsidRDefault="00EF0FE6" w:rsidP="00EF0FE6">
            <w:pPr>
              <w:spacing w:after="160" w:line="278" w:lineRule="auto"/>
              <w:rPr>
                <w:lang w:val="en-US"/>
              </w:rPr>
            </w:pPr>
            <w:r w:rsidRPr="00EF0FE6">
              <w:rPr>
                <w:lang w:val="en-US"/>
              </w:rPr>
              <w:t xml:space="preserve">1.14–1.65, </w:t>
            </w:r>
            <w:r w:rsidRPr="00EF0FE6">
              <w:rPr>
                <w:i/>
                <w:lang w:val="en-US"/>
              </w:rPr>
              <w:t>P</w:t>
            </w:r>
            <w:r w:rsidRPr="00EF0FE6">
              <w:rPr>
                <w:lang w:val="en-US"/>
              </w:rPr>
              <w:t xml:space="preserve"> = 6.5 × 10</w:t>
            </w:r>
            <w:r w:rsidRPr="00EF0FE6">
              <w:rPr>
                <w:rFonts w:ascii="Cambria Math" w:hAnsi="Cambria Math" w:cs="Cambria Math"/>
                <w:lang w:val="en-US"/>
              </w:rPr>
              <w:t>⁻</w:t>
            </w:r>
            <w:r w:rsidRPr="00EF0FE6">
              <w:rPr>
                <w:rFonts w:ascii="Aptos" w:hAnsi="Aptos" w:cs="Aptos"/>
                <w:lang w:val="en-US"/>
              </w:rPr>
              <w:t>⁴</w:t>
            </w:r>
            <w:r w:rsidRPr="00EF0FE6">
              <w:rPr>
                <w:lang w:val="en-US"/>
              </w:rPr>
              <w:t>; 18 patients missing one of these covariates</w:t>
            </w:r>
          </w:p>
        </w:tc>
      </w:tr>
      <w:tr w:rsidR="00EF0FE6" w:rsidRPr="00EF0FE6" w14:paraId="24FB8EAD"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119AF36D" w14:textId="77777777" w:rsidR="00EF0FE6" w:rsidRPr="00EF0FE6" w:rsidRDefault="00EF0FE6" w:rsidP="00EF0FE6">
            <w:pPr>
              <w:spacing w:after="160" w:line="278" w:lineRule="auto"/>
              <w:rPr>
                <w:lang w:val="en-US"/>
              </w:rPr>
            </w:pPr>
            <w:r w:rsidRPr="00EF0FE6">
              <w:rPr>
                <w:lang w:val="en-US"/>
              </w:rPr>
              <w:t>Adjusted HR per SD, CGGA, + IDH + grade + 1p/19q + MGMT + treatment (n = 146, 78 deaths)</w:t>
            </w:r>
          </w:p>
        </w:tc>
        <w:tc>
          <w:tcPr>
            <w:tcW w:w="3249" w:type="dxa"/>
            <w:tcBorders>
              <w:top w:val="single" w:sz="4" w:space="0" w:color="auto"/>
              <w:left w:val="single" w:sz="4" w:space="0" w:color="auto"/>
              <w:bottom w:val="single" w:sz="4" w:space="0" w:color="auto"/>
              <w:right w:val="single" w:sz="4" w:space="0" w:color="auto"/>
            </w:tcBorders>
            <w:hideMark/>
          </w:tcPr>
          <w:p w14:paraId="00795DDD" w14:textId="77777777" w:rsidR="00EF0FE6" w:rsidRPr="00EF0FE6" w:rsidRDefault="00EF0FE6" w:rsidP="00EF0FE6">
            <w:pPr>
              <w:spacing w:after="160" w:line="278" w:lineRule="auto"/>
              <w:rPr>
                <w:lang w:val="en-US"/>
              </w:rPr>
            </w:pPr>
            <w:r w:rsidRPr="00EF0FE6">
              <w:rPr>
                <w:lang w:val="en-US"/>
              </w:rPr>
              <w:t>1.41</w:t>
            </w:r>
          </w:p>
        </w:tc>
        <w:tc>
          <w:tcPr>
            <w:tcW w:w="3249" w:type="dxa"/>
            <w:tcBorders>
              <w:top w:val="single" w:sz="4" w:space="0" w:color="auto"/>
              <w:left w:val="single" w:sz="4" w:space="0" w:color="auto"/>
              <w:bottom w:val="single" w:sz="4" w:space="0" w:color="auto"/>
              <w:right w:val="single" w:sz="4" w:space="0" w:color="auto"/>
            </w:tcBorders>
            <w:hideMark/>
          </w:tcPr>
          <w:p w14:paraId="4B12A2C7" w14:textId="77777777" w:rsidR="00EF0FE6" w:rsidRPr="00EF0FE6" w:rsidRDefault="00EF0FE6" w:rsidP="00EF0FE6">
            <w:pPr>
              <w:spacing w:after="160" w:line="278" w:lineRule="auto"/>
              <w:rPr>
                <w:lang w:val="en-US"/>
              </w:rPr>
            </w:pPr>
            <w:r w:rsidRPr="00EF0FE6">
              <w:rPr>
                <w:lang w:val="en-US"/>
              </w:rPr>
              <w:t xml:space="preserve">1.17–1.71, </w:t>
            </w:r>
            <w:r w:rsidRPr="00EF0FE6">
              <w:rPr>
                <w:i/>
                <w:lang w:val="en-US"/>
              </w:rPr>
              <w:t>P</w:t>
            </w:r>
            <w:r w:rsidRPr="00EF0FE6">
              <w:rPr>
                <w:lang w:val="en-US"/>
              </w:rPr>
              <w:t xml:space="preserve"> = 3.4 × 10</w:t>
            </w:r>
            <w:r w:rsidRPr="00EF0FE6">
              <w:rPr>
                <w:rFonts w:ascii="Cambria Math" w:hAnsi="Cambria Math" w:cs="Cambria Math"/>
                <w:lang w:val="en-US"/>
              </w:rPr>
              <w:t>⁻</w:t>
            </w:r>
            <w:r w:rsidRPr="00EF0FE6">
              <w:rPr>
                <w:rFonts w:ascii="Aptos" w:hAnsi="Aptos" w:cs="Aptos"/>
                <w:lang w:val="en-US"/>
              </w:rPr>
              <w:t>⁴</w:t>
            </w:r>
            <w:r w:rsidRPr="00EF0FE6">
              <w:rPr>
                <w:lang w:val="en-US"/>
              </w:rPr>
              <w:t>; 26 patients missing at least one covariate. Fitted with treatment alone the value is 1.80 (n = 163, 85 deaths)</w:t>
            </w:r>
          </w:p>
        </w:tc>
      </w:tr>
      <w:tr w:rsidR="00EF0FE6" w:rsidRPr="00EF0FE6" w14:paraId="7620559E"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619D54BE" w14:textId="77777777" w:rsidR="00EF0FE6" w:rsidRPr="00EF0FE6" w:rsidRDefault="00EF0FE6" w:rsidP="00EF0FE6">
            <w:pPr>
              <w:spacing w:after="160" w:line="278" w:lineRule="auto"/>
              <w:rPr>
                <w:lang w:val="en-US"/>
              </w:rPr>
            </w:pPr>
            <w:r w:rsidRPr="00EF0FE6">
              <w:rPr>
                <w:lang w:val="en-US"/>
              </w:rPr>
              <w:t>Adjusted HR per SD, TCGA, IDH + grade</w:t>
            </w:r>
          </w:p>
        </w:tc>
        <w:tc>
          <w:tcPr>
            <w:tcW w:w="3249" w:type="dxa"/>
            <w:tcBorders>
              <w:top w:val="single" w:sz="4" w:space="0" w:color="auto"/>
              <w:left w:val="single" w:sz="4" w:space="0" w:color="auto"/>
              <w:bottom w:val="single" w:sz="4" w:space="0" w:color="auto"/>
              <w:right w:val="single" w:sz="4" w:space="0" w:color="auto"/>
            </w:tcBorders>
            <w:hideMark/>
          </w:tcPr>
          <w:p w14:paraId="6BC8EB51" w14:textId="77777777" w:rsidR="00EF0FE6" w:rsidRPr="00EF0FE6" w:rsidRDefault="00EF0FE6" w:rsidP="00EF0FE6">
            <w:pPr>
              <w:spacing w:after="160" w:line="278" w:lineRule="auto"/>
              <w:rPr>
                <w:lang w:val="en-US"/>
              </w:rPr>
            </w:pPr>
            <w:r w:rsidRPr="00EF0FE6">
              <w:rPr>
                <w:lang w:val="en-US"/>
              </w:rPr>
              <w:t>1.67</w:t>
            </w:r>
          </w:p>
        </w:tc>
        <w:tc>
          <w:tcPr>
            <w:tcW w:w="3249" w:type="dxa"/>
            <w:tcBorders>
              <w:top w:val="single" w:sz="4" w:space="0" w:color="auto"/>
              <w:left w:val="single" w:sz="4" w:space="0" w:color="auto"/>
              <w:bottom w:val="single" w:sz="4" w:space="0" w:color="auto"/>
              <w:right w:val="single" w:sz="4" w:space="0" w:color="auto"/>
            </w:tcBorders>
            <w:hideMark/>
          </w:tcPr>
          <w:p w14:paraId="15F86AA7" w14:textId="77777777" w:rsidR="00EF0FE6" w:rsidRPr="00EF0FE6" w:rsidRDefault="00EF0FE6" w:rsidP="00EF0FE6">
            <w:pPr>
              <w:spacing w:after="160" w:line="278" w:lineRule="auto"/>
              <w:rPr>
                <w:lang w:val="en-US"/>
              </w:rPr>
            </w:pPr>
            <w:r w:rsidRPr="00EF0FE6">
              <w:rPr>
                <w:lang w:val="en-US"/>
              </w:rPr>
              <w:t xml:space="preserve">1.31–2.13, </w:t>
            </w:r>
            <w:r w:rsidRPr="00EF0FE6">
              <w:rPr>
                <w:i/>
                <w:lang w:val="en-US"/>
              </w:rPr>
              <w:t>P</w:t>
            </w:r>
            <w:r w:rsidRPr="00EF0FE6">
              <w:rPr>
                <w:lang w:val="en-US"/>
              </w:rPr>
              <w:t xml:space="preserve"> = 2.8 × 10</w:t>
            </w:r>
            <w:r w:rsidRPr="00EF0FE6">
              <w:rPr>
                <w:rFonts w:ascii="Cambria Math" w:hAnsi="Cambria Math" w:cs="Cambria Math"/>
                <w:lang w:val="en-US"/>
              </w:rPr>
              <w:t>⁻</w:t>
            </w:r>
            <w:r w:rsidRPr="00EF0FE6">
              <w:rPr>
                <w:rFonts w:ascii="Aptos" w:hAnsi="Aptos" w:cs="Aptos"/>
                <w:lang w:val="en-US"/>
              </w:rPr>
              <w:t>⁵</w:t>
            </w:r>
          </w:p>
        </w:tc>
      </w:tr>
      <w:tr w:rsidR="00EF0FE6" w:rsidRPr="00EF0FE6" w14:paraId="4223294B"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51817D24" w14:textId="77777777" w:rsidR="00EF0FE6" w:rsidRPr="00EF0FE6" w:rsidRDefault="00EF0FE6" w:rsidP="00EF0FE6">
            <w:pPr>
              <w:spacing w:after="160" w:line="278" w:lineRule="auto"/>
              <w:rPr>
                <w:lang w:val="en-US"/>
              </w:rPr>
            </w:pPr>
            <w:r w:rsidRPr="00EF0FE6">
              <w:rPr>
                <w:lang w:val="en-US"/>
              </w:rPr>
              <w:t>Adjusted HR per SD, TCGA, within IDH-mutant, + 1p/19q + grade</w:t>
            </w:r>
          </w:p>
        </w:tc>
        <w:tc>
          <w:tcPr>
            <w:tcW w:w="3249" w:type="dxa"/>
            <w:tcBorders>
              <w:top w:val="single" w:sz="4" w:space="0" w:color="auto"/>
              <w:left w:val="single" w:sz="4" w:space="0" w:color="auto"/>
              <w:bottom w:val="single" w:sz="4" w:space="0" w:color="auto"/>
              <w:right w:val="single" w:sz="4" w:space="0" w:color="auto"/>
            </w:tcBorders>
            <w:hideMark/>
          </w:tcPr>
          <w:p w14:paraId="6FAAB9E6" w14:textId="77777777" w:rsidR="00EF0FE6" w:rsidRPr="00EF0FE6" w:rsidRDefault="00EF0FE6" w:rsidP="00EF0FE6">
            <w:pPr>
              <w:spacing w:after="160" w:line="278" w:lineRule="auto"/>
              <w:rPr>
                <w:lang w:val="en-US"/>
              </w:rPr>
            </w:pPr>
            <w:r w:rsidRPr="00EF0FE6">
              <w:rPr>
                <w:lang w:val="en-US"/>
              </w:rPr>
              <w:t>1.70</w:t>
            </w:r>
          </w:p>
        </w:tc>
        <w:tc>
          <w:tcPr>
            <w:tcW w:w="3249" w:type="dxa"/>
            <w:tcBorders>
              <w:top w:val="single" w:sz="4" w:space="0" w:color="auto"/>
              <w:left w:val="single" w:sz="4" w:space="0" w:color="auto"/>
              <w:bottom w:val="single" w:sz="4" w:space="0" w:color="auto"/>
              <w:right w:val="single" w:sz="4" w:space="0" w:color="auto"/>
            </w:tcBorders>
            <w:hideMark/>
          </w:tcPr>
          <w:p w14:paraId="03AA9502" w14:textId="77777777" w:rsidR="00EF0FE6" w:rsidRPr="00EF0FE6" w:rsidRDefault="00EF0FE6" w:rsidP="00EF0FE6">
            <w:pPr>
              <w:spacing w:after="160" w:line="278" w:lineRule="auto"/>
              <w:rPr>
                <w:lang w:val="en-US"/>
              </w:rPr>
            </w:pPr>
            <w:r w:rsidRPr="00EF0FE6">
              <w:rPr>
                <w:lang w:val="en-US"/>
              </w:rPr>
              <w:t xml:space="preserve">1.27–2.26, </w:t>
            </w:r>
            <w:r w:rsidRPr="00EF0FE6">
              <w:rPr>
                <w:i/>
                <w:lang w:val="en-US"/>
              </w:rPr>
              <w:t>P</w:t>
            </w:r>
            <w:r w:rsidRPr="00EF0FE6">
              <w:rPr>
                <w:lang w:val="en-US"/>
              </w:rPr>
              <w:t xml:space="preserve"> = 3.0 × 10</w:t>
            </w:r>
            <w:r w:rsidRPr="00EF0FE6">
              <w:rPr>
                <w:rFonts w:ascii="Cambria Math" w:hAnsi="Cambria Math" w:cs="Cambria Math"/>
                <w:lang w:val="en-US"/>
              </w:rPr>
              <w:t>⁻</w:t>
            </w:r>
            <w:r w:rsidRPr="00EF0FE6">
              <w:rPr>
                <w:rFonts w:ascii="Aptos" w:hAnsi="Aptos" w:cs="Aptos"/>
                <w:lang w:val="en-US"/>
              </w:rPr>
              <w:t>⁴</w:t>
            </w:r>
            <w:r w:rsidRPr="00EF0FE6">
              <w:rPr>
                <w:lang w:val="en-US"/>
              </w:rPr>
              <w:t>; n = 410, 73 deaths (the IDH-mutant subset is 411 patients before the one non-</w:t>
            </w:r>
            <w:proofErr w:type="spellStart"/>
            <w:r w:rsidRPr="00EF0FE6">
              <w:rPr>
                <w:lang w:val="en-US"/>
              </w:rPr>
              <w:t>codel</w:t>
            </w:r>
            <w:proofErr w:type="spellEnd"/>
            <w:r w:rsidRPr="00EF0FE6">
              <w:rPr>
                <w:lang w:val="en-US"/>
              </w:rPr>
              <w:t xml:space="preserve"> patient without a grade is removed)</w:t>
            </w:r>
          </w:p>
        </w:tc>
      </w:tr>
      <w:tr w:rsidR="00EF0FE6" w:rsidRPr="00EF0FE6" w14:paraId="2DB93202"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59F40B98" w14:textId="77777777" w:rsidR="00EF0FE6" w:rsidRPr="00EF0FE6" w:rsidRDefault="00EF0FE6" w:rsidP="00EF0FE6">
            <w:pPr>
              <w:spacing w:after="160" w:line="278" w:lineRule="auto"/>
              <w:rPr>
                <w:lang w:val="en-US"/>
              </w:rPr>
            </w:pPr>
            <w:r w:rsidRPr="00EF0FE6">
              <w:rPr>
                <w:lang w:val="en-US"/>
              </w:rPr>
              <w:t>MRG-4 added to a 20-gene proliferation score</w:t>
            </w:r>
          </w:p>
        </w:tc>
        <w:tc>
          <w:tcPr>
            <w:tcW w:w="3249" w:type="dxa"/>
            <w:tcBorders>
              <w:top w:val="single" w:sz="4" w:space="0" w:color="auto"/>
              <w:left w:val="single" w:sz="4" w:space="0" w:color="auto"/>
              <w:bottom w:val="single" w:sz="4" w:space="0" w:color="auto"/>
              <w:right w:val="single" w:sz="4" w:space="0" w:color="auto"/>
            </w:tcBorders>
            <w:hideMark/>
          </w:tcPr>
          <w:p w14:paraId="026DAEE6" w14:textId="77777777" w:rsidR="00EF0FE6" w:rsidRPr="00EF0FE6" w:rsidRDefault="00EF0FE6" w:rsidP="00EF0FE6">
            <w:pPr>
              <w:spacing w:after="160" w:line="278" w:lineRule="auto"/>
              <w:rPr>
                <w:lang w:val="en-US"/>
              </w:rPr>
            </w:pPr>
            <w:r w:rsidRPr="00EF0FE6">
              <w:rPr>
                <w:lang w:val="en-US"/>
              </w:rPr>
              <w:t>LR χ² = 14.9</w:t>
            </w:r>
          </w:p>
        </w:tc>
        <w:tc>
          <w:tcPr>
            <w:tcW w:w="3249" w:type="dxa"/>
            <w:tcBorders>
              <w:top w:val="single" w:sz="4" w:space="0" w:color="auto"/>
              <w:left w:val="single" w:sz="4" w:space="0" w:color="auto"/>
              <w:bottom w:val="single" w:sz="4" w:space="0" w:color="auto"/>
              <w:right w:val="single" w:sz="4" w:space="0" w:color="auto"/>
            </w:tcBorders>
            <w:hideMark/>
          </w:tcPr>
          <w:p w14:paraId="44DB5784" w14:textId="77777777" w:rsidR="00EF0FE6" w:rsidRPr="00EF0FE6" w:rsidRDefault="00EF0FE6" w:rsidP="00EF0FE6">
            <w:pPr>
              <w:spacing w:after="160" w:line="278" w:lineRule="auto"/>
              <w:rPr>
                <w:lang w:val="en-US"/>
              </w:rPr>
            </w:pPr>
            <w:r w:rsidRPr="00EF0FE6">
              <w:rPr>
                <w:i/>
                <w:lang w:val="en-US"/>
              </w:rPr>
              <w:t>P</w:t>
            </w:r>
            <w:r w:rsidRPr="00EF0FE6">
              <w:rPr>
                <w:lang w:val="en-US"/>
              </w:rPr>
              <w:t xml:space="preserve"> = 1.1 × 10</w:t>
            </w:r>
            <w:r w:rsidRPr="00EF0FE6">
              <w:rPr>
                <w:rFonts w:ascii="Cambria Math" w:hAnsi="Cambria Math" w:cs="Cambria Math"/>
                <w:lang w:val="en-US"/>
              </w:rPr>
              <w:t>⁻</w:t>
            </w:r>
            <w:r w:rsidRPr="00EF0FE6">
              <w:rPr>
                <w:rFonts w:ascii="Aptos" w:hAnsi="Aptos" w:cs="Aptos"/>
                <w:lang w:val="en-US"/>
              </w:rPr>
              <w:t>⁴</w:t>
            </w:r>
            <w:r w:rsidRPr="00EF0FE6">
              <w:rPr>
                <w:lang w:val="en-US"/>
              </w:rPr>
              <w:t>; proliferation score alone C = 0.710</w:t>
            </w:r>
          </w:p>
        </w:tc>
      </w:tr>
      <w:tr w:rsidR="00EF0FE6" w:rsidRPr="00EF0FE6" w14:paraId="3CEFA68B"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34C0330B" w14:textId="77777777" w:rsidR="00EF0FE6" w:rsidRPr="00EF0FE6" w:rsidRDefault="00EF0FE6" w:rsidP="00EF0FE6">
            <w:pPr>
              <w:spacing w:after="160" w:line="278" w:lineRule="auto"/>
              <w:rPr>
                <w:lang w:val="en-US"/>
              </w:rPr>
            </w:pPr>
            <w:r w:rsidRPr="00EF0FE6">
              <w:rPr>
                <w:lang w:val="en-US"/>
              </w:rPr>
              <w:lastRenderedPageBreak/>
              <w:t>MRG-4 added to a 15-gene extracellular-matrix score</w:t>
            </w:r>
          </w:p>
        </w:tc>
        <w:tc>
          <w:tcPr>
            <w:tcW w:w="3249" w:type="dxa"/>
            <w:tcBorders>
              <w:top w:val="single" w:sz="4" w:space="0" w:color="auto"/>
              <w:left w:val="single" w:sz="4" w:space="0" w:color="auto"/>
              <w:bottom w:val="single" w:sz="4" w:space="0" w:color="auto"/>
              <w:right w:val="single" w:sz="4" w:space="0" w:color="auto"/>
            </w:tcBorders>
            <w:hideMark/>
          </w:tcPr>
          <w:p w14:paraId="4C730F4D" w14:textId="77777777" w:rsidR="00EF0FE6" w:rsidRPr="00EF0FE6" w:rsidRDefault="00EF0FE6" w:rsidP="00EF0FE6">
            <w:pPr>
              <w:spacing w:after="160" w:line="278" w:lineRule="auto"/>
              <w:rPr>
                <w:lang w:val="en-US"/>
              </w:rPr>
            </w:pPr>
            <w:r w:rsidRPr="00EF0FE6">
              <w:rPr>
                <w:b/>
                <w:lang w:val="en-US"/>
              </w:rPr>
              <w:t>not performed</w:t>
            </w:r>
          </w:p>
        </w:tc>
        <w:tc>
          <w:tcPr>
            <w:tcW w:w="3249" w:type="dxa"/>
            <w:tcBorders>
              <w:top w:val="single" w:sz="4" w:space="0" w:color="auto"/>
              <w:left w:val="single" w:sz="4" w:space="0" w:color="auto"/>
              <w:bottom w:val="single" w:sz="4" w:space="0" w:color="auto"/>
              <w:right w:val="single" w:sz="4" w:space="0" w:color="auto"/>
            </w:tcBorders>
            <w:hideMark/>
          </w:tcPr>
          <w:p w14:paraId="751EE2CC" w14:textId="77777777" w:rsidR="00EF0FE6" w:rsidRPr="00EF0FE6" w:rsidRDefault="00EF0FE6" w:rsidP="00EF0FE6">
            <w:pPr>
              <w:spacing w:after="160" w:line="278" w:lineRule="auto"/>
              <w:rPr>
                <w:lang w:val="en-US"/>
              </w:rPr>
            </w:pPr>
            <w:r w:rsidRPr="00EF0FE6">
              <w:rPr>
                <w:lang w:val="en-US"/>
              </w:rPr>
              <w:t>the member genes of that score are not recorded in the deposited pipeline, so the comparison cannot be rebuilt from the deposit; reported in the Limitations</w:t>
            </w:r>
          </w:p>
        </w:tc>
      </w:tr>
      <w:tr w:rsidR="00EF0FE6" w:rsidRPr="00EF0FE6" w14:paraId="088C0502"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50D4F4D7" w14:textId="77777777" w:rsidR="00EF0FE6" w:rsidRPr="00EF0FE6" w:rsidRDefault="00EF0FE6" w:rsidP="00EF0FE6">
            <w:pPr>
              <w:spacing w:after="160" w:line="278" w:lineRule="auto"/>
              <w:rPr>
                <w:lang w:val="en-US"/>
              </w:rPr>
            </w:pPr>
            <w:r w:rsidRPr="00EF0FE6">
              <w:rPr>
                <w:lang w:val="en-US"/>
              </w:rPr>
              <w:t xml:space="preserve">Mouse induction </w:t>
            </w:r>
            <w:proofErr w:type="spellStart"/>
            <w:r w:rsidRPr="00EF0FE6">
              <w:rPr>
                <w:lang w:val="en-US"/>
              </w:rPr>
              <w:t>log₂FC</w:t>
            </w:r>
            <w:proofErr w:type="spellEnd"/>
            <w:r w:rsidRPr="00EF0FE6">
              <w:rPr>
                <w:lang w:val="en-US"/>
              </w:rPr>
              <w:t xml:space="preserve"> against human univariate log hazard ratio</w:t>
            </w:r>
          </w:p>
        </w:tc>
        <w:tc>
          <w:tcPr>
            <w:tcW w:w="3249" w:type="dxa"/>
            <w:tcBorders>
              <w:top w:val="single" w:sz="4" w:space="0" w:color="auto"/>
              <w:left w:val="single" w:sz="4" w:space="0" w:color="auto"/>
              <w:bottom w:val="single" w:sz="4" w:space="0" w:color="auto"/>
              <w:right w:val="single" w:sz="4" w:space="0" w:color="auto"/>
            </w:tcBorders>
            <w:hideMark/>
          </w:tcPr>
          <w:p w14:paraId="14C1CDD9" w14:textId="77777777" w:rsidR="00EF0FE6" w:rsidRPr="00EF0FE6" w:rsidRDefault="00EF0FE6" w:rsidP="00EF0FE6">
            <w:pPr>
              <w:spacing w:after="160" w:line="278" w:lineRule="auto"/>
              <w:rPr>
                <w:lang w:val="en-US"/>
              </w:rPr>
            </w:pPr>
            <w:r w:rsidRPr="00EF0FE6">
              <w:rPr>
                <w:lang w:val="en-US"/>
              </w:rPr>
              <w:t>ρ = −0.320</w:t>
            </w:r>
          </w:p>
        </w:tc>
        <w:tc>
          <w:tcPr>
            <w:tcW w:w="3249" w:type="dxa"/>
            <w:tcBorders>
              <w:top w:val="single" w:sz="4" w:space="0" w:color="auto"/>
              <w:left w:val="single" w:sz="4" w:space="0" w:color="auto"/>
              <w:bottom w:val="single" w:sz="4" w:space="0" w:color="auto"/>
              <w:right w:val="single" w:sz="4" w:space="0" w:color="auto"/>
            </w:tcBorders>
            <w:hideMark/>
          </w:tcPr>
          <w:p w14:paraId="6A02CD54" w14:textId="77777777" w:rsidR="00EF0FE6" w:rsidRPr="00EF0FE6" w:rsidRDefault="00EF0FE6" w:rsidP="00EF0FE6">
            <w:pPr>
              <w:spacing w:after="160" w:line="278" w:lineRule="auto"/>
              <w:rPr>
                <w:lang w:val="en-US"/>
              </w:rPr>
            </w:pPr>
            <w:r w:rsidRPr="00EF0FE6">
              <w:rPr>
                <w:i/>
                <w:lang w:val="en-US"/>
              </w:rPr>
              <w:t>P</w:t>
            </w:r>
            <w:r w:rsidRPr="00EF0FE6">
              <w:rPr>
                <w:lang w:val="en-US"/>
              </w:rPr>
              <w:t xml:space="preserve"> = 0.0023, n = 89; direction opposite to the naive expectation</w:t>
            </w:r>
          </w:p>
        </w:tc>
      </w:tr>
      <w:tr w:rsidR="00EF0FE6" w:rsidRPr="00EF0FE6" w14:paraId="542D9DE4"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7EA8CA01" w14:textId="77777777" w:rsidR="00EF0FE6" w:rsidRPr="00EF0FE6" w:rsidRDefault="00EF0FE6" w:rsidP="00EF0FE6">
            <w:pPr>
              <w:spacing w:after="160" w:line="278" w:lineRule="auto"/>
              <w:rPr>
                <w:lang w:val="en-US"/>
              </w:rPr>
            </w:pPr>
            <w:r w:rsidRPr="00EF0FE6">
              <w:rPr>
                <w:lang w:val="en-US"/>
              </w:rPr>
              <w:t>Stability selection, seed dependence</w:t>
            </w:r>
          </w:p>
        </w:tc>
        <w:tc>
          <w:tcPr>
            <w:tcW w:w="3249" w:type="dxa"/>
            <w:tcBorders>
              <w:top w:val="single" w:sz="4" w:space="0" w:color="auto"/>
              <w:left w:val="single" w:sz="4" w:space="0" w:color="auto"/>
              <w:bottom w:val="single" w:sz="4" w:space="0" w:color="auto"/>
              <w:right w:val="single" w:sz="4" w:space="0" w:color="auto"/>
            </w:tcBorders>
            <w:hideMark/>
          </w:tcPr>
          <w:p w14:paraId="2C5A95FB" w14:textId="77777777" w:rsidR="00EF0FE6" w:rsidRPr="00EF0FE6" w:rsidRDefault="00EF0FE6" w:rsidP="00EF0FE6">
            <w:pPr>
              <w:spacing w:after="160" w:line="278" w:lineRule="auto"/>
              <w:rPr>
                <w:lang w:val="en-US"/>
              </w:rPr>
            </w:pPr>
            <w:r w:rsidRPr="00EF0FE6">
              <w:rPr>
                <w:lang w:val="en-US"/>
              </w:rPr>
              <w:t>shared core = the five-gene set</w:t>
            </w:r>
          </w:p>
        </w:tc>
        <w:tc>
          <w:tcPr>
            <w:tcW w:w="3249" w:type="dxa"/>
            <w:tcBorders>
              <w:top w:val="single" w:sz="4" w:space="0" w:color="auto"/>
              <w:left w:val="single" w:sz="4" w:space="0" w:color="auto"/>
              <w:bottom w:val="single" w:sz="4" w:space="0" w:color="auto"/>
              <w:right w:val="single" w:sz="4" w:space="0" w:color="auto"/>
            </w:tcBorders>
            <w:hideMark/>
          </w:tcPr>
          <w:p w14:paraId="2A387D5A" w14:textId="77777777" w:rsidR="00EF0FE6" w:rsidRPr="00EF0FE6" w:rsidRDefault="00EF0FE6" w:rsidP="00EF0FE6">
            <w:pPr>
              <w:spacing w:after="160" w:line="278" w:lineRule="auto"/>
              <w:rPr>
                <w:lang w:val="en-US"/>
              </w:rPr>
            </w:pPr>
            <w:r w:rsidRPr="00EF0FE6">
              <w:rPr>
                <w:lang w:val="en-US"/>
              </w:rPr>
              <w:t>original run selected 5 genes, replication selected 7 (adds PBX2, PPM1M)</w:t>
            </w:r>
          </w:p>
        </w:tc>
      </w:tr>
      <w:tr w:rsidR="00EF0FE6" w:rsidRPr="00EF0FE6" w14:paraId="2F440FDE" w14:textId="77777777">
        <w:trPr>
          <w:jc w:val="center"/>
        </w:trPr>
        <w:tc>
          <w:tcPr>
            <w:tcW w:w="3249" w:type="dxa"/>
            <w:tcBorders>
              <w:top w:val="single" w:sz="4" w:space="0" w:color="auto"/>
              <w:left w:val="single" w:sz="4" w:space="0" w:color="auto"/>
              <w:bottom w:val="single" w:sz="4" w:space="0" w:color="auto"/>
              <w:right w:val="single" w:sz="4" w:space="0" w:color="auto"/>
            </w:tcBorders>
            <w:hideMark/>
          </w:tcPr>
          <w:p w14:paraId="750F1681" w14:textId="77777777" w:rsidR="00EF0FE6" w:rsidRPr="00EF0FE6" w:rsidRDefault="00EF0FE6" w:rsidP="00EF0FE6">
            <w:pPr>
              <w:spacing w:after="160" w:line="278" w:lineRule="auto"/>
              <w:rPr>
                <w:lang w:val="en-US"/>
              </w:rPr>
            </w:pPr>
            <w:r w:rsidRPr="00EF0FE6">
              <w:rPr>
                <w:lang w:val="en-US"/>
              </w:rPr>
              <w:t>Patients at risk at 36 / 60 months (TCGA)</w:t>
            </w:r>
          </w:p>
        </w:tc>
        <w:tc>
          <w:tcPr>
            <w:tcW w:w="3249" w:type="dxa"/>
            <w:tcBorders>
              <w:top w:val="single" w:sz="4" w:space="0" w:color="auto"/>
              <w:left w:val="single" w:sz="4" w:space="0" w:color="auto"/>
              <w:bottom w:val="single" w:sz="4" w:space="0" w:color="auto"/>
              <w:right w:val="single" w:sz="4" w:space="0" w:color="auto"/>
            </w:tcBorders>
            <w:hideMark/>
          </w:tcPr>
          <w:p w14:paraId="5EDF5B88" w14:textId="77777777" w:rsidR="00EF0FE6" w:rsidRPr="00EF0FE6" w:rsidRDefault="00EF0FE6" w:rsidP="00EF0FE6">
            <w:pPr>
              <w:spacing w:after="160" w:line="278" w:lineRule="auto"/>
              <w:rPr>
                <w:lang w:val="en-US"/>
              </w:rPr>
            </w:pPr>
            <w:r w:rsidRPr="00EF0FE6">
              <w:rPr>
                <w:lang w:val="en-US"/>
              </w:rPr>
              <w:t>157 / 66</w:t>
            </w:r>
          </w:p>
        </w:tc>
        <w:tc>
          <w:tcPr>
            <w:tcW w:w="3249" w:type="dxa"/>
            <w:tcBorders>
              <w:top w:val="single" w:sz="4" w:space="0" w:color="auto"/>
              <w:left w:val="single" w:sz="4" w:space="0" w:color="auto"/>
              <w:bottom w:val="single" w:sz="4" w:space="0" w:color="auto"/>
              <w:right w:val="single" w:sz="4" w:space="0" w:color="auto"/>
            </w:tcBorders>
            <w:hideMark/>
          </w:tcPr>
          <w:p w14:paraId="39C7563C" w14:textId="77777777" w:rsidR="00EF0FE6" w:rsidRPr="00EF0FE6" w:rsidRDefault="00EF0FE6" w:rsidP="00EF0FE6">
            <w:pPr>
              <w:spacing w:after="160" w:line="278" w:lineRule="auto"/>
              <w:rPr>
                <w:lang w:val="en-US"/>
              </w:rPr>
            </w:pPr>
            <w:r w:rsidRPr="00EF0FE6">
              <w:rPr>
                <w:lang w:val="en-US"/>
              </w:rPr>
              <w:t>limits stable discrimination estimates beyond five years</w:t>
            </w:r>
          </w:p>
        </w:tc>
      </w:tr>
    </w:tbl>
    <w:p w14:paraId="612189D8" w14:textId="77777777" w:rsidR="00EF0FE6" w:rsidRPr="00EF0FE6" w:rsidRDefault="00EF0FE6" w:rsidP="00EF0FE6">
      <w:pPr>
        <w:rPr>
          <w:lang w:val="en-US"/>
        </w:rPr>
      </w:pPr>
    </w:p>
    <w:p w14:paraId="5EB20746" w14:textId="77777777" w:rsidR="00EF0FE6" w:rsidRPr="00EF0FE6" w:rsidRDefault="00EF0FE6" w:rsidP="00EF0FE6">
      <w:pPr>
        <w:rPr>
          <w:b/>
          <w:bCs/>
          <w:lang w:val="en-US"/>
        </w:rPr>
      </w:pPr>
      <w:r w:rsidRPr="00EF0FE6">
        <w:rPr>
          <w:bCs/>
          <w:lang w:val="en-US"/>
        </w:rPr>
        <w:t>Supplementary Table S31</w:t>
      </w:r>
    </w:p>
    <w:p w14:paraId="6ECDE02B" w14:textId="77777777" w:rsidR="00EF0FE6" w:rsidRPr="00EF0FE6" w:rsidRDefault="00EF0FE6" w:rsidP="00EF0FE6">
      <w:pPr>
        <w:rPr>
          <w:lang w:val="en-US"/>
        </w:rPr>
      </w:pPr>
      <w:r w:rsidRPr="00EF0FE6">
        <w:rPr>
          <w:b/>
          <w:lang w:val="en-US"/>
        </w:rPr>
        <w:t>Supplementary Table S31.</w:t>
      </w:r>
      <w:r w:rsidRPr="00EF0FE6">
        <w:rPr>
          <w:lang w:val="en-US"/>
        </w:rPr>
        <w:t xml:space="preserve"> Model B — MRG-4: stability selection and final coefficients. Stability frequency is the proportion of 200 bootstrap LASSO fits at the 1-SE α that selected the gene; coefficients are from the multivariable Cox model on the four retained genes, expressed per SD of discovery-cohort-</w:t>
      </w:r>
      <w:proofErr w:type="spellStart"/>
      <w:r w:rsidRPr="00EF0FE6">
        <w:rPr>
          <w:lang w:val="en-US"/>
        </w:rPr>
        <w:t>standardised</w:t>
      </w:r>
      <w:proofErr w:type="spellEnd"/>
      <w:r w:rsidRPr="00EF0FE6">
        <w:rPr>
          <w:lang w:val="en-US"/>
        </w:rPr>
        <w:t xml:space="preserve"> expression. The univariate hazard ratios in the last column are those of Supplementary Table S1, the full univariate list. The replication column gives the selection frequency from an independent 200-resample run with a different seed, which is the check on seed dependence described in Section 2.4; the same five genes were selected, and two further genes passed the threshold in the replication.</w:t>
      </w:r>
    </w:p>
    <w:tbl>
      <w:tblPr>
        <w:tblStyle w:val="TableGrid"/>
        <w:tblW w:w="0" w:type="auto"/>
        <w:jc w:val="center"/>
        <w:tblLook w:val="04A0" w:firstRow="1" w:lastRow="0" w:firstColumn="1" w:lastColumn="0" w:noHBand="0" w:noVBand="1"/>
      </w:tblPr>
      <w:tblGrid>
        <w:gridCol w:w="933"/>
        <w:gridCol w:w="986"/>
        <w:gridCol w:w="1059"/>
        <w:gridCol w:w="1253"/>
        <w:gridCol w:w="711"/>
        <w:gridCol w:w="804"/>
        <w:gridCol w:w="820"/>
        <w:gridCol w:w="1168"/>
        <w:gridCol w:w="1282"/>
      </w:tblGrid>
      <w:tr w:rsidR="00EF0FE6" w:rsidRPr="00EF0FE6" w14:paraId="26A31395"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6B1DC65B" w14:textId="77777777" w:rsidR="00EF0FE6" w:rsidRPr="00EF0FE6" w:rsidRDefault="00EF0FE6" w:rsidP="00EF0FE6">
            <w:pPr>
              <w:spacing w:after="160" w:line="278" w:lineRule="auto"/>
              <w:rPr>
                <w:lang w:val="en-US"/>
              </w:rPr>
            </w:pPr>
            <w:r w:rsidRPr="00EF0FE6">
              <w:rPr>
                <w:b/>
                <w:lang w:val="en-US"/>
              </w:rPr>
              <w:t>Gene</w:t>
            </w:r>
          </w:p>
        </w:tc>
        <w:tc>
          <w:tcPr>
            <w:tcW w:w="1083" w:type="dxa"/>
            <w:tcBorders>
              <w:top w:val="single" w:sz="4" w:space="0" w:color="auto"/>
              <w:left w:val="single" w:sz="4" w:space="0" w:color="auto"/>
              <w:bottom w:val="single" w:sz="4" w:space="0" w:color="auto"/>
              <w:right w:val="single" w:sz="4" w:space="0" w:color="auto"/>
            </w:tcBorders>
            <w:hideMark/>
          </w:tcPr>
          <w:p w14:paraId="704F9142" w14:textId="77777777" w:rsidR="00EF0FE6" w:rsidRPr="00EF0FE6" w:rsidRDefault="00EF0FE6" w:rsidP="00EF0FE6">
            <w:pPr>
              <w:spacing w:after="160" w:line="278" w:lineRule="auto"/>
              <w:rPr>
                <w:lang w:val="en-US"/>
              </w:rPr>
            </w:pPr>
            <w:r w:rsidRPr="00EF0FE6">
              <w:rPr>
                <w:b/>
                <w:lang w:val="en-US"/>
              </w:rPr>
              <w:t>Stability π (original run)</w:t>
            </w:r>
          </w:p>
        </w:tc>
        <w:tc>
          <w:tcPr>
            <w:tcW w:w="1083" w:type="dxa"/>
            <w:tcBorders>
              <w:top w:val="single" w:sz="4" w:space="0" w:color="auto"/>
              <w:left w:val="single" w:sz="4" w:space="0" w:color="auto"/>
              <w:bottom w:val="single" w:sz="4" w:space="0" w:color="auto"/>
              <w:right w:val="single" w:sz="4" w:space="0" w:color="auto"/>
            </w:tcBorders>
            <w:hideMark/>
          </w:tcPr>
          <w:p w14:paraId="37848916" w14:textId="77777777" w:rsidR="00EF0FE6" w:rsidRPr="00EF0FE6" w:rsidRDefault="00EF0FE6" w:rsidP="00EF0FE6">
            <w:pPr>
              <w:spacing w:after="160" w:line="278" w:lineRule="auto"/>
              <w:rPr>
                <w:lang w:val="en-US"/>
              </w:rPr>
            </w:pPr>
            <w:r w:rsidRPr="00EF0FE6">
              <w:rPr>
                <w:b/>
                <w:lang w:val="en-US"/>
              </w:rPr>
              <w:t>Included (π ≥ 0.75)</w:t>
            </w:r>
          </w:p>
        </w:tc>
        <w:tc>
          <w:tcPr>
            <w:tcW w:w="1083" w:type="dxa"/>
            <w:tcBorders>
              <w:top w:val="single" w:sz="4" w:space="0" w:color="auto"/>
              <w:left w:val="single" w:sz="4" w:space="0" w:color="auto"/>
              <w:bottom w:val="single" w:sz="4" w:space="0" w:color="auto"/>
              <w:right w:val="single" w:sz="4" w:space="0" w:color="auto"/>
            </w:tcBorders>
            <w:hideMark/>
          </w:tcPr>
          <w:p w14:paraId="728BF16C" w14:textId="77777777" w:rsidR="00EF0FE6" w:rsidRPr="00EF0FE6" w:rsidRDefault="00EF0FE6" w:rsidP="00EF0FE6">
            <w:pPr>
              <w:spacing w:after="160" w:line="278" w:lineRule="auto"/>
              <w:rPr>
                <w:lang w:val="en-US"/>
              </w:rPr>
            </w:pPr>
            <w:r w:rsidRPr="00EF0FE6">
              <w:rPr>
                <w:b/>
                <w:lang w:val="en-US"/>
              </w:rPr>
              <w:t>Coefficient</w:t>
            </w:r>
          </w:p>
        </w:tc>
        <w:tc>
          <w:tcPr>
            <w:tcW w:w="1083" w:type="dxa"/>
            <w:tcBorders>
              <w:top w:val="single" w:sz="4" w:space="0" w:color="auto"/>
              <w:left w:val="single" w:sz="4" w:space="0" w:color="auto"/>
              <w:bottom w:val="single" w:sz="4" w:space="0" w:color="auto"/>
              <w:right w:val="single" w:sz="4" w:space="0" w:color="auto"/>
            </w:tcBorders>
            <w:hideMark/>
          </w:tcPr>
          <w:p w14:paraId="7DB9B3AB" w14:textId="77777777" w:rsidR="00EF0FE6" w:rsidRPr="00EF0FE6" w:rsidRDefault="00EF0FE6" w:rsidP="00EF0FE6">
            <w:pPr>
              <w:spacing w:after="160" w:line="278" w:lineRule="auto"/>
              <w:rPr>
                <w:lang w:val="en-US"/>
              </w:rPr>
            </w:pPr>
            <w:r w:rsidRPr="00EF0FE6">
              <w:rPr>
                <w:b/>
                <w:lang w:val="en-US"/>
              </w:rPr>
              <w:t>HR (per SD)</w:t>
            </w:r>
          </w:p>
        </w:tc>
        <w:tc>
          <w:tcPr>
            <w:tcW w:w="1083" w:type="dxa"/>
            <w:tcBorders>
              <w:top w:val="single" w:sz="4" w:space="0" w:color="auto"/>
              <w:left w:val="single" w:sz="4" w:space="0" w:color="auto"/>
              <w:bottom w:val="single" w:sz="4" w:space="0" w:color="auto"/>
              <w:right w:val="single" w:sz="4" w:space="0" w:color="auto"/>
            </w:tcBorders>
            <w:hideMark/>
          </w:tcPr>
          <w:p w14:paraId="582E95A4" w14:textId="77777777" w:rsidR="00EF0FE6" w:rsidRPr="00EF0FE6" w:rsidRDefault="00EF0FE6" w:rsidP="00EF0FE6">
            <w:pPr>
              <w:spacing w:after="160" w:line="278" w:lineRule="auto"/>
              <w:rPr>
                <w:lang w:val="en-US"/>
              </w:rPr>
            </w:pPr>
            <w:r w:rsidRPr="00EF0FE6">
              <w:rPr>
                <w:b/>
                <w:lang w:val="en-US"/>
              </w:rPr>
              <w:t>95% CI</w:t>
            </w:r>
          </w:p>
        </w:tc>
        <w:tc>
          <w:tcPr>
            <w:tcW w:w="1083" w:type="dxa"/>
            <w:tcBorders>
              <w:top w:val="single" w:sz="4" w:space="0" w:color="auto"/>
              <w:left w:val="single" w:sz="4" w:space="0" w:color="auto"/>
              <w:bottom w:val="single" w:sz="4" w:space="0" w:color="auto"/>
              <w:right w:val="single" w:sz="4" w:space="0" w:color="auto"/>
            </w:tcBorders>
            <w:hideMark/>
          </w:tcPr>
          <w:p w14:paraId="0E2F8B6C" w14:textId="77777777" w:rsidR="00EF0FE6" w:rsidRPr="00EF0FE6" w:rsidRDefault="00EF0FE6" w:rsidP="00EF0FE6">
            <w:pPr>
              <w:spacing w:after="160" w:line="278" w:lineRule="auto"/>
              <w:rPr>
                <w:lang w:val="en-US"/>
              </w:rPr>
            </w:pPr>
            <w:r w:rsidRPr="00EF0FE6">
              <w:rPr>
                <w:b/>
                <w:i/>
                <w:lang w:val="en-US"/>
              </w:rPr>
              <w:t>P</w:t>
            </w:r>
          </w:p>
        </w:tc>
        <w:tc>
          <w:tcPr>
            <w:tcW w:w="1083" w:type="dxa"/>
            <w:tcBorders>
              <w:top w:val="single" w:sz="4" w:space="0" w:color="auto"/>
              <w:left w:val="single" w:sz="4" w:space="0" w:color="auto"/>
              <w:bottom w:val="single" w:sz="4" w:space="0" w:color="auto"/>
              <w:right w:val="single" w:sz="4" w:space="0" w:color="auto"/>
            </w:tcBorders>
            <w:hideMark/>
          </w:tcPr>
          <w:p w14:paraId="510475B7" w14:textId="77777777" w:rsidR="00EF0FE6" w:rsidRPr="00EF0FE6" w:rsidRDefault="00EF0FE6" w:rsidP="00EF0FE6">
            <w:pPr>
              <w:spacing w:after="160" w:line="278" w:lineRule="auto"/>
              <w:rPr>
                <w:lang w:val="en-US"/>
              </w:rPr>
            </w:pPr>
            <w:r w:rsidRPr="00EF0FE6">
              <w:rPr>
                <w:b/>
                <w:lang w:val="en-US"/>
              </w:rPr>
              <w:t>Univariate HR (Table S1)</w:t>
            </w:r>
          </w:p>
        </w:tc>
        <w:tc>
          <w:tcPr>
            <w:tcW w:w="1083" w:type="dxa"/>
            <w:tcBorders>
              <w:top w:val="single" w:sz="4" w:space="0" w:color="auto"/>
              <w:left w:val="single" w:sz="4" w:space="0" w:color="auto"/>
              <w:bottom w:val="single" w:sz="4" w:space="0" w:color="auto"/>
              <w:right w:val="single" w:sz="4" w:space="0" w:color="auto"/>
            </w:tcBorders>
            <w:hideMark/>
          </w:tcPr>
          <w:p w14:paraId="3324D243" w14:textId="77777777" w:rsidR="00EF0FE6" w:rsidRPr="00EF0FE6" w:rsidRDefault="00EF0FE6" w:rsidP="00EF0FE6">
            <w:pPr>
              <w:spacing w:after="160" w:line="278" w:lineRule="auto"/>
              <w:rPr>
                <w:lang w:val="en-US"/>
              </w:rPr>
            </w:pPr>
            <w:r w:rsidRPr="00EF0FE6">
              <w:rPr>
                <w:b/>
                <w:lang w:val="en-US"/>
              </w:rPr>
              <w:t>π (replication run)</w:t>
            </w:r>
          </w:p>
        </w:tc>
      </w:tr>
      <w:tr w:rsidR="00EF0FE6" w:rsidRPr="00EF0FE6" w14:paraId="79C8E269"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5932FA4B" w14:textId="77777777" w:rsidR="00EF0FE6" w:rsidRPr="00EF0FE6" w:rsidRDefault="00EF0FE6" w:rsidP="00EF0FE6">
            <w:pPr>
              <w:spacing w:after="160" w:line="278" w:lineRule="auto"/>
              <w:rPr>
                <w:lang w:val="en-US"/>
              </w:rPr>
            </w:pPr>
            <w:r w:rsidRPr="00EF0FE6">
              <w:rPr>
                <w:lang w:val="en-US"/>
              </w:rPr>
              <w:t>BMP1</w:t>
            </w:r>
          </w:p>
        </w:tc>
        <w:tc>
          <w:tcPr>
            <w:tcW w:w="1083" w:type="dxa"/>
            <w:tcBorders>
              <w:top w:val="single" w:sz="4" w:space="0" w:color="auto"/>
              <w:left w:val="single" w:sz="4" w:space="0" w:color="auto"/>
              <w:bottom w:val="single" w:sz="4" w:space="0" w:color="auto"/>
              <w:right w:val="single" w:sz="4" w:space="0" w:color="auto"/>
            </w:tcBorders>
            <w:hideMark/>
          </w:tcPr>
          <w:p w14:paraId="13B8EDCF" w14:textId="77777777" w:rsidR="00EF0FE6" w:rsidRPr="00EF0FE6" w:rsidRDefault="00EF0FE6" w:rsidP="00EF0FE6">
            <w:pPr>
              <w:spacing w:after="160" w:line="278" w:lineRule="auto"/>
              <w:rPr>
                <w:lang w:val="en-US"/>
              </w:rPr>
            </w:pPr>
            <w:r w:rsidRPr="00EF0FE6">
              <w:rPr>
                <w:lang w:val="en-US"/>
              </w:rPr>
              <w:t>0.875</w:t>
            </w:r>
          </w:p>
        </w:tc>
        <w:tc>
          <w:tcPr>
            <w:tcW w:w="1083" w:type="dxa"/>
            <w:tcBorders>
              <w:top w:val="single" w:sz="4" w:space="0" w:color="auto"/>
              <w:left w:val="single" w:sz="4" w:space="0" w:color="auto"/>
              <w:bottom w:val="single" w:sz="4" w:space="0" w:color="auto"/>
              <w:right w:val="single" w:sz="4" w:space="0" w:color="auto"/>
            </w:tcBorders>
            <w:hideMark/>
          </w:tcPr>
          <w:p w14:paraId="3887DA84" w14:textId="77777777" w:rsidR="00EF0FE6" w:rsidRPr="00EF0FE6" w:rsidRDefault="00EF0FE6" w:rsidP="00EF0FE6">
            <w:pPr>
              <w:spacing w:after="160" w:line="278" w:lineRule="auto"/>
              <w:rPr>
                <w:lang w:val="en-US"/>
              </w:rPr>
            </w:pPr>
            <w:r w:rsidRPr="00EF0FE6">
              <w:rPr>
                <w:lang w:val="en-US"/>
              </w:rPr>
              <w:t>yes</w:t>
            </w:r>
          </w:p>
        </w:tc>
        <w:tc>
          <w:tcPr>
            <w:tcW w:w="1083" w:type="dxa"/>
            <w:tcBorders>
              <w:top w:val="single" w:sz="4" w:space="0" w:color="auto"/>
              <w:left w:val="single" w:sz="4" w:space="0" w:color="auto"/>
              <w:bottom w:val="single" w:sz="4" w:space="0" w:color="auto"/>
              <w:right w:val="single" w:sz="4" w:space="0" w:color="auto"/>
            </w:tcBorders>
            <w:hideMark/>
          </w:tcPr>
          <w:p w14:paraId="4ED6DC42" w14:textId="77777777" w:rsidR="00EF0FE6" w:rsidRPr="00EF0FE6" w:rsidRDefault="00EF0FE6" w:rsidP="00EF0FE6">
            <w:pPr>
              <w:spacing w:after="160" w:line="278" w:lineRule="auto"/>
              <w:rPr>
                <w:lang w:val="en-US"/>
              </w:rPr>
            </w:pPr>
            <w:r w:rsidRPr="00EF0FE6">
              <w:rPr>
                <w:lang w:val="en-US"/>
              </w:rPr>
              <w:t>+0.2582</w:t>
            </w:r>
          </w:p>
        </w:tc>
        <w:tc>
          <w:tcPr>
            <w:tcW w:w="1083" w:type="dxa"/>
            <w:tcBorders>
              <w:top w:val="single" w:sz="4" w:space="0" w:color="auto"/>
              <w:left w:val="single" w:sz="4" w:space="0" w:color="auto"/>
              <w:bottom w:val="single" w:sz="4" w:space="0" w:color="auto"/>
              <w:right w:val="single" w:sz="4" w:space="0" w:color="auto"/>
            </w:tcBorders>
            <w:hideMark/>
          </w:tcPr>
          <w:p w14:paraId="23CCB5CE" w14:textId="77777777" w:rsidR="00EF0FE6" w:rsidRPr="00EF0FE6" w:rsidRDefault="00EF0FE6" w:rsidP="00EF0FE6">
            <w:pPr>
              <w:spacing w:after="160" w:line="278" w:lineRule="auto"/>
              <w:rPr>
                <w:lang w:val="en-US"/>
              </w:rPr>
            </w:pPr>
            <w:r w:rsidRPr="00EF0FE6">
              <w:rPr>
                <w:lang w:val="en-US"/>
              </w:rPr>
              <w:t>1.295</w:t>
            </w:r>
          </w:p>
        </w:tc>
        <w:tc>
          <w:tcPr>
            <w:tcW w:w="1083" w:type="dxa"/>
            <w:tcBorders>
              <w:top w:val="single" w:sz="4" w:space="0" w:color="auto"/>
              <w:left w:val="single" w:sz="4" w:space="0" w:color="auto"/>
              <w:bottom w:val="single" w:sz="4" w:space="0" w:color="auto"/>
              <w:right w:val="single" w:sz="4" w:space="0" w:color="auto"/>
            </w:tcBorders>
            <w:hideMark/>
          </w:tcPr>
          <w:p w14:paraId="7F6773E7" w14:textId="77777777" w:rsidR="00EF0FE6" w:rsidRPr="00EF0FE6" w:rsidRDefault="00EF0FE6" w:rsidP="00EF0FE6">
            <w:pPr>
              <w:spacing w:after="160" w:line="278" w:lineRule="auto"/>
              <w:rPr>
                <w:lang w:val="en-US"/>
              </w:rPr>
            </w:pPr>
            <w:r w:rsidRPr="00EF0FE6">
              <w:rPr>
                <w:lang w:val="en-US"/>
              </w:rPr>
              <w:t>1.059–1.582</w:t>
            </w:r>
          </w:p>
        </w:tc>
        <w:tc>
          <w:tcPr>
            <w:tcW w:w="1083" w:type="dxa"/>
            <w:tcBorders>
              <w:top w:val="single" w:sz="4" w:space="0" w:color="auto"/>
              <w:left w:val="single" w:sz="4" w:space="0" w:color="auto"/>
              <w:bottom w:val="single" w:sz="4" w:space="0" w:color="auto"/>
              <w:right w:val="single" w:sz="4" w:space="0" w:color="auto"/>
            </w:tcBorders>
            <w:hideMark/>
          </w:tcPr>
          <w:p w14:paraId="3ED65D7A" w14:textId="77777777" w:rsidR="00EF0FE6" w:rsidRPr="00EF0FE6" w:rsidRDefault="00EF0FE6" w:rsidP="00EF0FE6">
            <w:pPr>
              <w:spacing w:after="160" w:line="278" w:lineRule="auto"/>
              <w:rPr>
                <w:lang w:val="en-US"/>
              </w:rPr>
            </w:pPr>
            <w:r w:rsidRPr="00EF0FE6">
              <w:rPr>
                <w:lang w:val="en-US"/>
              </w:rPr>
              <w:t>0.0117</w:t>
            </w:r>
          </w:p>
        </w:tc>
        <w:tc>
          <w:tcPr>
            <w:tcW w:w="1083" w:type="dxa"/>
            <w:tcBorders>
              <w:top w:val="single" w:sz="4" w:space="0" w:color="auto"/>
              <w:left w:val="single" w:sz="4" w:space="0" w:color="auto"/>
              <w:bottom w:val="single" w:sz="4" w:space="0" w:color="auto"/>
              <w:right w:val="single" w:sz="4" w:space="0" w:color="auto"/>
            </w:tcBorders>
            <w:hideMark/>
          </w:tcPr>
          <w:p w14:paraId="40CCF533" w14:textId="77777777" w:rsidR="00EF0FE6" w:rsidRPr="00EF0FE6" w:rsidRDefault="00EF0FE6" w:rsidP="00EF0FE6">
            <w:pPr>
              <w:spacing w:after="160" w:line="278" w:lineRule="auto"/>
              <w:rPr>
                <w:lang w:val="en-US"/>
              </w:rPr>
            </w:pPr>
            <w:r w:rsidRPr="00EF0FE6">
              <w:rPr>
                <w:lang w:val="en-US"/>
              </w:rPr>
              <w:t>1.636</w:t>
            </w:r>
          </w:p>
        </w:tc>
        <w:tc>
          <w:tcPr>
            <w:tcW w:w="1083" w:type="dxa"/>
            <w:tcBorders>
              <w:top w:val="single" w:sz="4" w:space="0" w:color="auto"/>
              <w:left w:val="single" w:sz="4" w:space="0" w:color="auto"/>
              <w:bottom w:val="single" w:sz="4" w:space="0" w:color="auto"/>
              <w:right w:val="single" w:sz="4" w:space="0" w:color="auto"/>
            </w:tcBorders>
            <w:hideMark/>
          </w:tcPr>
          <w:p w14:paraId="11E7843D" w14:textId="77777777" w:rsidR="00EF0FE6" w:rsidRPr="00EF0FE6" w:rsidRDefault="00EF0FE6" w:rsidP="00EF0FE6">
            <w:pPr>
              <w:spacing w:after="160" w:line="278" w:lineRule="auto"/>
              <w:rPr>
                <w:lang w:val="en-US"/>
              </w:rPr>
            </w:pPr>
            <w:r w:rsidRPr="00EF0FE6">
              <w:rPr>
                <w:lang w:val="en-US"/>
              </w:rPr>
              <w:t>0.820</w:t>
            </w:r>
          </w:p>
        </w:tc>
      </w:tr>
      <w:tr w:rsidR="00EF0FE6" w:rsidRPr="00EF0FE6" w14:paraId="5D2C4A0F"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2AA2D693" w14:textId="77777777" w:rsidR="00EF0FE6" w:rsidRPr="00EF0FE6" w:rsidRDefault="00EF0FE6" w:rsidP="00EF0FE6">
            <w:pPr>
              <w:spacing w:after="160" w:line="278" w:lineRule="auto"/>
              <w:rPr>
                <w:lang w:val="en-US"/>
              </w:rPr>
            </w:pPr>
            <w:r w:rsidRPr="00EF0FE6">
              <w:rPr>
                <w:lang w:val="en-US"/>
              </w:rPr>
              <w:t>KIF15</w:t>
            </w:r>
          </w:p>
        </w:tc>
        <w:tc>
          <w:tcPr>
            <w:tcW w:w="1083" w:type="dxa"/>
            <w:tcBorders>
              <w:top w:val="single" w:sz="4" w:space="0" w:color="auto"/>
              <w:left w:val="single" w:sz="4" w:space="0" w:color="auto"/>
              <w:bottom w:val="single" w:sz="4" w:space="0" w:color="auto"/>
              <w:right w:val="single" w:sz="4" w:space="0" w:color="auto"/>
            </w:tcBorders>
            <w:hideMark/>
          </w:tcPr>
          <w:p w14:paraId="440E85C4" w14:textId="77777777" w:rsidR="00EF0FE6" w:rsidRPr="00EF0FE6" w:rsidRDefault="00EF0FE6" w:rsidP="00EF0FE6">
            <w:pPr>
              <w:spacing w:after="160" w:line="278" w:lineRule="auto"/>
              <w:rPr>
                <w:lang w:val="en-US"/>
              </w:rPr>
            </w:pPr>
            <w:r w:rsidRPr="00EF0FE6">
              <w:rPr>
                <w:lang w:val="en-US"/>
              </w:rPr>
              <w:t>0.815</w:t>
            </w:r>
          </w:p>
        </w:tc>
        <w:tc>
          <w:tcPr>
            <w:tcW w:w="1083" w:type="dxa"/>
            <w:tcBorders>
              <w:top w:val="single" w:sz="4" w:space="0" w:color="auto"/>
              <w:left w:val="single" w:sz="4" w:space="0" w:color="auto"/>
              <w:bottom w:val="single" w:sz="4" w:space="0" w:color="auto"/>
              <w:right w:val="single" w:sz="4" w:space="0" w:color="auto"/>
            </w:tcBorders>
            <w:hideMark/>
          </w:tcPr>
          <w:p w14:paraId="7C2E8B2A" w14:textId="77777777" w:rsidR="00EF0FE6" w:rsidRPr="00EF0FE6" w:rsidRDefault="00EF0FE6" w:rsidP="00EF0FE6">
            <w:pPr>
              <w:spacing w:after="160" w:line="278" w:lineRule="auto"/>
              <w:rPr>
                <w:lang w:val="en-US"/>
              </w:rPr>
            </w:pPr>
            <w:r w:rsidRPr="00EF0FE6">
              <w:rPr>
                <w:lang w:val="en-US"/>
              </w:rPr>
              <w:t>yes</w:t>
            </w:r>
          </w:p>
        </w:tc>
        <w:tc>
          <w:tcPr>
            <w:tcW w:w="1083" w:type="dxa"/>
            <w:tcBorders>
              <w:top w:val="single" w:sz="4" w:space="0" w:color="auto"/>
              <w:left w:val="single" w:sz="4" w:space="0" w:color="auto"/>
              <w:bottom w:val="single" w:sz="4" w:space="0" w:color="auto"/>
              <w:right w:val="single" w:sz="4" w:space="0" w:color="auto"/>
            </w:tcBorders>
            <w:hideMark/>
          </w:tcPr>
          <w:p w14:paraId="209DB7BB" w14:textId="77777777" w:rsidR="00EF0FE6" w:rsidRPr="00EF0FE6" w:rsidRDefault="00EF0FE6" w:rsidP="00EF0FE6">
            <w:pPr>
              <w:spacing w:after="160" w:line="278" w:lineRule="auto"/>
              <w:rPr>
                <w:lang w:val="en-US"/>
              </w:rPr>
            </w:pPr>
            <w:r w:rsidRPr="00EF0FE6">
              <w:rPr>
                <w:lang w:val="en-US"/>
              </w:rPr>
              <w:t>+0.4636</w:t>
            </w:r>
          </w:p>
        </w:tc>
        <w:tc>
          <w:tcPr>
            <w:tcW w:w="1083" w:type="dxa"/>
            <w:tcBorders>
              <w:top w:val="single" w:sz="4" w:space="0" w:color="auto"/>
              <w:left w:val="single" w:sz="4" w:space="0" w:color="auto"/>
              <w:bottom w:val="single" w:sz="4" w:space="0" w:color="auto"/>
              <w:right w:val="single" w:sz="4" w:space="0" w:color="auto"/>
            </w:tcBorders>
            <w:hideMark/>
          </w:tcPr>
          <w:p w14:paraId="5D9E42F2" w14:textId="77777777" w:rsidR="00EF0FE6" w:rsidRPr="00EF0FE6" w:rsidRDefault="00EF0FE6" w:rsidP="00EF0FE6">
            <w:pPr>
              <w:spacing w:after="160" w:line="278" w:lineRule="auto"/>
              <w:rPr>
                <w:lang w:val="en-US"/>
              </w:rPr>
            </w:pPr>
            <w:r w:rsidRPr="00EF0FE6">
              <w:rPr>
                <w:lang w:val="en-US"/>
              </w:rPr>
              <w:t>1.590</w:t>
            </w:r>
          </w:p>
        </w:tc>
        <w:tc>
          <w:tcPr>
            <w:tcW w:w="1083" w:type="dxa"/>
            <w:tcBorders>
              <w:top w:val="single" w:sz="4" w:space="0" w:color="auto"/>
              <w:left w:val="single" w:sz="4" w:space="0" w:color="auto"/>
              <w:bottom w:val="single" w:sz="4" w:space="0" w:color="auto"/>
              <w:right w:val="single" w:sz="4" w:space="0" w:color="auto"/>
            </w:tcBorders>
            <w:hideMark/>
          </w:tcPr>
          <w:p w14:paraId="1B7B18BB" w14:textId="77777777" w:rsidR="00EF0FE6" w:rsidRPr="00EF0FE6" w:rsidRDefault="00EF0FE6" w:rsidP="00EF0FE6">
            <w:pPr>
              <w:spacing w:after="160" w:line="278" w:lineRule="auto"/>
              <w:rPr>
                <w:lang w:val="en-US"/>
              </w:rPr>
            </w:pPr>
            <w:r w:rsidRPr="00EF0FE6">
              <w:rPr>
                <w:lang w:val="en-US"/>
              </w:rPr>
              <w:t>1.305–1.937</w:t>
            </w:r>
          </w:p>
        </w:tc>
        <w:tc>
          <w:tcPr>
            <w:tcW w:w="1083" w:type="dxa"/>
            <w:tcBorders>
              <w:top w:val="single" w:sz="4" w:space="0" w:color="auto"/>
              <w:left w:val="single" w:sz="4" w:space="0" w:color="auto"/>
              <w:bottom w:val="single" w:sz="4" w:space="0" w:color="auto"/>
              <w:right w:val="single" w:sz="4" w:space="0" w:color="auto"/>
            </w:tcBorders>
            <w:hideMark/>
          </w:tcPr>
          <w:p w14:paraId="5C70771A" w14:textId="77777777" w:rsidR="00EF0FE6" w:rsidRPr="00EF0FE6" w:rsidRDefault="00EF0FE6" w:rsidP="00EF0FE6">
            <w:pPr>
              <w:spacing w:after="160" w:line="278" w:lineRule="auto"/>
              <w:rPr>
                <w:lang w:val="en-US"/>
              </w:rPr>
            </w:pPr>
            <w:r w:rsidRPr="00EF0FE6">
              <w:rPr>
                <w:lang w:val="en-US"/>
              </w:rPr>
              <w:t>4.29 × 10</w:t>
            </w:r>
            <w:r w:rsidRPr="00EF0FE6">
              <w:rPr>
                <w:rFonts w:ascii="Cambria Math" w:hAnsi="Cambria Math" w:cs="Cambria Math"/>
                <w:lang w:val="en-US"/>
              </w:rPr>
              <w:t>⁻</w:t>
            </w:r>
            <w:r w:rsidRPr="00EF0FE6">
              <w:rPr>
                <w:rFonts w:ascii="Aptos" w:hAnsi="Aptos" w:cs="Aptos"/>
                <w:lang w:val="en-US"/>
              </w:rPr>
              <w:t>⁶</w:t>
            </w:r>
          </w:p>
        </w:tc>
        <w:tc>
          <w:tcPr>
            <w:tcW w:w="1083" w:type="dxa"/>
            <w:tcBorders>
              <w:top w:val="single" w:sz="4" w:space="0" w:color="auto"/>
              <w:left w:val="single" w:sz="4" w:space="0" w:color="auto"/>
              <w:bottom w:val="single" w:sz="4" w:space="0" w:color="auto"/>
              <w:right w:val="single" w:sz="4" w:space="0" w:color="auto"/>
            </w:tcBorders>
            <w:hideMark/>
          </w:tcPr>
          <w:p w14:paraId="619610FC" w14:textId="77777777" w:rsidR="00EF0FE6" w:rsidRPr="00EF0FE6" w:rsidRDefault="00EF0FE6" w:rsidP="00EF0FE6">
            <w:pPr>
              <w:spacing w:after="160" w:line="278" w:lineRule="auto"/>
              <w:rPr>
                <w:lang w:val="en-US"/>
              </w:rPr>
            </w:pPr>
            <w:r w:rsidRPr="00EF0FE6">
              <w:rPr>
                <w:lang w:val="en-US"/>
              </w:rPr>
              <w:t>1.444</w:t>
            </w:r>
          </w:p>
        </w:tc>
        <w:tc>
          <w:tcPr>
            <w:tcW w:w="1083" w:type="dxa"/>
            <w:tcBorders>
              <w:top w:val="single" w:sz="4" w:space="0" w:color="auto"/>
              <w:left w:val="single" w:sz="4" w:space="0" w:color="auto"/>
              <w:bottom w:val="single" w:sz="4" w:space="0" w:color="auto"/>
              <w:right w:val="single" w:sz="4" w:space="0" w:color="auto"/>
            </w:tcBorders>
            <w:hideMark/>
          </w:tcPr>
          <w:p w14:paraId="55168D01" w14:textId="77777777" w:rsidR="00EF0FE6" w:rsidRPr="00EF0FE6" w:rsidRDefault="00EF0FE6" w:rsidP="00EF0FE6">
            <w:pPr>
              <w:spacing w:after="160" w:line="278" w:lineRule="auto"/>
              <w:rPr>
                <w:lang w:val="en-US"/>
              </w:rPr>
            </w:pPr>
            <w:r w:rsidRPr="00EF0FE6">
              <w:rPr>
                <w:lang w:val="en-US"/>
              </w:rPr>
              <w:t>0.780</w:t>
            </w:r>
          </w:p>
        </w:tc>
      </w:tr>
      <w:tr w:rsidR="00EF0FE6" w:rsidRPr="00EF0FE6" w14:paraId="2BB52EEB"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07221478" w14:textId="77777777" w:rsidR="00EF0FE6" w:rsidRPr="00EF0FE6" w:rsidRDefault="00EF0FE6" w:rsidP="00EF0FE6">
            <w:pPr>
              <w:spacing w:after="160" w:line="278" w:lineRule="auto"/>
              <w:rPr>
                <w:lang w:val="en-US"/>
              </w:rPr>
            </w:pPr>
            <w:r w:rsidRPr="00EF0FE6">
              <w:rPr>
                <w:lang w:val="en-US"/>
              </w:rPr>
              <w:lastRenderedPageBreak/>
              <w:t>TRAF3</w:t>
            </w:r>
          </w:p>
        </w:tc>
        <w:tc>
          <w:tcPr>
            <w:tcW w:w="1083" w:type="dxa"/>
            <w:tcBorders>
              <w:top w:val="single" w:sz="4" w:space="0" w:color="auto"/>
              <w:left w:val="single" w:sz="4" w:space="0" w:color="auto"/>
              <w:bottom w:val="single" w:sz="4" w:space="0" w:color="auto"/>
              <w:right w:val="single" w:sz="4" w:space="0" w:color="auto"/>
            </w:tcBorders>
            <w:hideMark/>
          </w:tcPr>
          <w:p w14:paraId="4177EC1A" w14:textId="77777777" w:rsidR="00EF0FE6" w:rsidRPr="00EF0FE6" w:rsidRDefault="00EF0FE6" w:rsidP="00EF0FE6">
            <w:pPr>
              <w:spacing w:after="160" w:line="278" w:lineRule="auto"/>
              <w:rPr>
                <w:lang w:val="en-US"/>
              </w:rPr>
            </w:pPr>
            <w:r w:rsidRPr="00EF0FE6">
              <w:rPr>
                <w:lang w:val="en-US"/>
              </w:rPr>
              <w:t>0.805</w:t>
            </w:r>
          </w:p>
        </w:tc>
        <w:tc>
          <w:tcPr>
            <w:tcW w:w="1083" w:type="dxa"/>
            <w:tcBorders>
              <w:top w:val="single" w:sz="4" w:space="0" w:color="auto"/>
              <w:left w:val="single" w:sz="4" w:space="0" w:color="auto"/>
              <w:bottom w:val="single" w:sz="4" w:space="0" w:color="auto"/>
              <w:right w:val="single" w:sz="4" w:space="0" w:color="auto"/>
            </w:tcBorders>
            <w:hideMark/>
          </w:tcPr>
          <w:p w14:paraId="30A9773D" w14:textId="77777777" w:rsidR="00EF0FE6" w:rsidRPr="00EF0FE6" w:rsidRDefault="00EF0FE6" w:rsidP="00EF0FE6">
            <w:pPr>
              <w:spacing w:after="160" w:line="278" w:lineRule="auto"/>
              <w:rPr>
                <w:lang w:val="en-US"/>
              </w:rPr>
            </w:pPr>
            <w:r w:rsidRPr="00EF0FE6">
              <w:rPr>
                <w:lang w:val="en-US"/>
              </w:rPr>
              <w:t>yes</w:t>
            </w:r>
          </w:p>
        </w:tc>
        <w:tc>
          <w:tcPr>
            <w:tcW w:w="1083" w:type="dxa"/>
            <w:tcBorders>
              <w:top w:val="single" w:sz="4" w:space="0" w:color="auto"/>
              <w:left w:val="single" w:sz="4" w:space="0" w:color="auto"/>
              <w:bottom w:val="single" w:sz="4" w:space="0" w:color="auto"/>
              <w:right w:val="single" w:sz="4" w:space="0" w:color="auto"/>
            </w:tcBorders>
            <w:hideMark/>
          </w:tcPr>
          <w:p w14:paraId="7050382C" w14:textId="77777777" w:rsidR="00EF0FE6" w:rsidRPr="00EF0FE6" w:rsidRDefault="00EF0FE6" w:rsidP="00EF0FE6">
            <w:pPr>
              <w:spacing w:after="160" w:line="278" w:lineRule="auto"/>
              <w:rPr>
                <w:lang w:val="en-US"/>
              </w:rPr>
            </w:pPr>
            <w:r w:rsidRPr="00EF0FE6">
              <w:rPr>
                <w:lang w:val="en-US"/>
              </w:rPr>
              <w:t>−0.2379</w:t>
            </w:r>
          </w:p>
        </w:tc>
        <w:tc>
          <w:tcPr>
            <w:tcW w:w="1083" w:type="dxa"/>
            <w:tcBorders>
              <w:top w:val="single" w:sz="4" w:space="0" w:color="auto"/>
              <w:left w:val="single" w:sz="4" w:space="0" w:color="auto"/>
              <w:bottom w:val="single" w:sz="4" w:space="0" w:color="auto"/>
              <w:right w:val="single" w:sz="4" w:space="0" w:color="auto"/>
            </w:tcBorders>
            <w:hideMark/>
          </w:tcPr>
          <w:p w14:paraId="5087E818" w14:textId="77777777" w:rsidR="00EF0FE6" w:rsidRPr="00EF0FE6" w:rsidRDefault="00EF0FE6" w:rsidP="00EF0FE6">
            <w:pPr>
              <w:spacing w:after="160" w:line="278" w:lineRule="auto"/>
              <w:rPr>
                <w:lang w:val="en-US"/>
              </w:rPr>
            </w:pPr>
            <w:r w:rsidRPr="00EF0FE6">
              <w:rPr>
                <w:lang w:val="en-US"/>
              </w:rPr>
              <w:t>0.788</w:t>
            </w:r>
          </w:p>
        </w:tc>
        <w:tc>
          <w:tcPr>
            <w:tcW w:w="1083" w:type="dxa"/>
            <w:tcBorders>
              <w:top w:val="single" w:sz="4" w:space="0" w:color="auto"/>
              <w:left w:val="single" w:sz="4" w:space="0" w:color="auto"/>
              <w:bottom w:val="single" w:sz="4" w:space="0" w:color="auto"/>
              <w:right w:val="single" w:sz="4" w:space="0" w:color="auto"/>
            </w:tcBorders>
            <w:hideMark/>
          </w:tcPr>
          <w:p w14:paraId="08DFC128" w14:textId="77777777" w:rsidR="00EF0FE6" w:rsidRPr="00EF0FE6" w:rsidRDefault="00EF0FE6" w:rsidP="00EF0FE6">
            <w:pPr>
              <w:spacing w:after="160" w:line="278" w:lineRule="auto"/>
              <w:rPr>
                <w:lang w:val="en-US"/>
              </w:rPr>
            </w:pPr>
            <w:r w:rsidRPr="00EF0FE6">
              <w:rPr>
                <w:lang w:val="en-US"/>
              </w:rPr>
              <w:t>0.672–0.924</w:t>
            </w:r>
          </w:p>
        </w:tc>
        <w:tc>
          <w:tcPr>
            <w:tcW w:w="1083" w:type="dxa"/>
            <w:tcBorders>
              <w:top w:val="single" w:sz="4" w:space="0" w:color="auto"/>
              <w:left w:val="single" w:sz="4" w:space="0" w:color="auto"/>
              <w:bottom w:val="single" w:sz="4" w:space="0" w:color="auto"/>
              <w:right w:val="single" w:sz="4" w:space="0" w:color="auto"/>
            </w:tcBorders>
            <w:hideMark/>
          </w:tcPr>
          <w:p w14:paraId="0B01C63E" w14:textId="77777777" w:rsidR="00EF0FE6" w:rsidRPr="00EF0FE6" w:rsidRDefault="00EF0FE6" w:rsidP="00EF0FE6">
            <w:pPr>
              <w:spacing w:after="160" w:line="278" w:lineRule="auto"/>
              <w:rPr>
                <w:lang w:val="en-US"/>
              </w:rPr>
            </w:pPr>
            <w:r w:rsidRPr="00EF0FE6">
              <w:rPr>
                <w:lang w:val="en-US"/>
              </w:rPr>
              <w:t>0.0034</w:t>
            </w:r>
          </w:p>
        </w:tc>
        <w:tc>
          <w:tcPr>
            <w:tcW w:w="1083" w:type="dxa"/>
            <w:tcBorders>
              <w:top w:val="single" w:sz="4" w:space="0" w:color="auto"/>
              <w:left w:val="single" w:sz="4" w:space="0" w:color="auto"/>
              <w:bottom w:val="single" w:sz="4" w:space="0" w:color="auto"/>
              <w:right w:val="single" w:sz="4" w:space="0" w:color="auto"/>
            </w:tcBorders>
            <w:hideMark/>
          </w:tcPr>
          <w:p w14:paraId="5E1F0087" w14:textId="77777777" w:rsidR="00EF0FE6" w:rsidRPr="00EF0FE6" w:rsidRDefault="00EF0FE6" w:rsidP="00EF0FE6">
            <w:pPr>
              <w:spacing w:after="160" w:line="278" w:lineRule="auto"/>
              <w:rPr>
                <w:lang w:val="en-US"/>
              </w:rPr>
            </w:pPr>
            <w:r w:rsidRPr="00EF0FE6">
              <w:rPr>
                <w:lang w:val="en-US"/>
              </w:rPr>
              <w:t>0.813</w:t>
            </w:r>
          </w:p>
        </w:tc>
        <w:tc>
          <w:tcPr>
            <w:tcW w:w="1083" w:type="dxa"/>
            <w:tcBorders>
              <w:top w:val="single" w:sz="4" w:space="0" w:color="auto"/>
              <w:left w:val="single" w:sz="4" w:space="0" w:color="auto"/>
              <w:bottom w:val="single" w:sz="4" w:space="0" w:color="auto"/>
              <w:right w:val="single" w:sz="4" w:space="0" w:color="auto"/>
            </w:tcBorders>
            <w:hideMark/>
          </w:tcPr>
          <w:p w14:paraId="66642A3C" w14:textId="77777777" w:rsidR="00EF0FE6" w:rsidRPr="00EF0FE6" w:rsidRDefault="00EF0FE6" w:rsidP="00EF0FE6">
            <w:pPr>
              <w:spacing w:after="160" w:line="278" w:lineRule="auto"/>
              <w:rPr>
                <w:lang w:val="en-US"/>
              </w:rPr>
            </w:pPr>
            <w:r w:rsidRPr="00EF0FE6">
              <w:rPr>
                <w:lang w:val="en-US"/>
              </w:rPr>
              <w:t>0.865</w:t>
            </w:r>
          </w:p>
        </w:tc>
      </w:tr>
      <w:tr w:rsidR="00EF0FE6" w:rsidRPr="00EF0FE6" w14:paraId="51FFF7E4"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60D5AF28" w14:textId="77777777" w:rsidR="00EF0FE6" w:rsidRPr="00EF0FE6" w:rsidRDefault="00EF0FE6" w:rsidP="00EF0FE6">
            <w:pPr>
              <w:spacing w:after="160" w:line="278" w:lineRule="auto"/>
              <w:rPr>
                <w:lang w:val="en-US"/>
              </w:rPr>
            </w:pPr>
            <w:r w:rsidRPr="00EF0FE6">
              <w:rPr>
                <w:lang w:val="en-US"/>
              </w:rPr>
              <w:t>PDGFA</w:t>
            </w:r>
          </w:p>
        </w:tc>
        <w:tc>
          <w:tcPr>
            <w:tcW w:w="1083" w:type="dxa"/>
            <w:tcBorders>
              <w:top w:val="single" w:sz="4" w:space="0" w:color="auto"/>
              <w:left w:val="single" w:sz="4" w:space="0" w:color="auto"/>
              <w:bottom w:val="single" w:sz="4" w:space="0" w:color="auto"/>
              <w:right w:val="single" w:sz="4" w:space="0" w:color="auto"/>
            </w:tcBorders>
            <w:hideMark/>
          </w:tcPr>
          <w:p w14:paraId="00AD7DCF" w14:textId="77777777" w:rsidR="00EF0FE6" w:rsidRPr="00EF0FE6" w:rsidRDefault="00EF0FE6" w:rsidP="00EF0FE6">
            <w:pPr>
              <w:spacing w:after="160" w:line="278" w:lineRule="auto"/>
              <w:rPr>
                <w:lang w:val="en-US"/>
              </w:rPr>
            </w:pPr>
            <w:r w:rsidRPr="00EF0FE6">
              <w:rPr>
                <w:lang w:val="en-US"/>
              </w:rPr>
              <w:t>0.805</w:t>
            </w:r>
          </w:p>
        </w:tc>
        <w:tc>
          <w:tcPr>
            <w:tcW w:w="1083" w:type="dxa"/>
            <w:tcBorders>
              <w:top w:val="single" w:sz="4" w:space="0" w:color="auto"/>
              <w:left w:val="single" w:sz="4" w:space="0" w:color="auto"/>
              <w:bottom w:val="single" w:sz="4" w:space="0" w:color="auto"/>
              <w:right w:val="single" w:sz="4" w:space="0" w:color="auto"/>
            </w:tcBorders>
            <w:hideMark/>
          </w:tcPr>
          <w:p w14:paraId="1AC00D5F" w14:textId="77777777" w:rsidR="00EF0FE6" w:rsidRPr="00EF0FE6" w:rsidRDefault="00EF0FE6" w:rsidP="00EF0FE6">
            <w:pPr>
              <w:spacing w:after="160" w:line="278" w:lineRule="auto"/>
              <w:rPr>
                <w:lang w:val="en-US"/>
              </w:rPr>
            </w:pPr>
            <w:r w:rsidRPr="00EF0FE6">
              <w:rPr>
                <w:lang w:val="en-US"/>
              </w:rPr>
              <w:t>yes</w:t>
            </w:r>
          </w:p>
        </w:tc>
        <w:tc>
          <w:tcPr>
            <w:tcW w:w="1083" w:type="dxa"/>
            <w:tcBorders>
              <w:top w:val="single" w:sz="4" w:space="0" w:color="auto"/>
              <w:left w:val="single" w:sz="4" w:space="0" w:color="auto"/>
              <w:bottom w:val="single" w:sz="4" w:space="0" w:color="auto"/>
              <w:right w:val="single" w:sz="4" w:space="0" w:color="auto"/>
            </w:tcBorders>
            <w:hideMark/>
          </w:tcPr>
          <w:p w14:paraId="54CDBE91" w14:textId="77777777" w:rsidR="00EF0FE6" w:rsidRPr="00EF0FE6" w:rsidRDefault="00EF0FE6" w:rsidP="00EF0FE6">
            <w:pPr>
              <w:spacing w:after="160" w:line="278" w:lineRule="auto"/>
              <w:rPr>
                <w:lang w:val="en-US"/>
              </w:rPr>
            </w:pPr>
            <w:r w:rsidRPr="00EF0FE6">
              <w:rPr>
                <w:lang w:val="en-US"/>
              </w:rPr>
              <w:t>+0.4795</w:t>
            </w:r>
          </w:p>
        </w:tc>
        <w:tc>
          <w:tcPr>
            <w:tcW w:w="1083" w:type="dxa"/>
            <w:tcBorders>
              <w:top w:val="single" w:sz="4" w:space="0" w:color="auto"/>
              <w:left w:val="single" w:sz="4" w:space="0" w:color="auto"/>
              <w:bottom w:val="single" w:sz="4" w:space="0" w:color="auto"/>
              <w:right w:val="single" w:sz="4" w:space="0" w:color="auto"/>
            </w:tcBorders>
            <w:hideMark/>
          </w:tcPr>
          <w:p w14:paraId="7414A9D6" w14:textId="77777777" w:rsidR="00EF0FE6" w:rsidRPr="00EF0FE6" w:rsidRDefault="00EF0FE6" w:rsidP="00EF0FE6">
            <w:pPr>
              <w:spacing w:after="160" w:line="278" w:lineRule="auto"/>
              <w:rPr>
                <w:lang w:val="en-US"/>
              </w:rPr>
            </w:pPr>
            <w:r w:rsidRPr="00EF0FE6">
              <w:rPr>
                <w:lang w:val="en-US"/>
              </w:rPr>
              <w:t>1.615</w:t>
            </w:r>
          </w:p>
        </w:tc>
        <w:tc>
          <w:tcPr>
            <w:tcW w:w="1083" w:type="dxa"/>
            <w:tcBorders>
              <w:top w:val="single" w:sz="4" w:space="0" w:color="auto"/>
              <w:left w:val="single" w:sz="4" w:space="0" w:color="auto"/>
              <w:bottom w:val="single" w:sz="4" w:space="0" w:color="auto"/>
              <w:right w:val="single" w:sz="4" w:space="0" w:color="auto"/>
            </w:tcBorders>
            <w:hideMark/>
          </w:tcPr>
          <w:p w14:paraId="57C46124" w14:textId="77777777" w:rsidR="00EF0FE6" w:rsidRPr="00EF0FE6" w:rsidRDefault="00EF0FE6" w:rsidP="00EF0FE6">
            <w:pPr>
              <w:spacing w:after="160" w:line="278" w:lineRule="auto"/>
              <w:rPr>
                <w:lang w:val="en-US"/>
              </w:rPr>
            </w:pPr>
            <w:r w:rsidRPr="00EF0FE6">
              <w:rPr>
                <w:lang w:val="en-US"/>
              </w:rPr>
              <w:t>1.361–1.917</w:t>
            </w:r>
          </w:p>
        </w:tc>
        <w:tc>
          <w:tcPr>
            <w:tcW w:w="1083" w:type="dxa"/>
            <w:tcBorders>
              <w:top w:val="single" w:sz="4" w:space="0" w:color="auto"/>
              <w:left w:val="single" w:sz="4" w:space="0" w:color="auto"/>
              <w:bottom w:val="single" w:sz="4" w:space="0" w:color="auto"/>
              <w:right w:val="single" w:sz="4" w:space="0" w:color="auto"/>
            </w:tcBorders>
            <w:hideMark/>
          </w:tcPr>
          <w:p w14:paraId="23CF7939" w14:textId="77777777" w:rsidR="00EF0FE6" w:rsidRPr="00EF0FE6" w:rsidRDefault="00EF0FE6" w:rsidP="00EF0FE6">
            <w:pPr>
              <w:spacing w:after="160" w:line="278" w:lineRule="auto"/>
              <w:rPr>
                <w:lang w:val="en-US"/>
              </w:rPr>
            </w:pPr>
            <w:r w:rsidRPr="00EF0FE6">
              <w:rPr>
                <w:lang w:val="en-US"/>
              </w:rPr>
              <w:t>3.90 × 10</w:t>
            </w:r>
            <w:r w:rsidRPr="00EF0FE6">
              <w:rPr>
                <w:rFonts w:ascii="Cambria Math" w:hAnsi="Cambria Math" w:cs="Cambria Math"/>
                <w:lang w:val="en-US"/>
              </w:rPr>
              <w:t>⁻</w:t>
            </w:r>
            <w:r w:rsidRPr="00EF0FE6">
              <w:rPr>
                <w:rFonts w:ascii="Aptos" w:hAnsi="Aptos" w:cs="Aptos"/>
                <w:lang w:val="en-US"/>
              </w:rPr>
              <w:t>⁸</w:t>
            </w:r>
          </w:p>
        </w:tc>
        <w:tc>
          <w:tcPr>
            <w:tcW w:w="1083" w:type="dxa"/>
            <w:tcBorders>
              <w:top w:val="single" w:sz="4" w:space="0" w:color="auto"/>
              <w:left w:val="single" w:sz="4" w:space="0" w:color="auto"/>
              <w:bottom w:val="single" w:sz="4" w:space="0" w:color="auto"/>
              <w:right w:val="single" w:sz="4" w:space="0" w:color="auto"/>
            </w:tcBorders>
            <w:hideMark/>
          </w:tcPr>
          <w:p w14:paraId="696A3CB2" w14:textId="77777777" w:rsidR="00EF0FE6" w:rsidRPr="00EF0FE6" w:rsidRDefault="00EF0FE6" w:rsidP="00EF0FE6">
            <w:pPr>
              <w:spacing w:after="160" w:line="278" w:lineRule="auto"/>
              <w:rPr>
                <w:lang w:val="en-US"/>
              </w:rPr>
            </w:pPr>
            <w:r w:rsidRPr="00EF0FE6">
              <w:rPr>
                <w:lang w:val="en-US"/>
              </w:rPr>
              <w:t>1.609</w:t>
            </w:r>
          </w:p>
        </w:tc>
        <w:tc>
          <w:tcPr>
            <w:tcW w:w="1083" w:type="dxa"/>
            <w:tcBorders>
              <w:top w:val="single" w:sz="4" w:space="0" w:color="auto"/>
              <w:left w:val="single" w:sz="4" w:space="0" w:color="auto"/>
              <w:bottom w:val="single" w:sz="4" w:space="0" w:color="auto"/>
              <w:right w:val="single" w:sz="4" w:space="0" w:color="auto"/>
            </w:tcBorders>
            <w:hideMark/>
          </w:tcPr>
          <w:p w14:paraId="2BA77353" w14:textId="77777777" w:rsidR="00EF0FE6" w:rsidRPr="00EF0FE6" w:rsidRDefault="00EF0FE6" w:rsidP="00EF0FE6">
            <w:pPr>
              <w:spacing w:after="160" w:line="278" w:lineRule="auto"/>
              <w:rPr>
                <w:lang w:val="en-US"/>
              </w:rPr>
            </w:pPr>
            <w:r w:rsidRPr="00EF0FE6">
              <w:rPr>
                <w:lang w:val="en-US"/>
              </w:rPr>
              <w:t>0.810</w:t>
            </w:r>
          </w:p>
        </w:tc>
      </w:tr>
      <w:tr w:rsidR="00EF0FE6" w:rsidRPr="00EF0FE6" w14:paraId="6B69E3F5"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63D5BD45" w14:textId="77777777" w:rsidR="00EF0FE6" w:rsidRPr="00EF0FE6" w:rsidRDefault="00EF0FE6" w:rsidP="00EF0FE6">
            <w:pPr>
              <w:spacing w:after="160" w:line="278" w:lineRule="auto"/>
              <w:rPr>
                <w:lang w:val="en-US"/>
              </w:rPr>
            </w:pPr>
            <w:r w:rsidRPr="00EF0FE6">
              <w:rPr>
                <w:lang w:val="en-US"/>
              </w:rPr>
              <w:t>OSGIN2</w:t>
            </w:r>
          </w:p>
        </w:tc>
        <w:tc>
          <w:tcPr>
            <w:tcW w:w="1083" w:type="dxa"/>
            <w:tcBorders>
              <w:top w:val="single" w:sz="4" w:space="0" w:color="auto"/>
              <w:left w:val="single" w:sz="4" w:space="0" w:color="auto"/>
              <w:bottom w:val="single" w:sz="4" w:space="0" w:color="auto"/>
              <w:right w:val="single" w:sz="4" w:space="0" w:color="auto"/>
            </w:tcBorders>
            <w:hideMark/>
          </w:tcPr>
          <w:p w14:paraId="19CAD8EF" w14:textId="77777777" w:rsidR="00EF0FE6" w:rsidRPr="00EF0FE6" w:rsidRDefault="00EF0FE6" w:rsidP="00EF0FE6">
            <w:pPr>
              <w:spacing w:after="160" w:line="278" w:lineRule="auto"/>
              <w:rPr>
                <w:lang w:val="en-US"/>
              </w:rPr>
            </w:pPr>
            <w:r w:rsidRPr="00EF0FE6">
              <w:rPr>
                <w:lang w:val="en-US"/>
              </w:rPr>
              <w:t>0.775</w:t>
            </w:r>
          </w:p>
        </w:tc>
        <w:tc>
          <w:tcPr>
            <w:tcW w:w="1083" w:type="dxa"/>
            <w:tcBorders>
              <w:top w:val="single" w:sz="4" w:space="0" w:color="auto"/>
              <w:left w:val="single" w:sz="4" w:space="0" w:color="auto"/>
              <w:bottom w:val="single" w:sz="4" w:space="0" w:color="auto"/>
              <w:right w:val="single" w:sz="4" w:space="0" w:color="auto"/>
            </w:tcBorders>
            <w:hideMark/>
          </w:tcPr>
          <w:p w14:paraId="15F10CA3" w14:textId="77777777" w:rsidR="00EF0FE6" w:rsidRPr="00EF0FE6" w:rsidRDefault="00EF0FE6" w:rsidP="00EF0FE6">
            <w:pPr>
              <w:spacing w:after="160" w:line="278" w:lineRule="auto"/>
              <w:rPr>
                <w:lang w:val="en-US"/>
              </w:rPr>
            </w:pPr>
            <w:r w:rsidRPr="00EF0FE6">
              <w:rPr>
                <w:lang w:val="en-US"/>
              </w:rPr>
              <w:t>dropped (</w:t>
            </w:r>
            <w:r w:rsidRPr="00EF0FE6">
              <w:rPr>
                <w:i/>
                <w:lang w:val="en-US"/>
              </w:rPr>
              <w:t>P</w:t>
            </w:r>
            <w:r w:rsidRPr="00EF0FE6">
              <w:rPr>
                <w:lang w:val="en-US"/>
              </w:rPr>
              <w:t xml:space="preserve"> = 0.382)</w:t>
            </w:r>
          </w:p>
        </w:tc>
        <w:tc>
          <w:tcPr>
            <w:tcW w:w="1083" w:type="dxa"/>
            <w:tcBorders>
              <w:top w:val="single" w:sz="4" w:space="0" w:color="auto"/>
              <w:left w:val="single" w:sz="4" w:space="0" w:color="auto"/>
              <w:bottom w:val="single" w:sz="4" w:space="0" w:color="auto"/>
              <w:right w:val="single" w:sz="4" w:space="0" w:color="auto"/>
            </w:tcBorders>
            <w:hideMark/>
          </w:tcPr>
          <w:p w14:paraId="5B7E8B73"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0B8AA7F" w14:textId="77777777" w:rsidR="00EF0FE6" w:rsidRPr="00EF0FE6" w:rsidRDefault="00EF0FE6" w:rsidP="00EF0FE6">
            <w:pPr>
              <w:spacing w:after="160" w:line="278" w:lineRule="auto"/>
              <w:rPr>
                <w:lang w:val="en-US"/>
              </w:rPr>
            </w:pPr>
            <w:r w:rsidRPr="00EF0FE6">
              <w:rPr>
                <w:lang w:val="en-US"/>
              </w:rPr>
              <w:t>0.921</w:t>
            </w:r>
          </w:p>
        </w:tc>
        <w:tc>
          <w:tcPr>
            <w:tcW w:w="1083" w:type="dxa"/>
            <w:tcBorders>
              <w:top w:val="single" w:sz="4" w:space="0" w:color="auto"/>
              <w:left w:val="single" w:sz="4" w:space="0" w:color="auto"/>
              <w:bottom w:val="single" w:sz="4" w:space="0" w:color="auto"/>
              <w:right w:val="single" w:sz="4" w:space="0" w:color="auto"/>
            </w:tcBorders>
            <w:hideMark/>
          </w:tcPr>
          <w:p w14:paraId="67719D4E"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0CACAB01" w14:textId="77777777" w:rsidR="00EF0FE6" w:rsidRPr="00EF0FE6" w:rsidRDefault="00EF0FE6" w:rsidP="00EF0FE6">
            <w:pPr>
              <w:spacing w:after="160" w:line="278" w:lineRule="auto"/>
              <w:rPr>
                <w:lang w:val="en-US"/>
              </w:rPr>
            </w:pPr>
            <w:r w:rsidRPr="00EF0FE6">
              <w:rPr>
                <w:lang w:val="en-US"/>
              </w:rPr>
              <w:t>0.382</w:t>
            </w:r>
          </w:p>
        </w:tc>
        <w:tc>
          <w:tcPr>
            <w:tcW w:w="1083" w:type="dxa"/>
            <w:tcBorders>
              <w:top w:val="single" w:sz="4" w:space="0" w:color="auto"/>
              <w:left w:val="single" w:sz="4" w:space="0" w:color="auto"/>
              <w:bottom w:val="single" w:sz="4" w:space="0" w:color="auto"/>
              <w:right w:val="single" w:sz="4" w:space="0" w:color="auto"/>
            </w:tcBorders>
            <w:hideMark/>
          </w:tcPr>
          <w:p w14:paraId="57290DE5" w14:textId="77777777" w:rsidR="00EF0FE6" w:rsidRPr="00EF0FE6" w:rsidRDefault="00EF0FE6" w:rsidP="00EF0FE6">
            <w:pPr>
              <w:spacing w:after="160" w:line="278" w:lineRule="auto"/>
              <w:rPr>
                <w:lang w:val="en-US"/>
              </w:rPr>
            </w:pPr>
            <w:r w:rsidRPr="00EF0FE6">
              <w:rPr>
                <w:lang w:val="en-US"/>
              </w:rPr>
              <w:t>0.675</w:t>
            </w:r>
          </w:p>
        </w:tc>
        <w:tc>
          <w:tcPr>
            <w:tcW w:w="1083" w:type="dxa"/>
            <w:tcBorders>
              <w:top w:val="single" w:sz="4" w:space="0" w:color="auto"/>
              <w:left w:val="single" w:sz="4" w:space="0" w:color="auto"/>
              <w:bottom w:val="single" w:sz="4" w:space="0" w:color="auto"/>
              <w:right w:val="single" w:sz="4" w:space="0" w:color="auto"/>
            </w:tcBorders>
            <w:hideMark/>
          </w:tcPr>
          <w:p w14:paraId="5D06DD6F" w14:textId="77777777" w:rsidR="00EF0FE6" w:rsidRPr="00EF0FE6" w:rsidRDefault="00EF0FE6" w:rsidP="00EF0FE6">
            <w:pPr>
              <w:spacing w:after="160" w:line="278" w:lineRule="auto"/>
              <w:rPr>
                <w:lang w:val="en-US"/>
              </w:rPr>
            </w:pPr>
            <w:r w:rsidRPr="00EF0FE6">
              <w:rPr>
                <w:lang w:val="en-US"/>
              </w:rPr>
              <w:t>0.755</w:t>
            </w:r>
          </w:p>
        </w:tc>
      </w:tr>
      <w:tr w:rsidR="00EF0FE6" w:rsidRPr="00EF0FE6" w14:paraId="6FE8D288"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585B18C7" w14:textId="77777777" w:rsidR="00EF0FE6" w:rsidRPr="00EF0FE6" w:rsidRDefault="00EF0FE6" w:rsidP="00EF0FE6">
            <w:pPr>
              <w:spacing w:after="160" w:line="278" w:lineRule="auto"/>
              <w:rPr>
                <w:lang w:val="en-US"/>
              </w:rPr>
            </w:pPr>
            <w:r w:rsidRPr="00EF0FE6">
              <w:rPr>
                <w:lang w:val="en-US"/>
              </w:rPr>
              <w:t>PBX2</w:t>
            </w:r>
          </w:p>
        </w:tc>
        <w:tc>
          <w:tcPr>
            <w:tcW w:w="1083" w:type="dxa"/>
            <w:tcBorders>
              <w:top w:val="single" w:sz="4" w:space="0" w:color="auto"/>
              <w:left w:val="single" w:sz="4" w:space="0" w:color="auto"/>
              <w:bottom w:val="single" w:sz="4" w:space="0" w:color="auto"/>
              <w:right w:val="single" w:sz="4" w:space="0" w:color="auto"/>
            </w:tcBorders>
            <w:hideMark/>
          </w:tcPr>
          <w:p w14:paraId="39D25DFD" w14:textId="77777777" w:rsidR="00EF0FE6" w:rsidRPr="00EF0FE6" w:rsidRDefault="00EF0FE6" w:rsidP="00EF0FE6">
            <w:pPr>
              <w:spacing w:after="160" w:line="278" w:lineRule="auto"/>
              <w:rPr>
                <w:lang w:val="en-US"/>
              </w:rPr>
            </w:pPr>
            <w:r w:rsidRPr="00EF0FE6">
              <w:rPr>
                <w:lang w:val="en-US"/>
              </w:rPr>
              <w:t>0.705</w:t>
            </w:r>
          </w:p>
        </w:tc>
        <w:tc>
          <w:tcPr>
            <w:tcW w:w="1083" w:type="dxa"/>
            <w:tcBorders>
              <w:top w:val="single" w:sz="4" w:space="0" w:color="auto"/>
              <w:left w:val="single" w:sz="4" w:space="0" w:color="auto"/>
              <w:bottom w:val="single" w:sz="4" w:space="0" w:color="auto"/>
              <w:right w:val="single" w:sz="4" w:space="0" w:color="auto"/>
            </w:tcBorders>
            <w:hideMark/>
          </w:tcPr>
          <w:p w14:paraId="566C88A1" w14:textId="77777777" w:rsidR="00EF0FE6" w:rsidRPr="00EF0FE6" w:rsidRDefault="00EF0FE6" w:rsidP="00EF0FE6">
            <w:pPr>
              <w:spacing w:after="160" w:line="278" w:lineRule="auto"/>
              <w:rPr>
                <w:lang w:val="en-US"/>
              </w:rPr>
            </w:pPr>
            <w:r w:rsidRPr="00EF0FE6">
              <w:rPr>
                <w:lang w:val="en-US"/>
              </w:rPr>
              <w:t>below threshold</w:t>
            </w:r>
          </w:p>
        </w:tc>
        <w:tc>
          <w:tcPr>
            <w:tcW w:w="1083" w:type="dxa"/>
            <w:tcBorders>
              <w:top w:val="single" w:sz="4" w:space="0" w:color="auto"/>
              <w:left w:val="single" w:sz="4" w:space="0" w:color="auto"/>
              <w:bottom w:val="single" w:sz="4" w:space="0" w:color="auto"/>
              <w:right w:val="single" w:sz="4" w:space="0" w:color="auto"/>
            </w:tcBorders>
            <w:hideMark/>
          </w:tcPr>
          <w:p w14:paraId="1CC25A8A"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67180FA3"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11CC033"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67063227"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73BEE2E6" w14:textId="77777777" w:rsidR="00EF0FE6" w:rsidRPr="00EF0FE6" w:rsidRDefault="00EF0FE6" w:rsidP="00EF0FE6">
            <w:pPr>
              <w:spacing w:after="160" w:line="278" w:lineRule="auto"/>
              <w:rPr>
                <w:lang w:val="en-US"/>
              </w:rPr>
            </w:pPr>
            <w:r w:rsidRPr="00EF0FE6">
              <w:rPr>
                <w:lang w:val="en-US"/>
              </w:rPr>
              <w:t>0.969</w:t>
            </w:r>
          </w:p>
        </w:tc>
        <w:tc>
          <w:tcPr>
            <w:tcW w:w="1083" w:type="dxa"/>
            <w:tcBorders>
              <w:top w:val="single" w:sz="4" w:space="0" w:color="auto"/>
              <w:left w:val="single" w:sz="4" w:space="0" w:color="auto"/>
              <w:bottom w:val="single" w:sz="4" w:space="0" w:color="auto"/>
              <w:right w:val="single" w:sz="4" w:space="0" w:color="auto"/>
            </w:tcBorders>
            <w:hideMark/>
          </w:tcPr>
          <w:p w14:paraId="7D137E7F" w14:textId="77777777" w:rsidR="00EF0FE6" w:rsidRPr="00EF0FE6" w:rsidRDefault="00EF0FE6" w:rsidP="00EF0FE6">
            <w:pPr>
              <w:spacing w:after="160" w:line="278" w:lineRule="auto"/>
              <w:rPr>
                <w:lang w:val="en-US"/>
              </w:rPr>
            </w:pPr>
            <w:r w:rsidRPr="00EF0FE6">
              <w:rPr>
                <w:b/>
                <w:lang w:val="en-US"/>
              </w:rPr>
              <w:t>0.800</w:t>
            </w:r>
          </w:p>
        </w:tc>
      </w:tr>
      <w:tr w:rsidR="00EF0FE6" w:rsidRPr="00EF0FE6" w14:paraId="4318AC23"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51E1AA1C" w14:textId="77777777" w:rsidR="00EF0FE6" w:rsidRPr="00EF0FE6" w:rsidRDefault="00EF0FE6" w:rsidP="00EF0FE6">
            <w:pPr>
              <w:spacing w:after="160" w:line="278" w:lineRule="auto"/>
              <w:rPr>
                <w:lang w:val="en-US"/>
              </w:rPr>
            </w:pPr>
            <w:r w:rsidRPr="00EF0FE6">
              <w:rPr>
                <w:lang w:val="en-US"/>
              </w:rPr>
              <w:t>PPM1M</w:t>
            </w:r>
          </w:p>
        </w:tc>
        <w:tc>
          <w:tcPr>
            <w:tcW w:w="1083" w:type="dxa"/>
            <w:tcBorders>
              <w:top w:val="single" w:sz="4" w:space="0" w:color="auto"/>
              <w:left w:val="single" w:sz="4" w:space="0" w:color="auto"/>
              <w:bottom w:val="single" w:sz="4" w:space="0" w:color="auto"/>
              <w:right w:val="single" w:sz="4" w:space="0" w:color="auto"/>
            </w:tcBorders>
            <w:hideMark/>
          </w:tcPr>
          <w:p w14:paraId="5947D401" w14:textId="77777777" w:rsidR="00EF0FE6" w:rsidRPr="00EF0FE6" w:rsidRDefault="00EF0FE6" w:rsidP="00EF0FE6">
            <w:pPr>
              <w:spacing w:after="160" w:line="278" w:lineRule="auto"/>
              <w:rPr>
                <w:lang w:val="en-US"/>
              </w:rPr>
            </w:pPr>
            <w:r w:rsidRPr="00EF0FE6">
              <w:rPr>
                <w:lang w:val="en-US"/>
              </w:rPr>
              <w:t>0.665</w:t>
            </w:r>
          </w:p>
        </w:tc>
        <w:tc>
          <w:tcPr>
            <w:tcW w:w="1083" w:type="dxa"/>
            <w:tcBorders>
              <w:top w:val="single" w:sz="4" w:space="0" w:color="auto"/>
              <w:left w:val="single" w:sz="4" w:space="0" w:color="auto"/>
              <w:bottom w:val="single" w:sz="4" w:space="0" w:color="auto"/>
              <w:right w:val="single" w:sz="4" w:space="0" w:color="auto"/>
            </w:tcBorders>
            <w:hideMark/>
          </w:tcPr>
          <w:p w14:paraId="339D106B" w14:textId="77777777" w:rsidR="00EF0FE6" w:rsidRPr="00EF0FE6" w:rsidRDefault="00EF0FE6" w:rsidP="00EF0FE6">
            <w:pPr>
              <w:spacing w:after="160" w:line="278" w:lineRule="auto"/>
              <w:rPr>
                <w:lang w:val="en-US"/>
              </w:rPr>
            </w:pPr>
            <w:r w:rsidRPr="00EF0FE6">
              <w:rPr>
                <w:lang w:val="en-US"/>
              </w:rPr>
              <w:t>below threshold</w:t>
            </w:r>
          </w:p>
        </w:tc>
        <w:tc>
          <w:tcPr>
            <w:tcW w:w="1083" w:type="dxa"/>
            <w:tcBorders>
              <w:top w:val="single" w:sz="4" w:space="0" w:color="auto"/>
              <w:left w:val="single" w:sz="4" w:space="0" w:color="auto"/>
              <w:bottom w:val="single" w:sz="4" w:space="0" w:color="auto"/>
              <w:right w:val="single" w:sz="4" w:space="0" w:color="auto"/>
            </w:tcBorders>
            <w:hideMark/>
          </w:tcPr>
          <w:p w14:paraId="2B8B9B7C"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5D8A9E2"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03FA01AC"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91ECA4D"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1D43A2E6" w14:textId="77777777" w:rsidR="00EF0FE6" w:rsidRPr="00EF0FE6" w:rsidRDefault="00EF0FE6" w:rsidP="00EF0FE6">
            <w:pPr>
              <w:spacing w:after="160" w:line="278" w:lineRule="auto"/>
              <w:rPr>
                <w:lang w:val="en-US"/>
              </w:rPr>
            </w:pPr>
            <w:r w:rsidRPr="00EF0FE6">
              <w:rPr>
                <w:lang w:val="en-US"/>
              </w:rPr>
              <w:t>1.572</w:t>
            </w:r>
          </w:p>
        </w:tc>
        <w:tc>
          <w:tcPr>
            <w:tcW w:w="1083" w:type="dxa"/>
            <w:tcBorders>
              <w:top w:val="single" w:sz="4" w:space="0" w:color="auto"/>
              <w:left w:val="single" w:sz="4" w:space="0" w:color="auto"/>
              <w:bottom w:val="single" w:sz="4" w:space="0" w:color="auto"/>
              <w:right w:val="single" w:sz="4" w:space="0" w:color="auto"/>
            </w:tcBorders>
            <w:hideMark/>
          </w:tcPr>
          <w:p w14:paraId="46CD0A80" w14:textId="77777777" w:rsidR="00EF0FE6" w:rsidRPr="00EF0FE6" w:rsidRDefault="00EF0FE6" w:rsidP="00EF0FE6">
            <w:pPr>
              <w:spacing w:after="160" w:line="278" w:lineRule="auto"/>
              <w:rPr>
                <w:lang w:val="en-US"/>
              </w:rPr>
            </w:pPr>
            <w:r w:rsidRPr="00EF0FE6">
              <w:rPr>
                <w:b/>
                <w:lang w:val="en-US"/>
              </w:rPr>
              <w:t>0.755</w:t>
            </w:r>
          </w:p>
        </w:tc>
      </w:tr>
      <w:tr w:rsidR="00EF0FE6" w:rsidRPr="00EF0FE6" w14:paraId="4CEA15D1"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24909A2D" w14:textId="77777777" w:rsidR="00EF0FE6" w:rsidRPr="00EF0FE6" w:rsidRDefault="00EF0FE6" w:rsidP="00EF0FE6">
            <w:pPr>
              <w:spacing w:after="160" w:line="278" w:lineRule="auto"/>
              <w:rPr>
                <w:lang w:val="en-US"/>
              </w:rPr>
            </w:pPr>
            <w:r w:rsidRPr="00EF0FE6">
              <w:rPr>
                <w:lang w:val="en-US"/>
              </w:rPr>
              <w:t>SLC7A1</w:t>
            </w:r>
          </w:p>
        </w:tc>
        <w:tc>
          <w:tcPr>
            <w:tcW w:w="1083" w:type="dxa"/>
            <w:tcBorders>
              <w:top w:val="single" w:sz="4" w:space="0" w:color="auto"/>
              <w:left w:val="single" w:sz="4" w:space="0" w:color="auto"/>
              <w:bottom w:val="single" w:sz="4" w:space="0" w:color="auto"/>
              <w:right w:val="single" w:sz="4" w:space="0" w:color="auto"/>
            </w:tcBorders>
            <w:hideMark/>
          </w:tcPr>
          <w:p w14:paraId="5A77738F" w14:textId="77777777" w:rsidR="00EF0FE6" w:rsidRPr="00EF0FE6" w:rsidRDefault="00EF0FE6" w:rsidP="00EF0FE6">
            <w:pPr>
              <w:spacing w:after="160" w:line="278" w:lineRule="auto"/>
              <w:rPr>
                <w:lang w:val="en-US"/>
              </w:rPr>
            </w:pPr>
            <w:r w:rsidRPr="00EF0FE6">
              <w:rPr>
                <w:lang w:val="en-US"/>
              </w:rPr>
              <w:t>0.735</w:t>
            </w:r>
          </w:p>
        </w:tc>
        <w:tc>
          <w:tcPr>
            <w:tcW w:w="1083" w:type="dxa"/>
            <w:tcBorders>
              <w:top w:val="single" w:sz="4" w:space="0" w:color="auto"/>
              <w:left w:val="single" w:sz="4" w:space="0" w:color="auto"/>
              <w:bottom w:val="single" w:sz="4" w:space="0" w:color="auto"/>
              <w:right w:val="single" w:sz="4" w:space="0" w:color="auto"/>
            </w:tcBorders>
            <w:hideMark/>
          </w:tcPr>
          <w:p w14:paraId="33990C2B" w14:textId="77777777" w:rsidR="00EF0FE6" w:rsidRPr="00EF0FE6" w:rsidRDefault="00EF0FE6" w:rsidP="00EF0FE6">
            <w:pPr>
              <w:spacing w:after="160" w:line="278" w:lineRule="auto"/>
              <w:rPr>
                <w:lang w:val="en-US"/>
              </w:rPr>
            </w:pPr>
            <w:r w:rsidRPr="00EF0FE6">
              <w:rPr>
                <w:lang w:val="en-US"/>
              </w:rPr>
              <w:t>below threshold</w:t>
            </w:r>
          </w:p>
        </w:tc>
        <w:tc>
          <w:tcPr>
            <w:tcW w:w="1083" w:type="dxa"/>
            <w:tcBorders>
              <w:top w:val="single" w:sz="4" w:space="0" w:color="auto"/>
              <w:left w:val="single" w:sz="4" w:space="0" w:color="auto"/>
              <w:bottom w:val="single" w:sz="4" w:space="0" w:color="auto"/>
              <w:right w:val="single" w:sz="4" w:space="0" w:color="auto"/>
            </w:tcBorders>
            <w:hideMark/>
          </w:tcPr>
          <w:p w14:paraId="11749196"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4001D14D"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0C75E73"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1B7F35B3"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7A3BD849" w14:textId="77777777" w:rsidR="00EF0FE6" w:rsidRPr="00EF0FE6" w:rsidRDefault="00EF0FE6" w:rsidP="00EF0FE6">
            <w:pPr>
              <w:spacing w:after="160" w:line="278" w:lineRule="auto"/>
              <w:rPr>
                <w:lang w:val="en-US"/>
              </w:rPr>
            </w:pPr>
            <w:r w:rsidRPr="00EF0FE6">
              <w:rPr>
                <w:lang w:val="en-US"/>
              </w:rPr>
              <w:t>0.648</w:t>
            </w:r>
          </w:p>
        </w:tc>
        <w:tc>
          <w:tcPr>
            <w:tcW w:w="1083" w:type="dxa"/>
            <w:tcBorders>
              <w:top w:val="single" w:sz="4" w:space="0" w:color="auto"/>
              <w:left w:val="single" w:sz="4" w:space="0" w:color="auto"/>
              <w:bottom w:val="single" w:sz="4" w:space="0" w:color="auto"/>
              <w:right w:val="single" w:sz="4" w:space="0" w:color="auto"/>
            </w:tcBorders>
            <w:hideMark/>
          </w:tcPr>
          <w:p w14:paraId="64E55490" w14:textId="77777777" w:rsidR="00EF0FE6" w:rsidRPr="00EF0FE6" w:rsidRDefault="00EF0FE6" w:rsidP="00EF0FE6">
            <w:pPr>
              <w:spacing w:after="160" w:line="278" w:lineRule="auto"/>
              <w:rPr>
                <w:lang w:val="en-US"/>
              </w:rPr>
            </w:pPr>
            <w:r w:rsidRPr="00EF0FE6">
              <w:rPr>
                <w:lang w:val="en-US"/>
              </w:rPr>
              <w:t>0.665</w:t>
            </w:r>
          </w:p>
        </w:tc>
      </w:tr>
      <w:tr w:rsidR="00EF0FE6" w:rsidRPr="00EF0FE6" w14:paraId="0A885822"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4B53D648" w14:textId="77777777" w:rsidR="00EF0FE6" w:rsidRPr="00EF0FE6" w:rsidRDefault="00EF0FE6" w:rsidP="00EF0FE6">
            <w:pPr>
              <w:spacing w:after="160" w:line="278" w:lineRule="auto"/>
              <w:rPr>
                <w:lang w:val="en-US"/>
              </w:rPr>
            </w:pPr>
            <w:r w:rsidRPr="00EF0FE6">
              <w:rPr>
                <w:lang w:val="en-US"/>
              </w:rPr>
              <w:t>MXRA8</w:t>
            </w:r>
          </w:p>
        </w:tc>
        <w:tc>
          <w:tcPr>
            <w:tcW w:w="1083" w:type="dxa"/>
            <w:tcBorders>
              <w:top w:val="single" w:sz="4" w:space="0" w:color="auto"/>
              <w:left w:val="single" w:sz="4" w:space="0" w:color="auto"/>
              <w:bottom w:val="single" w:sz="4" w:space="0" w:color="auto"/>
              <w:right w:val="single" w:sz="4" w:space="0" w:color="auto"/>
            </w:tcBorders>
            <w:hideMark/>
          </w:tcPr>
          <w:p w14:paraId="6A505C73" w14:textId="77777777" w:rsidR="00EF0FE6" w:rsidRPr="00EF0FE6" w:rsidRDefault="00EF0FE6" w:rsidP="00EF0FE6">
            <w:pPr>
              <w:spacing w:after="160" w:line="278" w:lineRule="auto"/>
              <w:rPr>
                <w:lang w:val="en-US"/>
              </w:rPr>
            </w:pPr>
            <w:r w:rsidRPr="00EF0FE6">
              <w:rPr>
                <w:lang w:val="en-US"/>
              </w:rPr>
              <w:t>0.725</w:t>
            </w:r>
          </w:p>
        </w:tc>
        <w:tc>
          <w:tcPr>
            <w:tcW w:w="1083" w:type="dxa"/>
            <w:tcBorders>
              <w:top w:val="single" w:sz="4" w:space="0" w:color="auto"/>
              <w:left w:val="single" w:sz="4" w:space="0" w:color="auto"/>
              <w:bottom w:val="single" w:sz="4" w:space="0" w:color="auto"/>
              <w:right w:val="single" w:sz="4" w:space="0" w:color="auto"/>
            </w:tcBorders>
            <w:hideMark/>
          </w:tcPr>
          <w:p w14:paraId="27F78EE1" w14:textId="77777777" w:rsidR="00EF0FE6" w:rsidRPr="00EF0FE6" w:rsidRDefault="00EF0FE6" w:rsidP="00EF0FE6">
            <w:pPr>
              <w:spacing w:after="160" w:line="278" w:lineRule="auto"/>
              <w:rPr>
                <w:lang w:val="en-US"/>
              </w:rPr>
            </w:pPr>
            <w:r w:rsidRPr="00EF0FE6">
              <w:rPr>
                <w:lang w:val="en-US"/>
              </w:rPr>
              <w:t>below threshold</w:t>
            </w:r>
          </w:p>
        </w:tc>
        <w:tc>
          <w:tcPr>
            <w:tcW w:w="1083" w:type="dxa"/>
            <w:tcBorders>
              <w:top w:val="single" w:sz="4" w:space="0" w:color="auto"/>
              <w:left w:val="single" w:sz="4" w:space="0" w:color="auto"/>
              <w:bottom w:val="single" w:sz="4" w:space="0" w:color="auto"/>
              <w:right w:val="single" w:sz="4" w:space="0" w:color="auto"/>
            </w:tcBorders>
            <w:hideMark/>
          </w:tcPr>
          <w:p w14:paraId="5F31252E"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7B6C2E93"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0043A794"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3E809B14"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66CA1E97" w14:textId="77777777" w:rsidR="00EF0FE6" w:rsidRPr="00EF0FE6" w:rsidRDefault="00EF0FE6" w:rsidP="00EF0FE6">
            <w:pPr>
              <w:spacing w:after="160" w:line="278" w:lineRule="auto"/>
              <w:rPr>
                <w:lang w:val="en-US"/>
              </w:rPr>
            </w:pPr>
            <w:r w:rsidRPr="00EF0FE6">
              <w:rPr>
                <w:lang w:val="en-US"/>
              </w:rPr>
              <w:t>1.475</w:t>
            </w:r>
          </w:p>
        </w:tc>
        <w:tc>
          <w:tcPr>
            <w:tcW w:w="1083" w:type="dxa"/>
            <w:tcBorders>
              <w:top w:val="single" w:sz="4" w:space="0" w:color="auto"/>
              <w:left w:val="single" w:sz="4" w:space="0" w:color="auto"/>
              <w:bottom w:val="single" w:sz="4" w:space="0" w:color="auto"/>
              <w:right w:val="single" w:sz="4" w:space="0" w:color="auto"/>
            </w:tcBorders>
            <w:hideMark/>
          </w:tcPr>
          <w:p w14:paraId="7304644A" w14:textId="77777777" w:rsidR="00EF0FE6" w:rsidRPr="00EF0FE6" w:rsidRDefault="00EF0FE6" w:rsidP="00EF0FE6">
            <w:pPr>
              <w:spacing w:after="160" w:line="278" w:lineRule="auto"/>
              <w:rPr>
                <w:lang w:val="en-US"/>
              </w:rPr>
            </w:pPr>
            <w:r w:rsidRPr="00EF0FE6">
              <w:rPr>
                <w:lang w:val="en-US"/>
              </w:rPr>
              <w:t>0.740</w:t>
            </w:r>
          </w:p>
        </w:tc>
      </w:tr>
      <w:tr w:rsidR="00EF0FE6" w:rsidRPr="00EF0FE6" w14:paraId="0545BB43"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2BA9BD89" w14:textId="77777777" w:rsidR="00EF0FE6" w:rsidRPr="00EF0FE6" w:rsidRDefault="00EF0FE6" w:rsidP="00EF0FE6">
            <w:pPr>
              <w:spacing w:after="160" w:line="278" w:lineRule="auto"/>
              <w:rPr>
                <w:lang w:val="en-US"/>
              </w:rPr>
            </w:pPr>
            <w:r w:rsidRPr="00EF0FE6">
              <w:rPr>
                <w:lang w:val="en-US"/>
              </w:rPr>
              <w:t>HSPA4L</w:t>
            </w:r>
          </w:p>
        </w:tc>
        <w:tc>
          <w:tcPr>
            <w:tcW w:w="1083" w:type="dxa"/>
            <w:tcBorders>
              <w:top w:val="single" w:sz="4" w:space="0" w:color="auto"/>
              <w:left w:val="single" w:sz="4" w:space="0" w:color="auto"/>
              <w:bottom w:val="single" w:sz="4" w:space="0" w:color="auto"/>
              <w:right w:val="single" w:sz="4" w:space="0" w:color="auto"/>
            </w:tcBorders>
            <w:hideMark/>
          </w:tcPr>
          <w:p w14:paraId="29D8F88D" w14:textId="77777777" w:rsidR="00EF0FE6" w:rsidRPr="00EF0FE6" w:rsidRDefault="00EF0FE6" w:rsidP="00EF0FE6">
            <w:pPr>
              <w:spacing w:after="160" w:line="278" w:lineRule="auto"/>
              <w:rPr>
                <w:lang w:val="en-US"/>
              </w:rPr>
            </w:pPr>
            <w:r w:rsidRPr="00EF0FE6">
              <w:rPr>
                <w:lang w:val="en-US"/>
              </w:rPr>
              <w:t>0.705</w:t>
            </w:r>
          </w:p>
        </w:tc>
        <w:tc>
          <w:tcPr>
            <w:tcW w:w="1083" w:type="dxa"/>
            <w:tcBorders>
              <w:top w:val="single" w:sz="4" w:space="0" w:color="auto"/>
              <w:left w:val="single" w:sz="4" w:space="0" w:color="auto"/>
              <w:bottom w:val="single" w:sz="4" w:space="0" w:color="auto"/>
              <w:right w:val="single" w:sz="4" w:space="0" w:color="auto"/>
            </w:tcBorders>
            <w:hideMark/>
          </w:tcPr>
          <w:p w14:paraId="03C41384" w14:textId="77777777" w:rsidR="00EF0FE6" w:rsidRPr="00EF0FE6" w:rsidRDefault="00EF0FE6" w:rsidP="00EF0FE6">
            <w:pPr>
              <w:spacing w:after="160" w:line="278" w:lineRule="auto"/>
              <w:rPr>
                <w:lang w:val="en-US"/>
              </w:rPr>
            </w:pPr>
            <w:r w:rsidRPr="00EF0FE6">
              <w:rPr>
                <w:lang w:val="en-US"/>
              </w:rPr>
              <w:t>below threshold</w:t>
            </w:r>
          </w:p>
        </w:tc>
        <w:tc>
          <w:tcPr>
            <w:tcW w:w="1083" w:type="dxa"/>
            <w:tcBorders>
              <w:top w:val="single" w:sz="4" w:space="0" w:color="auto"/>
              <w:left w:val="single" w:sz="4" w:space="0" w:color="auto"/>
              <w:bottom w:val="single" w:sz="4" w:space="0" w:color="auto"/>
              <w:right w:val="single" w:sz="4" w:space="0" w:color="auto"/>
            </w:tcBorders>
            <w:hideMark/>
          </w:tcPr>
          <w:p w14:paraId="142D5DB6"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B70CFC8"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1DFFC22"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8D85AFA"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0F26EC42" w14:textId="77777777" w:rsidR="00EF0FE6" w:rsidRPr="00EF0FE6" w:rsidRDefault="00EF0FE6" w:rsidP="00EF0FE6">
            <w:pPr>
              <w:spacing w:after="160" w:line="278" w:lineRule="auto"/>
              <w:rPr>
                <w:lang w:val="en-US"/>
              </w:rPr>
            </w:pPr>
            <w:r w:rsidRPr="00EF0FE6">
              <w:rPr>
                <w:lang w:val="en-US"/>
              </w:rPr>
              <w:t>1.327</w:t>
            </w:r>
          </w:p>
        </w:tc>
        <w:tc>
          <w:tcPr>
            <w:tcW w:w="1083" w:type="dxa"/>
            <w:tcBorders>
              <w:top w:val="single" w:sz="4" w:space="0" w:color="auto"/>
              <w:left w:val="single" w:sz="4" w:space="0" w:color="auto"/>
              <w:bottom w:val="single" w:sz="4" w:space="0" w:color="auto"/>
              <w:right w:val="single" w:sz="4" w:space="0" w:color="auto"/>
            </w:tcBorders>
            <w:hideMark/>
          </w:tcPr>
          <w:p w14:paraId="634265BC" w14:textId="77777777" w:rsidR="00EF0FE6" w:rsidRPr="00EF0FE6" w:rsidRDefault="00EF0FE6" w:rsidP="00EF0FE6">
            <w:pPr>
              <w:spacing w:after="160" w:line="278" w:lineRule="auto"/>
              <w:rPr>
                <w:lang w:val="en-US"/>
              </w:rPr>
            </w:pPr>
            <w:r w:rsidRPr="00EF0FE6">
              <w:rPr>
                <w:lang w:val="en-US"/>
              </w:rPr>
              <w:t>0.740</w:t>
            </w:r>
          </w:p>
        </w:tc>
      </w:tr>
      <w:tr w:rsidR="00EF0FE6" w:rsidRPr="00EF0FE6" w14:paraId="5BF680AF"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5F2DA446" w14:textId="77777777" w:rsidR="00EF0FE6" w:rsidRPr="00EF0FE6" w:rsidRDefault="00EF0FE6" w:rsidP="00EF0FE6">
            <w:pPr>
              <w:spacing w:after="160" w:line="278" w:lineRule="auto"/>
              <w:rPr>
                <w:lang w:val="en-US"/>
              </w:rPr>
            </w:pPr>
            <w:r w:rsidRPr="00EF0FE6">
              <w:rPr>
                <w:lang w:val="en-US"/>
              </w:rPr>
              <w:t>KIF24</w:t>
            </w:r>
          </w:p>
        </w:tc>
        <w:tc>
          <w:tcPr>
            <w:tcW w:w="1083" w:type="dxa"/>
            <w:tcBorders>
              <w:top w:val="single" w:sz="4" w:space="0" w:color="auto"/>
              <w:left w:val="single" w:sz="4" w:space="0" w:color="auto"/>
              <w:bottom w:val="single" w:sz="4" w:space="0" w:color="auto"/>
              <w:right w:val="single" w:sz="4" w:space="0" w:color="auto"/>
            </w:tcBorders>
            <w:hideMark/>
          </w:tcPr>
          <w:p w14:paraId="7503EE56" w14:textId="77777777" w:rsidR="00EF0FE6" w:rsidRPr="00EF0FE6" w:rsidRDefault="00EF0FE6" w:rsidP="00EF0FE6">
            <w:pPr>
              <w:spacing w:after="160" w:line="278" w:lineRule="auto"/>
              <w:rPr>
                <w:lang w:val="en-US"/>
              </w:rPr>
            </w:pPr>
            <w:r w:rsidRPr="00EF0FE6">
              <w:rPr>
                <w:lang w:val="en-US"/>
              </w:rPr>
              <w:t>0.725</w:t>
            </w:r>
          </w:p>
        </w:tc>
        <w:tc>
          <w:tcPr>
            <w:tcW w:w="1083" w:type="dxa"/>
            <w:tcBorders>
              <w:top w:val="single" w:sz="4" w:space="0" w:color="auto"/>
              <w:left w:val="single" w:sz="4" w:space="0" w:color="auto"/>
              <w:bottom w:val="single" w:sz="4" w:space="0" w:color="auto"/>
              <w:right w:val="single" w:sz="4" w:space="0" w:color="auto"/>
            </w:tcBorders>
            <w:hideMark/>
          </w:tcPr>
          <w:p w14:paraId="32DB6270" w14:textId="77777777" w:rsidR="00EF0FE6" w:rsidRPr="00EF0FE6" w:rsidRDefault="00EF0FE6" w:rsidP="00EF0FE6">
            <w:pPr>
              <w:spacing w:after="160" w:line="278" w:lineRule="auto"/>
              <w:rPr>
                <w:lang w:val="en-US"/>
              </w:rPr>
            </w:pPr>
            <w:r w:rsidRPr="00EF0FE6">
              <w:rPr>
                <w:lang w:val="en-US"/>
              </w:rPr>
              <w:t>below threshold</w:t>
            </w:r>
          </w:p>
        </w:tc>
        <w:tc>
          <w:tcPr>
            <w:tcW w:w="1083" w:type="dxa"/>
            <w:tcBorders>
              <w:top w:val="single" w:sz="4" w:space="0" w:color="auto"/>
              <w:left w:val="single" w:sz="4" w:space="0" w:color="auto"/>
              <w:bottom w:val="single" w:sz="4" w:space="0" w:color="auto"/>
              <w:right w:val="single" w:sz="4" w:space="0" w:color="auto"/>
            </w:tcBorders>
            <w:hideMark/>
          </w:tcPr>
          <w:p w14:paraId="255C2CA5"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5C297421"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3D590D0D"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1C567741"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3C29AFB0" w14:textId="77777777" w:rsidR="00EF0FE6" w:rsidRPr="00EF0FE6" w:rsidRDefault="00EF0FE6" w:rsidP="00EF0FE6">
            <w:pPr>
              <w:spacing w:after="160" w:line="278" w:lineRule="auto"/>
              <w:rPr>
                <w:lang w:val="en-US"/>
              </w:rPr>
            </w:pPr>
            <w:r w:rsidRPr="00EF0FE6">
              <w:rPr>
                <w:lang w:val="en-US"/>
              </w:rPr>
              <w:t>1.400</w:t>
            </w:r>
          </w:p>
        </w:tc>
        <w:tc>
          <w:tcPr>
            <w:tcW w:w="1083" w:type="dxa"/>
            <w:tcBorders>
              <w:top w:val="single" w:sz="4" w:space="0" w:color="auto"/>
              <w:left w:val="single" w:sz="4" w:space="0" w:color="auto"/>
              <w:bottom w:val="single" w:sz="4" w:space="0" w:color="auto"/>
              <w:right w:val="single" w:sz="4" w:space="0" w:color="auto"/>
            </w:tcBorders>
            <w:hideMark/>
          </w:tcPr>
          <w:p w14:paraId="2645B9D2" w14:textId="77777777" w:rsidR="00EF0FE6" w:rsidRPr="00EF0FE6" w:rsidRDefault="00EF0FE6" w:rsidP="00EF0FE6">
            <w:pPr>
              <w:spacing w:after="160" w:line="278" w:lineRule="auto"/>
              <w:rPr>
                <w:lang w:val="en-US"/>
              </w:rPr>
            </w:pPr>
            <w:r w:rsidRPr="00EF0FE6">
              <w:rPr>
                <w:lang w:val="en-US"/>
              </w:rPr>
              <w:t>0.680</w:t>
            </w:r>
          </w:p>
        </w:tc>
      </w:tr>
      <w:tr w:rsidR="00EF0FE6" w:rsidRPr="00EF0FE6" w14:paraId="26195E3F" w14:textId="77777777">
        <w:trPr>
          <w:jc w:val="center"/>
        </w:trPr>
        <w:tc>
          <w:tcPr>
            <w:tcW w:w="1083" w:type="dxa"/>
            <w:tcBorders>
              <w:top w:val="single" w:sz="4" w:space="0" w:color="auto"/>
              <w:left w:val="single" w:sz="4" w:space="0" w:color="auto"/>
              <w:bottom w:val="single" w:sz="4" w:space="0" w:color="auto"/>
              <w:right w:val="single" w:sz="4" w:space="0" w:color="auto"/>
            </w:tcBorders>
            <w:hideMark/>
          </w:tcPr>
          <w:p w14:paraId="1AB399C9" w14:textId="77777777" w:rsidR="00EF0FE6" w:rsidRPr="00EF0FE6" w:rsidRDefault="00EF0FE6" w:rsidP="00EF0FE6">
            <w:pPr>
              <w:spacing w:after="160" w:line="278" w:lineRule="auto"/>
              <w:rPr>
                <w:lang w:val="en-US"/>
              </w:rPr>
            </w:pPr>
            <w:r w:rsidRPr="00EF0FE6">
              <w:rPr>
                <w:lang w:val="en-US"/>
              </w:rPr>
              <w:t>FERMT2</w:t>
            </w:r>
          </w:p>
        </w:tc>
        <w:tc>
          <w:tcPr>
            <w:tcW w:w="1083" w:type="dxa"/>
            <w:tcBorders>
              <w:top w:val="single" w:sz="4" w:space="0" w:color="auto"/>
              <w:left w:val="single" w:sz="4" w:space="0" w:color="auto"/>
              <w:bottom w:val="single" w:sz="4" w:space="0" w:color="auto"/>
              <w:right w:val="single" w:sz="4" w:space="0" w:color="auto"/>
            </w:tcBorders>
            <w:hideMark/>
          </w:tcPr>
          <w:p w14:paraId="771F702F" w14:textId="77777777" w:rsidR="00EF0FE6" w:rsidRPr="00EF0FE6" w:rsidRDefault="00EF0FE6" w:rsidP="00EF0FE6">
            <w:pPr>
              <w:spacing w:after="160" w:line="278" w:lineRule="auto"/>
              <w:rPr>
                <w:lang w:val="en-US"/>
              </w:rPr>
            </w:pPr>
            <w:r w:rsidRPr="00EF0FE6">
              <w:rPr>
                <w:lang w:val="en-US"/>
              </w:rPr>
              <w:t>0.705</w:t>
            </w:r>
          </w:p>
        </w:tc>
        <w:tc>
          <w:tcPr>
            <w:tcW w:w="1083" w:type="dxa"/>
            <w:tcBorders>
              <w:top w:val="single" w:sz="4" w:space="0" w:color="auto"/>
              <w:left w:val="single" w:sz="4" w:space="0" w:color="auto"/>
              <w:bottom w:val="single" w:sz="4" w:space="0" w:color="auto"/>
              <w:right w:val="single" w:sz="4" w:space="0" w:color="auto"/>
            </w:tcBorders>
            <w:hideMark/>
          </w:tcPr>
          <w:p w14:paraId="0C1FB5CF" w14:textId="77777777" w:rsidR="00EF0FE6" w:rsidRPr="00EF0FE6" w:rsidRDefault="00EF0FE6" w:rsidP="00EF0FE6">
            <w:pPr>
              <w:spacing w:after="160" w:line="278" w:lineRule="auto"/>
              <w:rPr>
                <w:lang w:val="en-US"/>
              </w:rPr>
            </w:pPr>
            <w:r w:rsidRPr="00EF0FE6">
              <w:rPr>
                <w:lang w:val="en-US"/>
              </w:rPr>
              <w:t>below threshold</w:t>
            </w:r>
          </w:p>
        </w:tc>
        <w:tc>
          <w:tcPr>
            <w:tcW w:w="1083" w:type="dxa"/>
            <w:tcBorders>
              <w:top w:val="single" w:sz="4" w:space="0" w:color="auto"/>
              <w:left w:val="single" w:sz="4" w:space="0" w:color="auto"/>
              <w:bottom w:val="single" w:sz="4" w:space="0" w:color="auto"/>
              <w:right w:val="single" w:sz="4" w:space="0" w:color="auto"/>
            </w:tcBorders>
            <w:hideMark/>
          </w:tcPr>
          <w:p w14:paraId="378E8E0E"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72EC9057"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786A50F7"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21B0FB35" w14:textId="77777777" w:rsidR="00EF0FE6" w:rsidRPr="00EF0FE6" w:rsidRDefault="00EF0FE6" w:rsidP="00EF0FE6">
            <w:pPr>
              <w:spacing w:after="160" w:line="278" w:lineRule="auto"/>
              <w:rPr>
                <w:lang w:val="en-US"/>
              </w:rPr>
            </w:pPr>
            <w:r w:rsidRPr="00EF0FE6">
              <w:rPr>
                <w:lang w:val="en-US"/>
              </w:rPr>
              <w:t>—</w:t>
            </w:r>
          </w:p>
        </w:tc>
        <w:tc>
          <w:tcPr>
            <w:tcW w:w="1083" w:type="dxa"/>
            <w:tcBorders>
              <w:top w:val="single" w:sz="4" w:space="0" w:color="auto"/>
              <w:left w:val="single" w:sz="4" w:space="0" w:color="auto"/>
              <w:bottom w:val="single" w:sz="4" w:space="0" w:color="auto"/>
              <w:right w:val="single" w:sz="4" w:space="0" w:color="auto"/>
            </w:tcBorders>
            <w:hideMark/>
          </w:tcPr>
          <w:p w14:paraId="1DA1F440" w14:textId="77777777" w:rsidR="00EF0FE6" w:rsidRPr="00EF0FE6" w:rsidRDefault="00EF0FE6" w:rsidP="00EF0FE6">
            <w:pPr>
              <w:spacing w:after="160" w:line="278" w:lineRule="auto"/>
              <w:rPr>
                <w:lang w:val="en-US"/>
              </w:rPr>
            </w:pPr>
            <w:r w:rsidRPr="00EF0FE6">
              <w:rPr>
                <w:lang w:val="en-US"/>
              </w:rPr>
              <w:t>1.301</w:t>
            </w:r>
          </w:p>
        </w:tc>
        <w:tc>
          <w:tcPr>
            <w:tcW w:w="1083" w:type="dxa"/>
            <w:tcBorders>
              <w:top w:val="single" w:sz="4" w:space="0" w:color="auto"/>
              <w:left w:val="single" w:sz="4" w:space="0" w:color="auto"/>
              <w:bottom w:val="single" w:sz="4" w:space="0" w:color="auto"/>
              <w:right w:val="single" w:sz="4" w:space="0" w:color="auto"/>
            </w:tcBorders>
            <w:hideMark/>
          </w:tcPr>
          <w:p w14:paraId="6924067A" w14:textId="77777777" w:rsidR="00EF0FE6" w:rsidRPr="00EF0FE6" w:rsidRDefault="00EF0FE6" w:rsidP="00EF0FE6">
            <w:pPr>
              <w:spacing w:after="160" w:line="278" w:lineRule="auto"/>
              <w:rPr>
                <w:lang w:val="en-US"/>
              </w:rPr>
            </w:pPr>
            <w:r w:rsidRPr="00EF0FE6">
              <w:rPr>
                <w:lang w:val="en-US"/>
              </w:rPr>
              <w:t>0.655</w:t>
            </w:r>
          </w:p>
        </w:tc>
      </w:tr>
    </w:tbl>
    <w:p w14:paraId="36416E41" w14:textId="77777777" w:rsidR="00EF0FE6" w:rsidRPr="00EF0FE6" w:rsidRDefault="00EF0FE6" w:rsidP="00EF0FE6">
      <w:pPr>
        <w:rPr>
          <w:lang w:val="en-US"/>
        </w:rPr>
      </w:pPr>
    </w:p>
    <w:p w14:paraId="072F8584" w14:textId="77777777" w:rsidR="00EF0FE6" w:rsidRPr="00EF0FE6" w:rsidRDefault="00EF0FE6" w:rsidP="00EF0FE6">
      <w:pPr>
        <w:rPr>
          <w:lang w:val="en-US"/>
        </w:rPr>
      </w:pPr>
      <w:r w:rsidRPr="00EF0FE6">
        <w:rPr>
          <w:lang w:val="en-US"/>
        </w:rPr>
        <w:t xml:space="preserve">Frequencies are given to three decimal places, exactly as in Supplementary Table S6, so that no rounding convention is imposed: a proportion of 200 resamples moves in steps of 0.005, and rounding to two decimals would report both 0.875 and 0.805 inconsistently. The five genes of the original run were all selected again; PBX2 and </w:t>
      </w:r>
      <w:r w:rsidRPr="00EF0FE6">
        <w:rPr>
          <w:lang w:val="en-US"/>
        </w:rPr>
        <w:lastRenderedPageBreak/>
        <w:t>PPM1M (bold) additionally passed the threshold in the replication, so the intersection of the two runs is exactly the original five-gene set. Neither run selects any of the pathway's core effectors, and the only mechanism-adjacent panel member that ever passed the threshold, OSGIN2, was removed at the elimination step.</w:t>
      </w:r>
    </w:p>
    <w:p w14:paraId="4521BA85" w14:textId="77777777" w:rsidR="00EF0FE6" w:rsidRPr="00EF0FE6" w:rsidRDefault="00EF0FE6" w:rsidP="00EF0FE6">
      <w:pPr>
        <w:rPr>
          <w:b/>
          <w:bCs/>
          <w:lang w:val="en-US"/>
        </w:rPr>
      </w:pPr>
      <w:r w:rsidRPr="00EF0FE6">
        <w:rPr>
          <w:bCs/>
          <w:lang w:val="en-US"/>
        </w:rPr>
        <w:t>Supplementary Note S1. The thirteen limitations, in full</w:t>
      </w:r>
    </w:p>
    <w:p w14:paraId="39FD688B" w14:textId="77777777" w:rsidR="00EF0FE6" w:rsidRPr="00EF0FE6" w:rsidRDefault="00EF0FE6" w:rsidP="00EF0FE6">
      <w:pPr>
        <w:rPr>
          <w:lang w:val="en-US"/>
        </w:rPr>
      </w:pPr>
      <w:r w:rsidRPr="00EF0FE6">
        <w:rPr>
          <w:lang w:val="en-US"/>
        </w:rPr>
        <w:t xml:space="preserve">The full list referred to in Section 4 follows. First, the four genes were selected on all 510 discovery patients, so the apparent 0.794 and cross-validated 0.796 retain optimism; the nested 0.731 is conservative and 0.731–0.769 the external range. Second, compression cost specificity: MRG-4 is more proliferation-correlated (ρ = 0.67) than the full-panel index (ρ = 0.26), and cross-species direction is reversed (ρ = −0.32). Third, reclassification is not improved: NRI and IDI </w:t>
      </w:r>
      <w:proofErr w:type="spellStart"/>
      <w:r w:rsidRPr="00EF0FE6">
        <w:rPr>
          <w:lang w:val="en-US"/>
        </w:rPr>
        <w:t>favour</w:t>
      </w:r>
      <w:proofErr w:type="spellEnd"/>
      <w:r w:rsidRPr="00EF0FE6">
        <w:rPr>
          <w:lang w:val="en-US"/>
        </w:rPr>
        <w:t xml:space="preserve"> 25 genes; net benefit beats the index at 20 of 31 thresholds, a four-variable clinical model is highest at 21, and the index is never compared with a published LGG signature. Fourth, the within-cohort slope is 0.548 (95% CI 0.400–0.697); as Section 3.6 sets out, this is not a calibration test, so probabilities are not absolute risks. Fifth, subgroup replication was partial; MRG-4 subgroup tests in CGGA-325 are uncorrected for multiplicity in a small cohort (n = 172, 90 deaths). Sixth, discovery and validation systems are mismatched: mouse-macrophage panel, human bulk glioma target, fitted genes that are not the pathway effectors; no </w:t>
      </w:r>
      <w:proofErr w:type="spellStart"/>
      <w:r w:rsidRPr="00EF0FE6">
        <w:rPr>
          <w:lang w:val="en-US"/>
        </w:rPr>
        <w:t>tumour</w:t>
      </w:r>
      <w:proofErr w:type="spellEnd"/>
      <w:r w:rsidRPr="00EF0FE6">
        <w:rPr>
          <w:lang w:val="en-US"/>
        </w:rPr>
        <w:t xml:space="preserve">-versus-normal comparison is reported. Seventh, single-cell </w:t>
      </w:r>
      <w:proofErr w:type="spellStart"/>
      <w:r w:rsidRPr="00EF0FE6">
        <w:rPr>
          <w:lang w:val="en-US"/>
        </w:rPr>
        <w:t>localisation</w:t>
      </w:r>
      <w:proofErr w:type="spellEnd"/>
      <w:r w:rsidRPr="00EF0FE6">
        <w:rPr>
          <w:lang w:val="en-US"/>
        </w:rPr>
        <w:t xml:space="preserve"> rests on a single-donor (n = 1) glioblastoma (grade IV) dataset, </w:t>
      </w:r>
      <w:proofErr w:type="spellStart"/>
      <w:r w:rsidRPr="00EF0FE6">
        <w:rPr>
          <w:lang w:val="en-US"/>
        </w:rPr>
        <w:t>tumour</w:t>
      </w:r>
      <w:proofErr w:type="spellEnd"/>
      <w:r w:rsidRPr="00EF0FE6">
        <w:rPr>
          <w:lang w:val="en-US"/>
        </w:rPr>
        <w:t xml:space="preserve"> zones only, no matched cortex, no grade II–III glioma dataset in public data; it cannot be extrapolated to LGG. Eighth, follow-up is immature (125 deaths; median 27.8 months by reverse Kaplan–Meier): 157 were at risk at 36 months and 66 at 60, discrimination reported only to five years. Ninth, the external cohort is small, its event rate (52.3%) over twice discovery (24.5%), CDKN2A/B deletion and resection extent unadjusted in both. The 92 IDH-wildtype cases in the 2018 TCGA-LGG set plus 44 in CGGA (136) follow the 2015 classification, many </w:t>
      </w:r>
      <w:proofErr w:type="gramStart"/>
      <w:r w:rsidRPr="00EF0FE6">
        <w:rPr>
          <w:lang w:val="en-US"/>
        </w:rPr>
        <w:t>glioblastoma</w:t>
      </w:r>
      <w:proofErr w:type="gramEnd"/>
      <w:r w:rsidRPr="00EF0FE6">
        <w:rPr>
          <w:lang w:val="en-US"/>
        </w:rPr>
        <w:t xml:space="preserve"> under WHO 2021. The external 0.769 rests on cohort-internal </w:t>
      </w:r>
      <w:proofErr w:type="spellStart"/>
      <w:r w:rsidRPr="00EF0FE6">
        <w:rPr>
          <w:lang w:val="en-US"/>
        </w:rPr>
        <w:t>standardisation</w:t>
      </w:r>
      <w:proofErr w:type="spellEnd"/>
      <w:r w:rsidRPr="00EF0FE6">
        <w:rPr>
          <w:lang w:val="en-US"/>
        </w:rPr>
        <w:t xml:space="preserve">, the frozen variant 0.731; what reproduces is rank ordering, not absolute transportability. Tenth, the immune analysis used a proxy score, not deconvolution, and uniform elevation across antagonistic cell types suggests a purity artefact. Eleventh, two objects are deposited and one is not: the CGGA 1p/19q, MGMT and treatment-adjusted models (Supplementary Table S15) and the MRG-4 mutation analysis (S9b) are deposited; the 15-gene extracellular-matrix comparison is not, because the member genes of its score are in no deposited object. Twelfth, π = 0.75 carries no error-rate control: the </w:t>
      </w:r>
      <w:proofErr w:type="spellStart"/>
      <w:r w:rsidRPr="00EF0FE6">
        <w:rPr>
          <w:lang w:val="en-US"/>
        </w:rPr>
        <w:t>Meinshausen</w:t>
      </w:r>
      <w:proofErr w:type="spellEnd"/>
      <w:r w:rsidRPr="00EF0FE6">
        <w:rPr>
          <w:lang w:val="en-US"/>
        </w:rPr>
        <w:t>–</w:t>
      </w:r>
      <w:proofErr w:type="spellStart"/>
      <w:r w:rsidRPr="00EF0FE6">
        <w:rPr>
          <w:lang w:val="en-US"/>
        </w:rPr>
        <w:t>Bühlmann</w:t>
      </w:r>
      <w:proofErr w:type="spellEnd"/>
      <w:r w:rsidRPr="00EF0FE6">
        <w:rPr>
          <w:lang w:val="en-US"/>
        </w:rPr>
        <w:t xml:space="preserve"> bound permits up to 32.4 false selections at model size 38, and π = 0.80 returns the four genes only in the original run (an independent seed selects PBX2 (0.800), drops KIF15 (0.780)), so the protection is seed reproducibility. Thirteenth, a limitation of naming rather than method: "</w:t>
      </w:r>
      <w:proofErr w:type="spellStart"/>
      <w:r w:rsidRPr="00EF0FE6">
        <w:rPr>
          <w:lang w:val="en-US"/>
        </w:rPr>
        <w:t>mitoxyperilysis</w:t>
      </w:r>
      <w:proofErr w:type="spellEnd"/>
      <w:r w:rsidRPr="00EF0FE6">
        <w:rPr>
          <w:lang w:val="en-US"/>
        </w:rPr>
        <w:t xml:space="preserve">-related" is inherited from the screening panel, not a validated </w:t>
      </w:r>
      <w:r w:rsidRPr="00EF0FE6">
        <w:rPr>
          <w:lang w:val="en-US"/>
        </w:rPr>
        <w:lastRenderedPageBreak/>
        <w:t>phenotype, since no step measured lysis, mitochondria–plasma-membrane contact or BAX/BAK1/BID dependence.</w:t>
      </w:r>
    </w:p>
    <w:p w14:paraId="49A0695F" w14:textId="77777777" w:rsidR="00EF0FE6" w:rsidRPr="00EF0FE6" w:rsidRDefault="00EF0FE6" w:rsidP="00EF0FE6">
      <w:pPr>
        <w:rPr>
          <w:b/>
          <w:bCs/>
          <w:lang w:val="en-US"/>
        </w:rPr>
      </w:pPr>
      <w:r w:rsidRPr="00EF0FE6">
        <w:rPr>
          <w:bCs/>
          <w:lang w:val="en-US"/>
        </w:rPr>
        <w:t xml:space="preserve">Supplementary Note S2. Extended methods and the secondary </w:t>
      </w:r>
      <w:proofErr w:type="spellStart"/>
      <w:r w:rsidRPr="00EF0FE6">
        <w:rPr>
          <w:bCs/>
          <w:lang w:val="en-US"/>
        </w:rPr>
        <w:t>characterisation</w:t>
      </w:r>
      <w:proofErr w:type="spellEnd"/>
      <w:r w:rsidRPr="00EF0FE6">
        <w:rPr>
          <w:bCs/>
          <w:lang w:val="en-US"/>
        </w:rPr>
        <w:t xml:space="preserve"> of the Model A genes</w:t>
      </w:r>
    </w:p>
    <w:p w14:paraId="29F7494A" w14:textId="77777777" w:rsidR="00EF0FE6" w:rsidRPr="00EF0FE6" w:rsidRDefault="00EF0FE6" w:rsidP="00EF0FE6">
      <w:pPr>
        <w:rPr>
          <w:lang w:val="en-US"/>
        </w:rPr>
      </w:pPr>
      <w:r w:rsidRPr="00EF0FE6">
        <w:rPr>
          <w:lang w:val="en-US"/>
        </w:rPr>
        <w:t xml:space="preserve">These three analyses concern the </w:t>
      </w:r>
      <w:r w:rsidRPr="00EF0FE6">
        <w:rPr>
          <w:b/>
          <w:lang w:val="en-US"/>
        </w:rPr>
        <w:t>25 Model A genes</w:t>
      </w:r>
      <w:r w:rsidRPr="00EF0FE6">
        <w:rPr>
          <w:lang w:val="en-US"/>
        </w:rPr>
        <w:t xml:space="preserve">, not MRG-4; Section 4 </w:t>
      </w:r>
      <w:proofErr w:type="spellStart"/>
      <w:r w:rsidRPr="00EF0FE6">
        <w:rPr>
          <w:lang w:val="en-US"/>
        </w:rPr>
        <w:t>summarises</w:t>
      </w:r>
      <w:proofErr w:type="spellEnd"/>
      <w:r w:rsidRPr="00EF0FE6">
        <w:rPr>
          <w:lang w:val="en-US"/>
        </w:rPr>
        <w:t xml:space="preserve"> them. Reference numbers refer to the main reference list.</w:t>
      </w:r>
    </w:p>
    <w:p w14:paraId="0EC36551" w14:textId="77777777" w:rsidR="00EF0FE6" w:rsidRPr="00EF0FE6" w:rsidRDefault="00EF0FE6" w:rsidP="00EF0FE6">
      <w:pPr>
        <w:rPr>
          <w:lang w:val="en-US"/>
        </w:rPr>
      </w:pPr>
      <w:r w:rsidRPr="00EF0FE6">
        <w:rPr>
          <w:b/>
          <w:lang w:val="en-US"/>
        </w:rPr>
        <w:t>Model A gene-based subtypes.</w:t>
      </w:r>
      <w:r w:rsidRPr="00EF0FE6">
        <w:rPr>
          <w:lang w:val="en-US"/>
        </w:rPr>
        <w:t xml:space="preserve"> Silhouette width was highest at k = 2 (0.276) versus k = 3 (0.143) and k = 4 (0.134); the two subtypes comprised 397 patients (C1, 67 deaths, 16.9%) and 113 (C2, 58 deaths, 51.3%), differing sharply in survival (log-rank </w:t>
      </w:r>
      <w:r w:rsidRPr="00EF0FE6">
        <w:rPr>
          <w:i/>
          <w:lang w:val="en-US"/>
        </w:rPr>
        <w:t>P</w:t>
      </w:r>
      <w:r w:rsidRPr="00EF0FE6">
        <w:rPr>
          <w:lang w:val="en-US"/>
        </w:rPr>
        <w:t xml:space="preserve"> = 1.39 × 10</w:t>
      </w:r>
      <w:r w:rsidRPr="00EF0FE6">
        <w:rPr>
          <w:rFonts w:ascii="Cambria Math" w:hAnsi="Cambria Math" w:cs="Cambria Math"/>
          <w:lang w:val="en-US"/>
        </w:rPr>
        <w:t>⁻</w:t>
      </w:r>
      <w:r w:rsidRPr="00EF0FE6">
        <w:rPr>
          <w:rFonts w:ascii="Aptos" w:hAnsi="Aptos" w:cs="Aptos"/>
          <w:lang w:val="en-US"/>
        </w:rPr>
        <w:t>²⁶</w:t>
      </w:r>
      <w:r w:rsidRPr="00EF0FE6">
        <w:rPr>
          <w:lang w:val="en-US"/>
        </w:rPr>
        <w:t xml:space="preserve">; Supplementary Figure S5A). That contrast is close to the IDH-wildtype/IDH-mutant division; </w:t>
      </w:r>
      <w:r w:rsidRPr="00EF0FE6">
        <w:rPr>
          <w:b/>
          <w:lang w:val="en-US"/>
        </w:rPr>
        <w:t>no adjustment or stratification for IDH status or WHO grade was applied</w:t>
      </w:r>
      <w:r w:rsidRPr="00EF0FE6">
        <w:rPr>
          <w:lang w:val="en-US"/>
        </w:rPr>
        <w:t>, so it may restate molecular class.</w:t>
      </w:r>
    </w:p>
    <w:p w14:paraId="79128833" w14:textId="77777777" w:rsidR="00EF0FE6" w:rsidRPr="00EF0FE6" w:rsidRDefault="00EF0FE6" w:rsidP="00EF0FE6">
      <w:pPr>
        <w:rPr>
          <w:lang w:val="en-US"/>
        </w:rPr>
      </w:pPr>
      <w:r w:rsidRPr="00EF0FE6">
        <w:rPr>
          <w:b/>
          <w:lang w:val="en-US"/>
        </w:rPr>
        <w:t>Immune features.</w:t>
      </w:r>
      <w:r w:rsidRPr="00EF0FE6">
        <w:rPr>
          <w:lang w:val="en-US"/>
        </w:rPr>
        <w:t xml:space="preserve"> All 11 immune features scored higher in the high-risk group of the </w:t>
      </w:r>
      <w:r w:rsidRPr="00EF0FE6">
        <w:rPr>
          <w:b/>
          <w:lang w:val="en-US"/>
        </w:rPr>
        <w:t>25-gene Model A median split</w:t>
      </w:r>
      <w:r w:rsidRPr="00EF0FE6">
        <w:rPr>
          <w:lang w:val="en-US"/>
        </w:rPr>
        <w:t xml:space="preserve"> (Supplementary Table S26c; Supplementary Figure S5B); per-patient scores are deposited as Supplementary Table S26. Difference in mean Z (high − low, Mann–Whitney): CD8</w:t>
      </w:r>
      <w:r w:rsidRPr="00EF0FE6">
        <w:rPr>
          <w:rFonts w:ascii="Cambria Math" w:hAnsi="Cambria Math" w:cs="Cambria Math"/>
          <w:lang w:val="en-US"/>
        </w:rPr>
        <w:t>⁺</w:t>
      </w:r>
      <w:r w:rsidRPr="00EF0FE6">
        <w:rPr>
          <w:lang w:val="en-US"/>
        </w:rPr>
        <w:t xml:space="preserve"> T cells </w:t>
      </w:r>
      <w:r w:rsidRPr="00EF0FE6">
        <w:rPr>
          <w:b/>
          <w:lang w:val="en-US"/>
        </w:rPr>
        <w:t>0.566</w:t>
      </w:r>
      <w:r w:rsidRPr="00EF0FE6">
        <w:rPr>
          <w:lang w:val="en-US"/>
        </w:rPr>
        <w:t xml:space="preserve"> (</w:t>
      </w:r>
      <w:r w:rsidRPr="00EF0FE6">
        <w:rPr>
          <w:i/>
          <w:lang w:val="en-US"/>
        </w:rPr>
        <w:t>P</w:t>
      </w:r>
      <w:r w:rsidRPr="00EF0FE6">
        <w:rPr>
          <w:lang w:val="en-US"/>
        </w:rPr>
        <w:t xml:space="preserve"> = 8.57 × 10</w:t>
      </w:r>
      <w:r w:rsidRPr="00EF0FE6">
        <w:rPr>
          <w:rFonts w:ascii="Cambria Math" w:hAnsi="Cambria Math" w:cs="Cambria Math"/>
          <w:lang w:val="en-US"/>
        </w:rPr>
        <w:t>⁻</w:t>
      </w:r>
      <w:r w:rsidRPr="00EF0FE6">
        <w:rPr>
          <w:rFonts w:ascii="Aptos" w:hAnsi="Aptos" w:cs="Aptos"/>
          <w:lang w:val="en-US"/>
        </w:rPr>
        <w:t>¹²</w:t>
      </w:r>
      <w:r w:rsidRPr="00EF0FE6">
        <w:rPr>
          <w:lang w:val="en-US"/>
        </w:rPr>
        <w:t xml:space="preserve">), interferon signature </w:t>
      </w:r>
      <w:r w:rsidRPr="00EF0FE6">
        <w:rPr>
          <w:b/>
          <w:lang w:val="en-US"/>
        </w:rPr>
        <w:t>0.527</w:t>
      </w:r>
      <w:r w:rsidRPr="00EF0FE6">
        <w:rPr>
          <w:lang w:val="en-US"/>
        </w:rPr>
        <w:t>, CD4</w:t>
      </w:r>
      <w:r w:rsidRPr="00EF0FE6">
        <w:rPr>
          <w:rFonts w:ascii="Cambria Math" w:hAnsi="Cambria Math" w:cs="Cambria Math"/>
          <w:lang w:val="en-US"/>
        </w:rPr>
        <w:t>⁺</w:t>
      </w:r>
      <w:r w:rsidRPr="00EF0FE6">
        <w:rPr>
          <w:lang w:val="en-US"/>
        </w:rPr>
        <w:t xml:space="preserve"> T cells </w:t>
      </w:r>
      <w:r w:rsidRPr="00EF0FE6">
        <w:rPr>
          <w:b/>
          <w:lang w:val="en-US"/>
        </w:rPr>
        <w:t>0.515</w:t>
      </w:r>
      <w:r w:rsidRPr="00EF0FE6">
        <w:rPr>
          <w:lang w:val="en-US"/>
        </w:rPr>
        <w:t xml:space="preserve">, B cells </w:t>
      </w:r>
      <w:r w:rsidRPr="00EF0FE6">
        <w:rPr>
          <w:b/>
          <w:lang w:val="en-US"/>
        </w:rPr>
        <w:t>0.511</w:t>
      </w:r>
      <w:r w:rsidRPr="00EF0FE6">
        <w:rPr>
          <w:lang w:val="en-US"/>
        </w:rPr>
        <w:t xml:space="preserve">, neutrophils </w:t>
      </w:r>
      <w:r w:rsidRPr="00EF0FE6">
        <w:rPr>
          <w:b/>
          <w:lang w:val="en-US"/>
        </w:rPr>
        <w:t>0.455</w:t>
      </w:r>
      <w:r w:rsidRPr="00EF0FE6">
        <w:rPr>
          <w:lang w:val="en-US"/>
        </w:rPr>
        <w:t xml:space="preserve">, immune checkpoints </w:t>
      </w:r>
      <w:r w:rsidRPr="00EF0FE6">
        <w:rPr>
          <w:b/>
          <w:lang w:val="en-US"/>
        </w:rPr>
        <w:t>0.413</w:t>
      </w:r>
      <w:r w:rsidRPr="00EF0FE6">
        <w:rPr>
          <w:lang w:val="en-US"/>
        </w:rPr>
        <w:t xml:space="preserve">, NK cells </w:t>
      </w:r>
      <w:r w:rsidRPr="00EF0FE6">
        <w:rPr>
          <w:b/>
          <w:lang w:val="en-US"/>
        </w:rPr>
        <w:t>0.374</w:t>
      </w:r>
      <w:r w:rsidRPr="00EF0FE6">
        <w:rPr>
          <w:lang w:val="en-US"/>
        </w:rPr>
        <w:t xml:space="preserve">, M2 macrophages </w:t>
      </w:r>
      <w:r w:rsidRPr="00EF0FE6">
        <w:rPr>
          <w:b/>
          <w:lang w:val="en-US"/>
        </w:rPr>
        <w:t>0.360</w:t>
      </w:r>
      <w:r w:rsidRPr="00EF0FE6">
        <w:rPr>
          <w:lang w:val="en-US"/>
        </w:rPr>
        <w:t xml:space="preserve">, regulatory T cells </w:t>
      </w:r>
      <w:r w:rsidRPr="00EF0FE6">
        <w:rPr>
          <w:b/>
          <w:lang w:val="en-US"/>
        </w:rPr>
        <w:t>0.353</w:t>
      </w:r>
      <w:r w:rsidRPr="00EF0FE6">
        <w:rPr>
          <w:lang w:val="en-US"/>
        </w:rPr>
        <w:t xml:space="preserve">, M1 macrophages </w:t>
      </w:r>
      <w:r w:rsidRPr="00EF0FE6">
        <w:rPr>
          <w:b/>
          <w:lang w:val="en-US"/>
        </w:rPr>
        <w:t>0.303</w:t>
      </w:r>
      <w:r w:rsidRPr="00EF0FE6">
        <w:rPr>
          <w:lang w:val="en-US"/>
        </w:rPr>
        <w:t xml:space="preserve">, dendritic cells </w:t>
      </w:r>
      <w:r w:rsidRPr="00EF0FE6">
        <w:rPr>
          <w:b/>
          <w:lang w:val="en-US"/>
        </w:rPr>
        <w:t>0.293</w:t>
      </w:r>
      <w:r w:rsidRPr="00EF0FE6">
        <w:rPr>
          <w:lang w:val="en-US"/>
        </w:rPr>
        <w:t xml:space="preserve"> — all significant (smallest </w:t>
      </w:r>
      <w:r w:rsidRPr="00EF0FE6">
        <w:rPr>
          <w:i/>
          <w:lang w:val="en-US"/>
        </w:rPr>
        <w:t>P</w:t>
      </w:r>
      <w:r w:rsidRPr="00EF0FE6">
        <w:rPr>
          <w:lang w:val="en-US"/>
        </w:rPr>
        <w:t xml:space="preserve"> = 1.2 × 10</w:t>
      </w:r>
      <w:r w:rsidRPr="00EF0FE6">
        <w:rPr>
          <w:rFonts w:ascii="Cambria Math" w:hAnsi="Cambria Math" w:cs="Cambria Math"/>
          <w:lang w:val="en-US"/>
        </w:rPr>
        <w:t>⁻</w:t>
      </w:r>
      <w:r w:rsidRPr="00EF0FE6">
        <w:rPr>
          <w:rFonts w:ascii="Aptos" w:hAnsi="Aptos" w:cs="Aptos"/>
          <w:lang w:val="en-US"/>
        </w:rPr>
        <w:t>⁶</w:t>
      </w:r>
      <w:r w:rsidRPr="00EF0FE6">
        <w:rPr>
          <w:lang w:val="en-US"/>
        </w:rPr>
        <w:t xml:space="preserve">, dendritic cells), rank-biserial </w:t>
      </w:r>
      <w:r w:rsidRPr="00EF0FE6">
        <w:rPr>
          <w:i/>
          <w:lang w:val="en-US"/>
        </w:rPr>
        <w:t>r</w:t>
      </w:r>
      <w:r w:rsidRPr="00EF0FE6">
        <w:rPr>
          <w:lang w:val="en-US"/>
        </w:rPr>
        <w:t xml:space="preserve"> 0.25–0.38. Uniform elevation across opposed features argues against a specific immune phenotype.</w:t>
      </w:r>
    </w:p>
    <w:p w14:paraId="56FFFA12" w14:textId="77777777" w:rsidR="00EF0FE6" w:rsidRPr="00EF0FE6" w:rsidRDefault="00EF0FE6" w:rsidP="00EF0FE6">
      <w:pPr>
        <w:rPr>
          <w:lang w:val="en-US"/>
        </w:rPr>
      </w:pPr>
      <w:r w:rsidRPr="00EF0FE6">
        <w:rPr>
          <w:b/>
          <w:lang w:val="en-US"/>
        </w:rPr>
        <w:t>Mutation profiling.</w:t>
      </w:r>
      <w:r w:rsidRPr="00EF0FE6">
        <w:rPr>
          <w:lang w:val="en-US"/>
        </w:rPr>
        <w:t xml:space="preserve"> Ten recurrent glioma genes were compared across all 510 patients (255 per group) under the </w:t>
      </w:r>
      <w:r w:rsidRPr="00EF0FE6">
        <w:rPr>
          <w:b/>
          <w:lang w:val="en-US"/>
        </w:rPr>
        <w:t>25-gene Model A median split</w:t>
      </w:r>
      <w:r w:rsidRPr="00EF0FE6">
        <w:rPr>
          <w:lang w:val="en-US"/>
        </w:rPr>
        <w:t xml:space="preserve"> and MRG-4's split (Supplementary Figure S5C; Supplementary Table S9, S9b). Under MRG-4's split, EGFR is 12.5% vs 1.2%, PTEN 8.2% vs 0.8% and IDH1 66.3% vs 87.1%, while CIC falls to borderline (17.3% vs 24.7%, </w:t>
      </w:r>
      <w:r w:rsidRPr="00EF0FE6">
        <w:rPr>
          <w:i/>
          <w:lang w:val="en-US"/>
        </w:rPr>
        <w:t>P</w:t>
      </w:r>
      <w:r w:rsidRPr="00EF0FE6">
        <w:rPr>
          <w:lang w:val="en-US"/>
        </w:rPr>
        <w:t xml:space="preserve"> = 0.050) and ATRX (34.1% vs 41.2%, </w:t>
      </w:r>
      <w:r w:rsidRPr="00EF0FE6">
        <w:rPr>
          <w:i/>
          <w:lang w:val="en-US"/>
        </w:rPr>
        <w:t>P</w:t>
      </w:r>
      <w:r w:rsidRPr="00EF0FE6">
        <w:rPr>
          <w:lang w:val="en-US"/>
        </w:rPr>
        <w:t xml:space="preserve"> = 0.12) loses significance, so the contrast belongs to both models but is weaker for MRG-4. This reproduces the canonical glioma contrast between IDH-wildtype, RTK-driven and IDH-mutant </w:t>
      </w:r>
      <w:proofErr w:type="spellStart"/>
      <w:r w:rsidRPr="00EF0FE6">
        <w:rPr>
          <w:lang w:val="en-US"/>
        </w:rPr>
        <w:t>tumours</w:t>
      </w:r>
      <w:proofErr w:type="spellEnd"/>
      <w:r w:rsidRPr="00EF0FE6">
        <w:rPr>
          <w:lang w:val="en-US"/>
        </w:rPr>
        <w:t xml:space="preserve">, the study's clearest </w:t>
      </w:r>
      <w:r w:rsidRPr="00EF0FE6">
        <w:rPr>
          <w:b/>
          <w:lang w:val="en-US"/>
        </w:rPr>
        <w:t>unadjusted between-group difference</w:t>
      </w:r>
      <w:r w:rsidRPr="00EF0FE6">
        <w:rPr>
          <w:lang w:val="en-US"/>
        </w:rPr>
        <w:t>; the score tracks IDH status (</w:t>
      </w:r>
      <w:r w:rsidRPr="00EF0FE6">
        <w:rPr>
          <w:i/>
          <w:lang w:val="en-US"/>
        </w:rPr>
        <w:t>r</w:t>
      </w:r>
      <w:r w:rsidRPr="00EF0FE6">
        <w:rPr>
          <w:lang w:val="en-US"/>
        </w:rPr>
        <w:t xml:space="preserve"> = −0.69, Section 3.4), the ten tests are uncorrected, none was repeated within IDH strata, and no mechanism is attached.</w:t>
      </w:r>
    </w:p>
    <w:p w14:paraId="189BCF4D"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3565409">
    <w:abstractNumId w:val="5"/>
  </w:num>
  <w:num w:numId="2" w16cid:durableId="188493533">
    <w:abstractNumId w:val="4"/>
    <w:lvlOverride w:ilvl="0">
      <w:startOverride w:val="1"/>
    </w:lvlOverride>
  </w:num>
  <w:num w:numId="3" w16cid:durableId="77294094">
    <w:abstractNumId w:val="3"/>
  </w:num>
  <w:num w:numId="4" w16cid:durableId="548421616">
    <w:abstractNumId w:val="2"/>
  </w:num>
  <w:num w:numId="5" w16cid:durableId="735206407">
    <w:abstractNumId w:val="1"/>
    <w:lvlOverride w:ilvl="0">
      <w:startOverride w:val="1"/>
    </w:lvlOverride>
  </w:num>
  <w:num w:numId="6" w16cid:durableId="13711057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E6"/>
    <w:rsid w:val="00767E38"/>
    <w:rsid w:val="00866F7D"/>
    <w:rsid w:val="00B36BC3"/>
    <w:rsid w:val="00EE5CC4"/>
    <w:rsid w:val="00EF0FE6"/>
    <w:rsid w:val="00F163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79D55"/>
  <w15:chartTrackingRefBased/>
  <w15:docId w15:val="{0DCB02B4-6168-4093-81E1-89396A9C3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F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F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F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F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F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F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F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F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F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F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F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F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F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F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F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F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F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FE6"/>
    <w:rPr>
      <w:rFonts w:eastAsiaTheme="majorEastAsia" w:cstheme="majorBidi"/>
      <w:color w:val="272727" w:themeColor="text1" w:themeTint="D8"/>
    </w:rPr>
  </w:style>
  <w:style w:type="paragraph" w:styleId="Title">
    <w:name w:val="Title"/>
    <w:basedOn w:val="Normal"/>
    <w:next w:val="Normal"/>
    <w:link w:val="TitleChar"/>
    <w:uiPriority w:val="10"/>
    <w:qFormat/>
    <w:rsid w:val="00EF0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F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FE6"/>
    <w:pPr>
      <w:spacing w:before="160"/>
      <w:jc w:val="center"/>
    </w:pPr>
    <w:rPr>
      <w:i/>
      <w:iCs/>
      <w:color w:val="404040" w:themeColor="text1" w:themeTint="BF"/>
    </w:rPr>
  </w:style>
  <w:style w:type="character" w:customStyle="1" w:styleId="QuoteChar">
    <w:name w:val="Quote Char"/>
    <w:basedOn w:val="DefaultParagraphFont"/>
    <w:link w:val="Quote"/>
    <w:uiPriority w:val="29"/>
    <w:rsid w:val="00EF0FE6"/>
    <w:rPr>
      <w:i/>
      <w:iCs/>
      <w:color w:val="404040" w:themeColor="text1" w:themeTint="BF"/>
    </w:rPr>
  </w:style>
  <w:style w:type="paragraph" w:styleId="ListParagraph">
    <w:name w:val="List Paragraph"/>
    <w:basedOn w:val="Normal"/>
    <w:uiPriority w:val="34"/>
    <w:qFormat/>
    <w:rsid w:val="00EF0FE6"/>
    <w:pPr>
      <w:ind w:left="720"/>
      <w:contextualSpacing/>
    </w:pPr>
  </w:style>
  <w:style w:type="character" w:styleId="IntenseEmphasis">
    <w:name w:val="Intense Emphasis"/>
    <w:basedOn w:val="DefaultParagraphFont"/>
    <w:uiPriority w:val="21"/>
    <w:qFormat/>
    <w:rsid w:val="00EF0FE6"/>
    <w:rPr>
      <w:i/>
      <w:iCs/>
      <w:color w:val="0F4761" w:themeColor="accent1" w:themeShade="BF"/>
    </w:rPr>
  </w:style>
  <w:style w:type="paragraph" w:styleId="IntenseQuote">
    <w:name w:val="Intense Quote"/>
    <w:basedOn w:val="Normal"/>
    <w:next w:val="Normal"/>
    <w:link w:val="IntenseQuoteChar"/>
    <w:uiPriority w:val="30"/>
    <w:qFormat/>
    <w:rsid w:val="00EF0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FE6"/>
    <w:rPr>
      <w:i/>
      <w:iCs/>
      <w:color w:val="0F4761" w:themeColor="accent1" w:themeShade="BF"/>
    </w:rPr>
  </w:style>
  <w:style w:type="character" w:styleId="IntenseReference">
    <w:name w:val="Intense Reference"/>
    <w:basedOn w:val="DefaultParagraphFont"/>
    <w:uiPriority w:val="32"/>
    <w:qFormat/>
    <w:rsid w:val="00EF0FE6"/>
    <w:rPr>
      <w:b/>
      <w:bCs/>
      <w:smallCaps/>
      <w:color w:val="0F4761" w:themeColor="accent1" w:themeShade="BF"/>
      <w:spacing w:val="5"/>
    </w:rPr>
  </w:style>
  <w:style w:type="table" w:styleId="TableGrid">
    <w:name w:val="Table Grid"/>
    <w:basedOn w:val="TableNormal"/>
    <w:uiPriority w:val="59"/>
    <w:rsid w:val="00EF0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F0FE6"/>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Header">
    <w:name w:val="header"/>
    <w:basedOn w:val="Normal"/>
    <w:link w:val="HeaderChar"/>
    <w:uiPriority w:val="99"/>
    <w:semiHidden/>
    <w:unhideWhenUsed/>
    <w:rsid w:val="00EF0FE6"/>
    <w:pPr>
      <w:tabs>
        <w:tab w:val="center" w:pos="4680"/>
        <w:tab w:val="right" w:pos="9360"/>
      </w:tabs>
      <w:spacing w:after="0" w:line="240" w:lineRule="auto"/>
    </w:pPr>
    <w:rPr>
      <w:rFonts w:ascii="Times New Roman" w:eastAsia="SimSun" w:hAnsi="Times New Roman"/>
      <w:kern w:val="0"/>
      <w:sz w:val="21"/>
      <w:szCs w:val="22"/>
      <w:lang w:val="en-US"/>
      <w14:ligatures w14:val="none"/>
    </w:rPr>
  </w:style>
  <w:style w:type="character" w:customStyle="1" w:styleId="HeaderChar">
    <w:name w:val="Header Char"/>
    <w:basedOn w:val="DefaultParagraphFont"/>
    <w:link w:val="Header"/>
    <w:uiPriority w:val="99"/>
    <w:semiHidden/>
    <w:rsid w:val="00EF0FE6"/>
    <w:rPr>
      <w:rFonts w:ascii="Times New Roman" w:eastAsia="SimSun" w:hAnsi="Times New Roman"/>
      <w:kern w:val="0"/>
      <w:sz w:val="21"/>
      <w:szCs w:val="22"/>
      <w:lang w:val="en-US"/>
      <w14:ligatures w14:val="none"/>
    </w:rPr>
  </w:style>
  <w:style w:type="paragraph" w:styleId="Footer">
    <w:name w:val="footer"/>
    <w:basedOn w:val="Normal"/>
    <w:link w:val="FooterChar"/>
    <w:uiPriority w:val="99"/>
    <w:semiHidden/>
    <w:unhideWhenUsed/>
    <w:rsid w:val="00EF0FE6"/>
    <w:pPr>
      <w:tabs>
        <w:tab w:val="center" w:pos="4680"/>
        <w:tab w:val="right" w:pos="9360"/>
      </w:tabs>
      <w:spacing w:after="0" w:line="240" w:lineRule="auto"/>
    </w:pPr>
    <w:rPr>
      <w:rFonts w:ascii="Times New Roman" w:eastAsia="SimSun" w:hAnsi="Times New Roman"/>
      <w:kern w:val="0"/>
      <w:sz w:val="21"/>
      <w:szCs w:val="22"/>
      <w:lang w:val="en-US"/>
      <w14:ligatures w14:val="none"/>
    </w:rPr>
  </w:style>
  <w:style w:type="character" w:customStyle="1" w:styleId="FooterChar">
    <w:name w:val="Footer Char"/>
    <w:basedOn w:val="DefaultParagraphFont"/>
    <w:link w:val="Footer"/>
    <w:uiPriority w:val="99"/>
    <w:semiHidden/>
    <w:rsid w:val="00EF0FE6"/>
    <w:rPr>
      <w:rFonts w:ascii="Times New Roman" w:eastAsia="SimSun" w:hAnsi="Times New Roman"/>
      <w:kern w:val="0"/>
      <w:sz w:val="21"/>
      <w:szCs w:val="22"/>
      <w:lang w:val="en-US"/>
      <w14:ligatures w14:val="none"/>
    </w:rPr>
  </w:style>
  <w:style w:type="paragraph" w:styleId="Caption">
    <w:name w:val="caption"/>
    <w:basedOn w:val="Normal"/>
    <w:next w:val="Normal"/>
    <w:uiPriority w:val="35"/>
    <w:semiHidden/>
    <w:unhideWhenUsed/>
    <w:qFormat/>
    <w:rsid w:val="00EF0FE6"/>
    <w:pPr>
      <w:spacing w:after="200" w:line="240" w:lineRule="auto"/>
    </w:pPr>
    <w:rPr>
      <w:rFonts w:ascii="Times New Roman" w:eastAsia="SimSun" w:hAnsi="Times New Roman"/>
      <w:b/>
      <w:bCs/>
      <w:color w:val="156082" w:themeColor="accent1"/>
      <w:kern w:val="0"/>
      <w:sz w:val="18"/>
      <w:szCs w:val="18"/>
      <w:lang w:val="en-US"/>
      <w14:ligatures w14:val="none"/>
    </w:rPr>
  </w:style>
  <w:style w:type="paragraph" w:styleId="MacroText">
    <w:name w:val="macro"/>
    <w:link w:val="MacroTextChar"/>
    <w:uiPriority w:val="99"/>
    <w:semiHidden/>
    <w:unhideWhenUsed/>
    <w:rsid w:val="00EF0FE6"/>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semiHidden/>
    <w:rsid w:val="00EF0FE6"/>
    <w:rPr>
      <w:rFonts w:ascii="Courier" w:eastAsiaTheme="minorEastAsia" w:hAnsi="Courier"/>
      <w:kern w:val="0"/>
      <w:sz w:val="20"/>
      <w:szCs w:val="20"/>
      <w:lang w:val="en-US"/>
      <w14:ligatures w14:val="none"/>
    </w:rPr>
  </w:style>
  <w:style w:type="paragraph" w:styleId="List">
    <w:name w:val="List"/>
    <w:basedOn w:val="Normal"/>
    <w:uiPriority w:val="99"/>
    <w:semiHidden/>
    <w:unhideWhenUsed/>
    <w:rsid w:val="00EF0FE6"/>
    <w:pPr>
      <w:spacing w:after="200" w:line="276" w:lineRule="auto"/>
      <w:ind w:left="360" w:hanging="360"/>
      <w:contextualSpacing/>
    </w:pPr>
    <w:rPr>
      <w:rFonts w:ascii="Times New Roman" w:eastAsia="SimSun" w:hAnsi="Times New Roman"/>
      <w:kern w:val="0"/>
      <w:sz w:val="21"/>
      <w:szCs w:val="22"/>
      <w:lang w:val="en-US"/>
      <w14:ligatures w14:val="none"/>
    </w:rPr>
  </w:style>
  <w:style w:type="paragraph" w:styleId="ListBullet">
    <w:name w:val="List Bullet"/>
    <w:basedOn w:val="Normal"/>
    <w:uiPriority w:val="99"/>
    <w:semiHidden/>
    <w:unhideWhenUsed/>
    <w:rsid w:val="00EF0FE6"/>
    <w:pPr>
      <w:numPr>
        <w:numId w:val="1"/>
      </w:numPr>
      <w:tabs>
        <w:tab w:val="clear" w:pos="360"/>
      </w:tabs>
      <w:spacing w:after="200" w:line="276" w:lineRule="auto"/>
      <w:ind w:left="0" w:firstLine="0"/>
      <w:contextualSpacing/>
    </w:pPr>
    <w:rPr>
      <w:rFonts w:ascii="Times New Roman" w:eastAsia="SimSun" w:hAnsi="Times New Roman"/>
      <w:kern w:val="0"/>
      <w:sz w:val="21"/>
      <w:szCs w:val="22"/>
      <w:lang w:val="en-US"/>
      <w14:ligatures w14:val="none"/>
    </w:rPr>
  </w:style>
  <w:style w:type="paragraph" w:styleId="ListNumber">
    <w:name w:val="List Number"/>
    <w:basedOn w:val="Normal"/>
    <w:uiPriority w:val="99"/>
    <w:semiHidden/>
    <w:unhideWhenUsed/>
    <w:rsid w:val="00EF0FE6"/>
    <w:pPr>
      <w:numPr>
        <w:numId w:val="2"/>
      </w:numPr>
      <w:tabs>
        <w:tab w:val="clear" w:pos="360"/>
      </w:tabs>
      <w:spacing w:after="200" w:line="276" w:lineRule="auto"/>
      <w:ind w:left="0" w:firstLine="0"/>
      <w:contextualSpacing/>
    </w:pPr>
    <w:rPr>
      <w:rFonts w:ascii="Times New Roman" w:eastAsia="SimSun" w:hAnsi="Times New Roman"/>
      <w:kern w:val="0"/>
      <w:sz w:val="21"/>
      <w:szCs w:val="22"/>
      <w:lang w:val="en-US"/>
      <w14:ligatures w14:val="none"/>
    </w:rPr>
  </w:style>
  <w:style w:type="paragraph" w:styleId="List2">
    <w:name w:val="List 2"/>
    <w:basedOn w:val="Normal"/>
    <w:uiPriority w:val="99"/>
    <w:semiHidden/>
    <w:unhideWhenUsed/>
    <w:rsid w:val="00EF0FE6"/>
    <w:pPr>
      <w:spacing w:after="200" w:line="276" w:lineRule="auto"/>
      <w:ind w:left="720" w:hanging="360"/>
      <w:contextualSpacing/>
    </w:pPr>
    <w:rPr>
      <w:rFonts w:ascii="Times New Roman" w:eastAsia="SimSun" w:hAnsi="Times New Roman"/>
      <w:kern w:val="0"/>
      <w:sz w:val="21"/>
      <w:szCs w:val="22"/>
      <w:lang w:val="en-US"/>
      <w14:ligatures w14:val="none"/>
    </w:rPr>
  </w:style>
  <w:style w:type="paragraph" w:styleId="List3">
    <w:name w:val="List 3"/>
    <w:basedOn w:val="Normal"/>
    <w:uiPriority w:val="99"/>
    <w:semiHidden/>
    <w:unhideWhenUsed/>
    <w:rsid w:val="00EF0FE6"/>
    <w:pPr>
      <w:spacing w:after="200" w:line="276" w:lineRule="auto"/>
      <w:ind w:left="1080" w:hanging="360"/>
      <w:contextualSpacing/>
    </w:pPr>
    <w:rPr>
      <w:rFonts w:ascii="Times New Roman" w:eastAsia="SimSun" w:hAnsi="Times New Roman"/>
      <w:kern w:val="0"/>
      <w:sz w:val="21"/>
      <w:szCs w:val="22"/>
      <w:lang w:val="en-US"/>
      <w14:ligatures w14:val="none"/>
    </w:rPr>
  </w:style>
  <w:style w:type="paragraph" w:styleId="ListBullet2">
    <w:name w:val="List Bullet 2"/>
    <w:basedOn w:val="Normal"/>
    <w:uiPriority w:val="99"/>
    <w:semiHidden/>
    <w:unhideWhenUsed/>
    <w:rsid w:val="00EF0FE6"/>
    <w:pPr>
      <w:numPr>
        <w:numId w:val="3"/>
      </w:numPr>
      <w:tabs>
        <w:tab w:val="clear" w:pos="720"/>
      </w:tabs>
      <w:spacing w:after="200" w:line="276" w:lineRule="auto"/>
      <w:ind w:left="0" w:firstLine="0"/>
      <w:contextualSpacing/>
    </w:pPr>
    <w:rPr>
      <w:rFonts w:ascii="Times New Roman" w:eastAsia="SimSun" w:hAnsi="Times New Roman"/>
      <w:kern w:val="0"/>
      <w:sz w:val="21"/>
      <w:szCs w:val="22"/>
      <w:lang w:val="en-US"/>
      <w14:ligatures w14:val="none"/>
    </w:rPr>
  </w:style>
  <w:style w:type="paragraph" w:styleId="ListBullet3">
    <w:name w:val="List Bullet 3"/>
    <w:basedOn w:val="Normal"/>
    <w:uiPriority w:val="99"/>
    <w:semiHidden/>
    <w:unhideWhenUsed/>
    <w:rsid w:val="00EF0FE6"/>
    <w:pPr>
      <w:numPr>
        <w:numId w:val="4"/>
      </w:numPr>
      <w:tabs>
        <w:tab w:val="clear" w:pos="1080"/>
      </w:tabs>
      <w:spacing w:after="200" w:line="276" w:lineRule="auto"/>
      <w:ind w:left="0" w:firstLine="0"/>
      <w:contextualSpacing/>
    </w:pPr>
    <w:rPr>
      <w:rFonts w:ascii="Times New Roman" w:eastAsia="SimSun" w:hAnsi="Times New Roman"/>
      <w:kern w:val="0"/>
      <w:sz w:val="21"/>
      <w:szCs w:val="22"/>
      <w:lang w:val="en-US"/>
      <w14:ligatures w14:val="none"/>
    </w:rPr>
  </w:style>
  <w:style w:type="paragraph" w:styleId="ListNumber2">
    <w:name w:val="List Number 2"/>
    <w:basedOn w:val="Normal"/>
    <w:uiPriority w:val="99"/>
    <w:semiHidden/>
    <w:unhideWhenUsed/>
    <w:rsid w:val="00EF0FE6"/>
    <w:pPr>
      <w:numPr>
        <w:numId w:val="5"/>
      </w:numPr>
      <w:tabs>
        <w:tab w:val="clear" w:pos="720"/>
      </w:tabs>
      <w:spacing w:after="200" w:line="276" w:lineRule="auto"/>
      <w:ind w:left="0" w:firstLine="0"/>
      <w:contextualSpacing/>
    </w:pPr>
    <w:rPr>
      <w:rFonts w:ascii="Times New Roman" w:eastAsia="SimSun" w:hAnsi="Times New Roman"/>
      <w:kern w:val="0"/>
      <w:sz w:val="21"/>
      <w:szCs w:val="22"/>
      <w:lang w:val="en-US"/>
      <w14:ligatures w14:val="none"/>
    </w:rPr>
  </w:style>
  <w:style w:type="paragraph" w:styleId="ListNumber3">
    <w:name w:val="List Number 3"/>
    <w:basedOn w:val="Normal"/>
    <w:uiPriority w:val="99"/>
    <w:semiHidden/>
    <w:unhideWhenUsed/>
    <w:rsid w:val="00EF0FE6"/>
    <w:pPr>
      <w:numPr>
        <w:numId w:val="6"/>
      </w:numPr>
      <w:tabs>
        <w:tab w:val="clear" w:pos="1080"/>
      </w:tabs>
      <w:spacing w:after="200" w:line="276" w:lineRule="auto"/>
      <w:ind w:left="0" w:firstLine="0"/>
      <w:contextualSpacing/>
    </w:pPr>
    <w:rPr>
      <w:rFonts w:ascii="Times New Roman" w:eastAsia="SimSun" w:hAnsi="Times New Roman"/>
      <w:kern w:val="0"/>
      <w:sz w:val="21"/>
      <w:szCs w:val="22"/>
      <w:lang w:val="en-US"/>
      <w14:ligatures w14:val="none"/>
    </w:rPr>
  </w:style>
  <w:style w:type="paragraph" w:styleId="BodyText">
    <w:name w:val="Body Text"/>
    <w:basedOn w:val="Normal"/>
    <w:link w:val="BodyTextChar"/>
    <w:uiPriority w:val="99"/>
    <w:semiHidden/>
    <w:unhideWhenUsed/>
    <w:rsid w:val="00EF0FE6"/>
    <w:pPr>
      <w:spacing w:after="120" w:line="276" w:lineRule="auto"/>
    </w:pPr>
    <w:rPr>
      <w:rFonts w:ascii="Times New Roman" w:eastAsia="SimSun" w:hAnsi="Times New Roman"/>
      <w:kern w:val="0"/>
      <w:sz w:val="21"/>
      <w:szCs w:val="22"/>
      <w:lang w:val="en-US"/>
      <w14:ligatures w14:val="none"/>
    </w:rPr>
  </w:style>
  <w:style w:type="character" w:customStyle="1" w:styleId="BodyTextChar">
    <w:name w:val="Body Text Char"/>
    <w:basedOn w:val="DefaultParagraphFont"/>
    <w:link w:val="BodyText"/>
    <w:uiPriority w:val="99"/>
    <w:semiHidden/>
    <w:rsid w:val="00EF0FE6"/>
    <w:rPr>
      <w:rFonts w:ascii="Times New Roman" w:eastAsia="SimSun" w:hAnsi="Times New Roman"/>
      <w:kern w:val="0"/>
      <w:sz w:val="21"/>
      <w:szCs w:val="22"/>
      <w:lang w:val="en-US"/>
      <w14:ligatures w14:val="none"/>
    </w:rPr>
  </w:style>
  <w:style w:type="paragraph" w:styleId="ListContinue">
    <w:name w:val="List Continue"/>
    <w:basedOn w:val="Normal"/>
    <w:uiPriority w:val="99"/>
    <w:semiHidden/>
    <w:unhideWhenUsed/>
    <w:rsid w:val="00EF0FE6"/>
    <w:pPr>
      <w:spacing w:after="120" w:line="276" w:lineRule="auto"/>
      <w:ind w:left="360"/>
      <w:contextualSpacing/>
    </w:pPr>
    <w:rPr>
      <w:rFonts w:ascii="Times New Roman" w:eastAsia="SimSun" w:hAnsi="Times New Roman"/>
      <w:kern w:val="0"/>
      <w:sz w:val="21"/>
      <w:szCs w:val="22"/>
      <w:lang w:val="en-US"/>
      <w14:ligatures w14:val="none"/>
    </w:rPr>
  </w:style>
  <w:style w:type="paragraph" w:styleId="ListContinue2">
    <w:name w:val="List Continue 2"/>
    <w:basedOn w:val="Normal"/>
    <w:uiPriority w:val="99"/>
    <w:semiHidden/>
    <w:unhideWhenUsed/>
    <w:rsid w:val="00EF0FE6"/>
    <w:pPr>
      <w:spacing w:after="120" w:line="276" w:lineRule="auto"/>
      <w:ind w:left="720"/>
      <w:contextualSpacing/>
    </w:pPr>
    <w:rPr>
      <w:rFonts w:ascii="Times New Roman" w:eastAsia="SimSun" w:hAnsi="Times New Roman"/>
      <w:kern w:val="0"/>
      <w:sz w:val="21"/>
      <w:szCs w:val="22"/>
      <w:lang w:val="en-US"/>
      <w14:ligatures w14:val="none"/>
    </w:rPr>
  </w:style>
  <w:style w:type="paragraph" w:styleId="ListContinue3">
    <w:name w:val="List Continue 3"/>
    <w:basedOn w:val="Normal"/>
    <w:uiPriority w:val="99"/>
    <w:semiHidden/>
    <w:unhideWhenUsed/>
    <w:rsid w:val="00EF0FE6"/>
    <w:pPr>
      <w:spacing w:after="120" w:line="276" w:lineRule="auto"/>
      <w:ind w:left="1080"/>
      <w:contextualSpacing/>
    </w:pPr>
    <w:rPr>
      <w:rFonts w:ascii="Times New Roman" w:eastAsia="SimSun" w:hAnsi="Times New Roman"/>
      <w:kern w:val="0"/>
      <w:sz w:val="21"/>
      <w:szCs w:val="22"/>
      <w:lang w:val="en-US"/>
      <w14:ligatures w14:val="none"/>
    </w:rPr>
  </w:style>
  <w:style w:type="paragraph" w:styleId="BodyText2">
    <w:name w:val="Body Text 2"/>
    <w:basedOn w:val="Normal"/>
    <w:link w:val="BodyText2Char"/>
    <w:uiPriority w:val="99"/>
    <w:semiHidden/>
    <w:unhideWhenUsed/>
    <w:rsid w:val="00EF0FE6"/>
    <w:pPr>
      <w:spacing w:after="120" w:line="480" w:lineRule="auto"/>
    </w:pPr>
    <w:rPr>
      <w:rFonts w:ascii="Times New Roman" w:eastAsia="SimSun" w:hAnsi="Times New Roman"/>
      <w:kern w:val="0"/>
      <w:sz w:val="21"/>
      <w:szCs w:val="22"/>
      <w:lang w:val="en-US"/>
      <w14:ligatures w14:val="none"/>
    </w:rPr>
  </w:style>
  <w:style w:type="character" w:customStyle="1" w:styleId="BodyText2Char">
    <w:name w:val="Body Text 2 Char"/>
    <w:basedOn w:val="DefaultParagraphFont"/>
    <w:link w:val="BodyText2"/>
    <w:uiPriority w:val="99"/>
    <w:semiHidden/>
    <w:rsid w:val="00EF0FE6"/>
    <w:rPr>
      <w:rFonts w:ascii="Times New Roman" w:eastAsia="SimSun" w:hAnsi="Times New Roman"/>
      <w:kern w:val="0"/>
      <w:sz w:val="21"/>
      <w:szCs w:val="22"/>
      <w:lang w:val="en-US"/>
      <w14:ligatures w14:val="none"/>
    </w:rPr>
  </w:style>
  <w:style w:type="paragraph" w:styleId="BodyText3">
    <w:name w:val="Body Text 3"/>
    <w:basedOn w:val="Normal"/>
    <w:link w:val="BodyText3Char"/>
    <w:uiPriority w:val="99"/>
    <w:semiHidden/>
    <w:unhideWhenUsed/>
    <w:rsid w:val="00EF0FE6"/>
    <w:pPr>
      <w:spacing w:after="120" w:line="276" w:lineRule="auto"/>
    </w:pPr>
    <w:rPr>
      <w:rFonts w:ascii="Times New Roman" w:eastAsia="SimSun" w:hAnsi="Times New Roman"/>
      <w:kern w:val="0"/>
      <w:sz w:val="16"/>
      <w:szCs w:val="16"/>
      <w:lang w:val="en-US"/>
      <w14:ligatures w14:val="none"/>
    </w:rPr>
  </w:style>
  <w:style w:type="character" w:customStyle="1" w:styleId="BodyText3Char">
    <w:name w:val="Body Text 3 Char"/>
    <w:basedOn w:val="DefaultParagraphFont"/>
    <w:link w:val="BodyText3"/>
    <w:uiPriority w:val="99"/>
    <w:semiHidden/>
    <w:rsid w:val="00EF0FE6"/>
    <w:rPr>
      <w:rFonts w:ascii="Times New Roman" w:eastAsia="SimSun" w:hAnsi="Times New Roman"/>
      <w:kern w:val="0"/>
      <w:sz w:val="16"/>
      <w:szCs w:val="16"/>
      <w:lang w:val="en-US"/>
      <w14:ligatures w14:val="none"/>
    </w:rPr>
  </w:style>
  <w:style w:type="paragraph" w:styleId="NoSpacing">
    <w:name w:val="No Spacing"/>
    <w:uiPriority w:val="1"/>
    <w:qFormat/>
    <w:rsid w:val="00EF0FE6"/>
    <w:pPr>
      <w:spacing w:after="0" w:line="240" w:lineRule="auto"/>
    </w:pPr>
    <w:rPr>
      <w:rFonts w:eastAsiaTheme="minorEastAsia"/>
      <w:kern w:val="0"/>
      <w:sz w:val="22"/>
      <w:szCs w:val="22"/>
      <w:lang w:val="en-US"/>
      <w14:ligatures w14:val="none"/>
    </w:rPr>
  </w:style>
  <w:style w:type="paragraph" w:styleId="TOCHeading">
    <w:name w:val="TOC Heading"/>
    <w:basedOn w:val="Heading1"/>
    <w:next w:val="Normal"/>
    <w:uiPriority w:val="39"/>
    <w:semiHidden/>
    <w:unhideWhenUsed/>
    <w:qFormat/>
    <w:rsid w:val="00EF0FE6"/>
    <w:pPr>
      <w:spacing w:before="480" w:after="0" w:line="276" w:lineRule="auto"/>
      <w:outlineLvl w:val="9"/>
    </w:pPr>
    <w:rPr>
      <w:b/>
      <w:bCs/>
      <w:color w:val="000000"/>
      <w:kern w:val="0"/>
      <w:sz w:val="28"/>
      <w:szCs w:val="28"/>
      <w:lang w:val="en-US"/>
      <w14:ligatures w14:val="none"/>
    </w:rPr>
  </w:style>
  <w:style w:type="character" w:styleId="SubtleEmphasis">
    <w:name w:val="Subtle Emphasis"/>
    <w:basedOn w:val="DefaultParagraphFont"/>
    <w:uiPriority w:val="19"/>
    <w:qFormat/>
    <w:rsid w:val="00EF0FE6"/>
    <w:rPr>
      <w:i/>
      <w:iCs/>
      <w:color w:val="808080" w:themeColor="text1" w:themeTint="7F"/>
    </w:rPr>
  </w:style>
  <w:style w:type="character" w:styleId="SubtleReference">
    <w:name w:val="Subtle Reference"/>
    <w:basedOn w:val="DefaultParagraphFont"/>
    <w:uiPriority w:val="31"/>
    <w:qFormat/>
    <w:rsid w:val="00EF0FE6"/>
    <w:rPr>
      <w:smallCaps/>
      <w:color w:val="E97132" w:themeColor="accent2"/>
      <w:u w:val="single"/>
    </w:rPr>
  </w:style>
  <w:style w:type="character" w:styleId="BookTitle">
    <w:name w:val="Book Title"/>
    <w:basedOn w:val="DefaultParagraphFont"/>
    <w:uiPriority w:val="33"/>
    <w:qFormat/>
    <w:rsid w:val="00EF0FE6"/>
    <w:rPr>
      <w:b/>
      <w:bCs/>
      <w:smallCaps/>
      <w:spacing w:val="5"/>
    </w:rPr>
  </w:style>
  <w:style w:type="table" w:styleId="LightShading">
    <w:name w:val="Light Shading"/>
    <w:basedOn w:val="TableNormal"/>
    <w:uiPriority w:val="60"/>
    <w:semiHidden/>
    <w:unhideWhenUsed/>
    <w:rsid w:val="00EF0FE6"/>
    <w:pPr>
      <w:spacing w:after="0" w:line="240" w:lineRule="auto"/>
    </w:pPr>
    <w:rPr>
      <w:rFonts w:eastAsiaTheme="minorEastAsia"/>
      <w:color w:val="000000" w:themeColor="text1" w:themeShade="BF"/>
      <w:kern w:val="0"/>
      <w:sz w:val="22"/>
      <w:szCs w:val="22"/>
      <w:lang w:val="en-US"/>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semiHidden/>
    <w:unhideWhenUsed/>
    <w:rsid w:val="00EF0FE6"/>
    <w:pPr>
      <w:spacing w:after="0" w:line="240" w:lineRule="auto"/>
    </w:pPr>
    <w:rPr>
      <w:rFonts w:eastAsiaTheme="minorEastAsia"/>
      <w:color w:val="FFFFFF" w:themeColor="background1"/>
      <w:kern w:val="0"/>
      <w:sz w:val="22"/>
      <w:szCs w:val="22"/>
      <w:lang w:val="en-US"/>
      <w14:ligatures w14:val="none"/>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1">
    <w:name w:val="Light Shading Accent 1"/>
    <w:basedOn w:val="TableNormal"/>
    <w:uiPriority w:val="60"/>
    <w:semiHidden/>
    <w:unhideWhenUsed/>
    <w:rsid w:val="00EF0FE6"/>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List-Accent1">
    <w:name w:val="Light List Accent 1"/>
    <w:basedOn w:val="TableNormal"/>
    <w:uiPriority w:val="61"/>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Grid-Accent1">
    <w:name w:val="Light Grid Accent 1"/>
    <w:basedOn w:val="TableNormal"/>
    <w:uiPriority w:val="62"/>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MediumShading1-Accent1">
    <w:name w:val="Medium Shading 1 Accent 1"/>
    <w:basedOn w:val="TableNormal"/>
    <w:uiPriority w:val="63"/>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hint="default"/>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2-Accent1">
    <w:name w:val="Medium List 2 Accent 1"/>
    <w:basedOn w:val="TableNormal"/>
    <w:uiPriority w:val="66"/>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2-Accent1">
    <w:name w:val="Medium Grid 2 Accent 1"/>
    <w:basedOn w:val="TableNormal"/>
    <w:uiPriority w:val="68"/>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DarkList-Accent1">
    <w:name w:val="Dark List Accent 1"/>
    <w:basedOn w:val="TableNormal"/>
    <w:uiPriority w:val="70"/>
    <w:semiHidden/>
    <w:unhideWhenUsed/>
    <w:rsid w:val="00EF0FE6"/>
    <w:pPr>
      <w:spacing w:after="0" w:line="240" w:lineRule="auto"/>
    </w:pPr>
    <w:rPr>
      <w:rFonts w:eastAsiaTheme="minorEastAsia"/>
      <w:color w:val="FFFFFF" w:themeColor="background1"/>
      <w:kern w:val="0"/>
      <w:sz w:val="22"/>
      <w:szCs w:val="22"/>
      <w:lang w:val="en-US"/>
      <w14:ligatures w14:val="none"/>
    </w:rPr>
    <w:tblPr>
      <w:tblStyleRowBandSize w:val="1"/>
      <w:tblStyleColBandSize w:val="1"/>
      <w:tblInd w:w="0" w:type="nil"/>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ColorfulShading-Accent1">
    <w:name w:val="Colorful Shading Accent 1"/>
    <w:basedOn w:val="TableNormal"/>
    <w:uiPriority w:val="71"/>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Grid-Accent1">
    <w:name w:val="Colorful Grid Accent 1"/>
    <w:basedOn w:val="TableNormal"/>
    <w:uiPriority w:val="73"/>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LightShading-Accent2">
    <w:name w:val="Light Shading Accent 2"/>
    <w:basedOn w:val="TableNormal"/>
    <w:uiPriority w:val="60"/>
    <w:semiHidden/>
    <w:unhideWhenUsed/>
    <w:rsid w:val="00EF0FE6"/>
    <w:pPr>
      <w:spacing w:after="0" w:line="240" w:lineRule="auto"/>
    </w:pPr>
    <w:rPr>
      <w:rFonts w:eastAsiaTheme="minorEastAsia"/>
      <w:color w:val="BF4E14" w:themeColor="accent2" w:themeShade="BF"/>
      <w:kern w:val="0"/>
      <w:sz w:val="22"/>
      <w:szCs w:val="22"/>
      <w:lang w:val="en-US"/>
      <w14:ligatures w14:val="none"/>
    </w:rPr>
    <w:tblPr>
      <w:tblStyleRowBandSize w:val="1"/>
      <w:tblStyleColBandSize w:val="1"/>
      <w:tblInd w:w="0" w:type="nil"/>
      <w:tblBorders>
        <w:top w:val="single" w:sz="8" w:space="0" w:color="E97132" w:themeColor="accent2"/>
        <w:bottom w:val="single" w:sz="8" w:space="0" w:color="E97132" w:themeColor="accent2"/>
      </w:tblBorders>
    </w:tblPr>
    <w:tblStylePr w:type="firstRow">
      <w:pPr>
        <w:spacing w:beforeLines="0" w:before="0" w:beforeAutospacing="0" w:afterLines="0" w:after="0" w:afterAutospacing="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List-Accent2">
    <w:name w:val="Light List Accent 2"/>
    <w:basedOn w:val="TableNormal"/>
    <w:uiPriority w:val="61"/>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Grid-Accent2">
    <w:name w:val="Light Grid Accent 2"/>
    <w:basedOn w:val="TableNormal"/>
    <w:uiPriority w:val="62"/>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MediumShading1-Accent2">
    <w:name w:val="Medium Shading 1 Accent 2"/>
    <w:basedOn w:val="TableNormal"/>
    <w:uiPriority w:val="63"/>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hint="default"/>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2-Accent2">
    <w:name w:val="Medium List 2 Accent 2"/>
    <w:basedOn w:val="TableNormal"/>
    <w:uiPriority w:val="66"/>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2">
    <w:name w:val="Medium Grid 1 Accent 2"/>
    <w:basedOn w:val="TableNormal"/>
    <w:uiPriority w:val="67"/>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2-Accent2">
    <w:name w:val="Medium Grid 2 Accent 2"/>
    <w:basedOn w:val="TableNormal"/>
    <w:uiPriority w:val="68"/>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DarkList-Accent2">
    <w:name w:val="Dark List Accent 2"/>
    <w:basedOn w:val="TableNormal"/>
    <w:uiPriority w:val="70"/>
    <w:semiHidden/>
    <w:unhideWhenUsed/>
    <w:rsid w:val="00EF0FE6"/>
    <w:pPr>
      <w:spacing w:after="0" w:line="240" w:lineRule="auto"/>
    </w:pPr>
    <w:rPr>
      <w:rFonts w:eastAsiaTheme="minorEastAsia"/>
      <w:color w:val="FFFFFF" w:themeColor="background1"/>
      <w:kern w:val="0"/>
      <w:sz w:val="22"/>
      <w:szCs w:val="22"/>
      <w:lang w:val="en-US"/>
      <w14:ligatures w14:val="none"/>
    </w:rPr>
    <w:tblPr>
      <w:tblStyleRowBandSize w:val="1"/>
      <w:tblStyleColBandSize w:val="1"/>
      <w:tblInd w:w="0" w:type="nil"/>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ColorfulShading-Accent2">
    <w:name w:val="Colorful Shading Accent 2"/>
    <w:basedOn w:val="TableNormal"/>
    <w:uiPriority w:val="71"/>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Grid-Accent2">
    <w:name w:val="Colorful Grid Accent 2"/>
    <w:basedOn w:val="TableNormal"/>
    <w:uiPriority w:val="73"/>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LightShading-Accent3">
    <w:name w:val="Light Shading Accent 3"/>
    <w:basedOn w:val="TableNormal"/>
    <w:uiPriority w:val="60"/>
    <w:semiHidden/>
    <w:unhideWhenUsed/>
    <w:rsid w:val="00EF0FE6"/>
    <w:pPr>
      <w:spacing w:after="0" w:line="240" w:lineRule="auto"/>
    </w:pPr>
    <w:rPr>
      <w:rFonts w:eastAsiaTheme="minorEastAsia"/>
      <w:color w:val="124F1A" w:themeColor="accent3" w:themeShade="BF"/>
      <w:kern w:val="0"/>
      <w:sz w:val="22"/>
      <w:szCs w:val="22"/>
      <w:lang w:val="en-US"/>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List-Accent3">
    <w:name w:val="Light List Accent 3"/>
    <w:basedOn w:val="TableNormal"/>
    <w:uiPriority w:val="61"/>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196B24" w:themeFill="accent3"/>
      </w:tcPr>
    </w:tblStylePr>
    <w:tblStylePr w:type="lastRow">
      <w:pPr>
        <w:spacing w:beforeLines="0" w:before="0" w:beforeAutospacing="0" w:afterLines="0" w:after="0" w:afterAutospacing="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Grid-Accent3">
    <w:name w:val="Light Grid Accent 3"/>
    <w:basedOn w:val="TableNormal"/>
    <w:uiPriority w:val="62"/>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MediumShading1-Accent3">
    <w:name w:val="Medium Shading 1 Accent 3"/>
    <w:basedOn w:val="TableNormal"/>
    <w:uiPriority w:val="63"/>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Lines="0" w:before="0" w:beforeAutospacing="0" w:afterLines="0" w:after="0" w:afterAutospacing="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hint="default"/>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2-Accent3">
    <w:name w:val="Medium List 2 Accent 3"/>
    <w:basedOn w:val="TableNormal"/>
    <w:uiPriority w:val="66"/>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3">
    <w:name w:val="Medium Grid 1 Accent 3"/>
    <w:basedOn w:val="TableNormal"/>
    <w:uiPriority w:val="67"/>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2-Accent3">
    <w:name w:val="Medium Grid 2 Accent 3"/>
    <w:basedOn w:val="TableNormal"/>
    <w:uiPriority w:val="68"/>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DarkList-Accent3">
    <w:name w:val="Dark List Accent 3"/>
    <w:basedOn w:val="TableNormal"/>
    <w:uiPriority w:val="70"/>
    <w:semiHidden/>
    <w:unhideWhenUsed/>
    <w:rsid w:val="00EF0FE6"/>
    <w:pPr>
      <w:spacing w:after="0" w:line="240" w:lineRule="auto"/>
    </w:pPr>
    <w:rPr>
      <w:rFonts w:eastAsiaTheme="minorEastAsia"/>
      <w:color w:val="FFFFFF" w:themeColor="background1"/>
      <w:kern w:val="0"/>
      <w:sz w:val="22"/>
      <w:szCs w:val="22"/>
      <w:lang w:val="en-US"/>
      <w14:ligatures w14:val="none"/>
    </w:rPr>
    <w:tblPr>
      <w:tblStyleRowBandSize w:val="1"/>
      <w:tblStyleColBandSize w:val="1"/>
      <w:tblInd w:w="0" w:type="nil"/>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ColorfulShading-Accent3">
    <w:name w:val="Colorful Shading Accent 3"/>
    <w:basedOn w:val="TableNormal"/>
    <w:uiPriority w:val="71"/>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List-Accent3">
    <w:name w:val="Colorful List Accent 3"/>
    <w:basedOn w:val="TableNormal"/>
    <w:uiPriority w:val="72"/>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Grid-Accent3">
    <w:name w:val="Colorful Grid Accent 3"/>
    <w:basedOn w:val="TableNormal"/>
    <w:uiPriority w:val="73"/>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LightShading-Accent4">
    <w:name w:val="Light Shading Accent 4"/>
    <w:basedOn w:val="TableNormal"/>
    <w:uiPriority w:val="60"/>
    <w:semiHidden/>
    <w:unhideWhenUsed/>
    <w:rsid w:val="00EF0FE6"/>
    <w:pPr>
      <w:spacing w:after="0" w:line="240" w:lineRule="auto"/>
    </w:pPr>
    <w:rPr>
      <w:rFonts w:eastAsiaTheme="minorEastAsia"/>
      <w:color w:val="0B769F" w:themeColor="accent4" w:themeShade="BF"/>
      <w:kern w:val="0"/>
      <w:sz w:val="22"/>
      <w:szCs w:val="22"/>
      <w:lang w:val="en-US"/>
      <w14:ligatures w14:val="none"/>
    </w:rPr>
    <w:tblPr>
      <w:tblStyleRowBandSize w:val="1"/>
      <w:tblStyleColBandSize w:val="1"/>
      <w:tblInd w:w="0" w:type="nil"/>
      <w:tblBorders>
        <w:top w:val="single" w:sz="8" w:space="0" w:color="0F9ED5" w:themeColor="accent4"/>
        <w:bottom w:val="single" w:sz="8" w:space="0" w:color="0F9ED5" w:themeColor="accent4"/>
      </w:tblBorders>
    </w:tblPr>
    <w:tblStylePr w:type="firstRow">
      <w:pPr>
        <w:spacing w:beforeLines="0" w:before="0" w:beforeAutospacing="0" w:afterLines="0" w:after="0" w:afterAutospacing="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List-Accent4">
    <w:name w:val="Light List Accent 4"/>
    <w:basedOn w:val="TableNormal"/>
    <w:uiPriority w:val="61"/>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0F9ED5" w:themeFill="accent4"/>
      </w:tcPr>
    </w:tblStylePr>
    <w:tblStylePr w:type="lastRow">
      <w:pPr>
        <w:spacing w:beforeLines="0" w:before="0" w:beforeAutospacing="0" w:afterLines="0" w:after="0" w:afterAutospacing="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Grid-Accent4">
    <w:name w:val="Light Grid Accent 4"/>
    <w:basedOn w:val="TableNormal"/>
    <w:uiPriority w:val="62"/>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MediumShading1-Accent4">
    <w:name w:val="Medium Shading 1 Accent 4"/>
    <w:basedOn w:val="TableNormal"/>
    <w:uiPriority w:val="63"/>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Lines="0" w:before="0" w:beforeAutospacing="0" w:afterLines="0" w:after="0" w:afterAutospacing="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hint="default"/>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2-Accent4">
    <w:name w:val="Medium List 2 Accent 4"/>
    <w:basedOn w:val="TableNormal"/>
    <w:uiPriority w:val="66"/>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2-Accent4">
    <w:name w:val="Medium Grid 2 Accent 4"/>
    <w:basedOn w:val="TableNormal"/>
    <w:uiPriority w:val="68"/>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DarkList-Accent4">
    <w:name w:val="Dark List Accent 4"/>
    <w:basedOn w:val="TableNormal"/>
    <w:uiPriority w:val="70"/>
    <w:semiHidden/>
    <w:unhideWhenUsed/>
    <w:rsid w:val="00EF0FE6"/>
    <w:pPr>
      <w:spacing w:after="0" w:line="240" w:lineRule="auto"/>
    </w:pPr>
    <w:rPr>
      <w:rFonts w:eastAsiaTheme="minorEastAsia"/>
      <w:color w:val="FFFFFF" w:themeColor="background1"/>
      <w:kern w:val="0"/>
      <w:sz w:val="22"/>
      <w:szCs w:val="22"/>
      <w:lang w:val="en-US"/>
      <w14:ligatures w14:val="none"/>
    </w:rPr>
    <w:tblPr>
      <w:tblStyleRowBandSize w:val="1"/>
      <w:tblStyleColBandSize w:val="1"/>
      <w:tblInd w:w="0" w:type="nil"/>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ColorfulShading-Accent4">
    <w:name w:val="Colorful Shading Accent 4"/>
    <w:basedOn w:val="TableNormal"/>
    <w:uiPriority w:val="71"/>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List-Accent4">
    <w:name w:val="Colorful List Accent 4"/>
    <w:basedOn w:val="TableNormal"/>
    <w:uiPriority w:val="72"/>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Grid-Accent4">
    <w:name w:val="Colorful Grid Accent 4"/>
    <w:basedOn w:val="TableNormal"/>
    <w:uiPriority w:val="73"/>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LightShading-Accent5">
    <w:name w:val="Light Shading Accent 5"/>
    <w:basedOn w:val="TableNormal"/>
    <w:uiPriority w:val="60"/>
    <w:semiHidden/>
    <w:unhideWhenUsed/>
    <w:rsid w:val="00EF0FE6"/>
    <w:pPr>
      <w:spacing w:after="0" w:line="240" w:lineRule="auto"/>
    </w:pPr>
    <w:rPr>
      <w:rFonts w:eastAsiaTheme="minorEastAsia"/>
      <w:color w:val="77206D" w:themeColor="accent5" w:themeShade="BF"/>
      <w:kern w:val="0"/>
      <w:sz w:val="22"/>
      <w:szCs w:val="22"/>
      <w:lang w:val="en-US"/>
      <w14:ligatures w14:val="none"/>
    </w:rPr>
    <w:tblPr>
      <w:tblStyleRowBandSize w:val="1"/>
      <w:tblStyleColBandSize w:val="1"/>
      <w:tblInd w:w="0" w:type="nil"/>
      <w:tblBorders>
        <w:top w:val="single" w:sz="8" w:space="0" w:color="A02B93" w:themeColor="accent5"/>
        <w:bottom w:val="single" w:sz="8" w:space="0" w:color="A02B93" w:themeColor="accent5"/>
      </w:tblBorders>
    </w:tblPr>
    <w:tblStylePr w:type="fir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List-Accent5">
    <w:name w:val="Light List Accent 5"/>
    <w:basedOn w:val="TableNormal"/>
    <w:uiPriority w:val="61"/>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Grid-Accent5">
    <w:name w:val="Light Grid Accent 5"/>
    <w:basedOn w:val="TableNormal"/>
    <w:uiPriority w:val="62"/>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MediumShading1-Accent5">
    <w:name w:val="Medium Shading 1 Accent 5"/>
    <w:basedOn w:val="TableNormal"/>
    <w:uiPriority w:val="63"/>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hint="default"/>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2-Accent5">
    <w:name w:val="Medium List 2 Accent 5"/>
    <w:basedOn w:val="TableNormal"/>
    <w:uiPriority w:val="66"/>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2-Accent5">
    <w:name w:val="Medium Grid 2 Accent 5"/>
    <w:basedOn w:val="TableNormal"/>
    <w:uiPriority w:val="68"/>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DarkList-Accent5">
    <w:name w:val="Dark List Accent 5"/>
    <w:basedOn w:val="TableNormal"/>
    <w:uiPriority w:val="70"/>
    <w:semiHidden/>
    <w:unhideWhenUsed/>
    <w:rsid w:val="00EF0FE6"/>
    <w:pPr>
      <w:spacing w:after="0" w:line="240" w:lineRule="auto"/>
    </w:pPr>
    <w:rPr>
      <w:rFonts w:eastAsiaTheme="minorEastAsia"/>
      <w:color w:val="FFFFFF" w:themeColor="background1"/>
      <w:kern w:val="0"/>
      <w:sz w:val="22"/>
      <w:szCs w:val="22"/>
      <w:lang w:val="en-US"/>
      <w14:ligatures w14:val="none"/>
    </w:rPr>
    <w:tblPr>
      <w:tblStyleRowBandSize w:val="1"/>
      <w:tblStyleColBandSize w:val="1"/>
      <w:tblInd w:w="0" w:type="nil"/>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ColorfulShading-Accent5">
    <w:name w:val="Colorful Shading Accent 5"/>
    <w:basedOn w:val="TableNormal"/>
    <w:uiPriority w:val="71"/>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List-Accent5">
    <w:name w:val="Colorful List Accent 5"/>
    <w:basedOn w:val="TableNormal"/>
    <w:uiPriority w:val="72"/>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Grid-Accent5">
    <w:name w:val="Colorful Grid Accent 5"/>
    <w:basedOn w:val="TableNormal"/>
    <w:uiPriority w:val="73"/>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LightShading-Accent6">
    <w:name w:val="Light Shading Accent 6"/>
    <w:basedOn w:val="TableNormal"/>
    <w:uiPriority w:val="60"/>
    <w:semiHidden/>
    <w:unhideWhenUsed/>
    <w:rsid w:val="00EF0FE6"/>
    <w:pPr>
      <w:spacing w:after="0" w:line="240" w:lineRule="auto"/>
    </w:pPr>
    <w:rPr>
      <w:rFonts w:eastAsiaTheme="minorEastAsia"/>
      <w:color w:val="3A7C22" w:themeColor="accent6" w:themeShade="BF"/>
      <w:kern w:val="0"/>
      <w:sz w:val="22"/>
      <w:szCs w:val="22"/>
      <w:lang w:val="en-US"/>
      <w14:ligatures w14:val="none"/>
    </w:rPr>
    <w:tblPr>
      <w:tblStyleRowBandSize w:val="1"/>
      <w:tblStyleColBandSize w:val="1"/>
      <w:tblInd w:w="0" w:type="nil"/>
      <w:tblBorders>
        <w:top w:val="single" w:sz="8" w:space="0" w:color="4EA72E" w:themeColor="accent6"/>
        <w:bottom w:val="single" w:sz="8" w:space="0" w:color="4EA72E" w:themeColor="accent6"/>
      </w:tblBorders>
    </w:tblPr>
    <w:tblStylePr w:type="firstRow">
      <w:pPr>
        <w:spacing w:beforeLines="0" w:before="0" w:beforeAutospacing="0" w:afterLines="0" w:after="0" w:afterAutospacing="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Accent6">
    <w:name w:val="Light List Accent 6"/>
    <w:basedOn w:val="TableNormal"/>
    <w:uiPriority w:val="61"/>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4EA72E" w:themeFill="accent6"/>
      </w:tcPr>
    </w:tblStylePr>
    <w:tblStylePr w:type="lastRow">
      <w:pPr>
        <w:spacing w:beforeLines="0" w:before="0" w:beforeAutospacing="0" w:afterLines="0" w:after="0" w:afterAutospacing="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Accent6">
    <w:name w:val="Light Grid Accent 6"/>
    <w:basedOn w:val="TableNormal"/>
    <w:uiPriority w:val="62"/>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Accent6">
    <w:name w:val="Medium Shading 1 Accent 6"/>
    <w:basedOn w:val="TableNormal"/>
    <w:uiPriority w:val="63"/>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Lines="0" w:before="0" w:beforeAutospacing="0" w:afterLines="0" w:after="0" w:afterAutospacing="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hint="default"/>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Accent6">
    <w:name w:val="Medium List 2 Accent 6"/>
    <w:basedOn w:val="TableNormal"/>
    <w:uiPriority w:val="66"/>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6">
    <w:name w:val="Medium Grid 1 Accent 6"/>
    <w:basedOn w:val="TableNormal"/>
    <w:uiPriority w:val="67"/>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Accent6">
    <w:name w:val="Medium Grid 2 Accent 6"/>
    <w:basedOn w:val="TableNormal"/>
    <w:uiPriority w:val="68"/>
    <w:semiHidden/>
    <w:unhideWhenUsed/>
    <w:rsid w:val="00EF0FE6"/>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Accent6">
    <w:name w:val="Medium Grid 3 Accent 6"/>
    <w:basedOn w:val="TableNormal"/>
    <w:uiPriority w:val="69"/>
    <w:semiHidden/>
    <w:unhideWhenUsed/>
    <w:rsid w:val="00EF0FE6"/>
    <w:pPr>
      <w:spacing w:after="0" w:line="240" w:lineRule="auto"/>
    </w:pPr>
    <w:rPr>
      <w:rFonts w:eastAsiaTheme="minorEastAsia"/>
      <w:kern w:val="0"/>
      <w:sz w:val="22"/>
      <w:szCs w:val="22"/>
      <w:lang w:val="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Accent6">
    <w:name w:val="Dark List Accent 6"/>
    <w:basedOn w:val="TableNormal"/>
    <w:uiPriority w:val="70"/>
    <w:semiHidden/>
    <w:unhideWhenUsed/>
    <w:rsid w:val="00EF0FE6"/>
    <w:pPr>
      <w:spacing w:after="0" w:line="240" w:lineRule="auto"/>
    </w:pPr>
    <w:rPr>
      <w:rFonts w:eastAsiaTheme="minorEastAsia"/>
      <w:color w:val="FFFFFF" w:themeColor="background1"/>
      <w:kern w:val="0"/>
      <w:sz w:val="22"/>
      <w:szCs w:val="22"/>
      <w:lang w:val="en-US"/>
      <w14:ligatures w14:val="none"/>
    </w:rPr>
    <w:tblPr>
      <w:tblStyleRowBandSize w:val="1"/>
      <w:tblStyleColBandSize w:val="1"/>
      <w:tblInd w:w="0" w:type="nil"/>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Accent6">
    <w:name w:val="Colorful Shading Accent 6"/>
    <w:basedOn w:val="TableNormal"/>
    <w:uiPriority w:val="71"/>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Accent6">
    <w:name w:val="Colorful Grid Accent 6"/>
    <w:basedOn w:val="TableNormal"/>
    <w:uiPriority w:val="73"/>
    <w:semiHidden/>
    <w:unhideWhenUsed/>
    <w:rsid w:val="00EF0FE6"/>
    <w:pPr>
      <w:spacing w:after="0" w:line="240" w:lineRule="auto"/>
    </w:pPr>
    <w:rPr>
      <w:rFonts w:eastAsiaTheme="minorEastAsia"/>
      <w:color w:val="000000" w:themeColor="text1"/>
      <w:kern w:val="0"/>
      <w:sz w:val="22"/>
      <w:szCs w:val="22"/>
      <w:lang w:val="en-US"/>
      <w14:ligatures w14:val="none"/>
    </w:rPr>
    <w:tblPr>
      <w:tblStyleRowBandSize w:val="1"/>
      <w:tblStyleColBandSize w:val="1"/>
      <w:tblInd w:w="0" w:type="nil"/>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4594</Words>
  <Characters>26192</Characters>
  <Application>Microsoft Office Word</Application>
  <DocSecurity>0</DocSecurity>
  <Lines>218</Lines>
  <Paragraphs>61</Paragraphs>
  <ScaleCrop>false</ScaleCrop>
  <Company/>
  <LinksUpToDate>false</LinksUpToDate>
  <CharactersWithSpaces>30725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2</cp:revision>
  <dcterms:created xsi:type="dcterms:W3CDTF">2026-10-09T11:01:00Z</dcterms:created>
  <dcterms:modified xsi:type="dcterms:W3CDTF">2026-10-09T11:04:00Z</dcterms:modified>
</cp:coreProperties>
</file>