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E09" w:rsidRPr="008A265B" w:rsidRDefault="004B7E09" w:rsidP="004B7E09">
      <w:pPr>
        <w:keepNext/>
        <w:spacing w:before="240" w:after="80"/>
      </w:pPr>
      <w:r w:rsidRPr="008A265B">
        <w:rPr>
          <w:b/>
          <w:bCs/>
        </w:rPr>
        <w:t xml:space="preserve">able 1 </w:t>
      </w:r>
      <w:r w:rsidRPr="008A265B">
        <w:rPr>
          <w:b/>
        </w:rPr>
        <w:t>National evidence on multidimensional poverty in India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9"/>
        <w:gridCol w:w="1504"/>
        <w:gridCol w:w="4113"/>
      </w:tblGrid>
      <w:tr w:rsidR="004B7E09" w:rsidRPr="008A265B" w:rsidTr="00161F54">
        <w:trPr>
          <w:tblHeader/>
        </w:trPr>
        <w:tc>
          <w:tcPr>
            <w:tcW w:w="3409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Indicator and period</w:t>
            </w:r>
          </w:p>
        </w:tc>
        <w:tc>
          <w:tcPr>
            <w:tcW w:w="1504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4113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Status of estimate</w:t>
            </w:r>
          </w:p>
        </w:tc>
      </w:tr>
      <w:tr w:rsidR="004B7E09" w:rsidRPr="008A265B" w:rsidTr="00161F54">
        <w:trPr>
          <w:cantSplit/>
        </w:trPr>
        <w:tc>
          <w:tcPr>
            <w:tcW w:w="3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Headcount ratio, 2015–16 (NFHS-4)</w:t>
            </w:r>
          </w:p>
        </w:tc>
        <w:tc>
          <w:tcPr>
            <w:tcW w:w="1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24.85%</w:t>
            </w:r>
          </w:p>
        </w:tc>
        <w:tc>
          <w:tcPr>
            <w:tcW w:w="41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Survey-based National MPI estimate</w:t>
            </w:r>
          </w:p>
        </w:tc>
      </w:tr>
      <w:tr w:rsidR="004B7E09" w:rsidRPr="008A265B" w:rsidTr="00161F54">
        <w:trPr>
          <w:cantSplit/>
        </w:trPr>
        <w:tc>
          <w:tcPr>
            <w:tcW w:w="3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Headcount ratio, 2019–21 (NFHS-5)</w:t>
            </w:r>
          </w:p>
        </w:tc>
        <w:tc>
          <w:tcPr>
            <w:tcW w:w="1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14.96%</w:t>
            </w:r>
          </w:p>
        </w:tc>
        <w:tc>
          <w:tcPr>
            <w:tcW w:w="41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Survey-based National MPI estimate</w:t>
            </w:r>
          </w:p>
        </w:tc>
      </w:tr>
      <w:tr w:rsidR="004B7E09" w:rsidRPr="008A265B" w:rsidTr="00161F54">
        <w:trPr>
          <w:cantSplit/>
        </w:trPr>
        <w:tc>
          <w:tcPr>
            <w:tcW w:w="3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Rural headcount ratio, 2015–16 / 2019–21</w:t>
            </w:r>
          </w:p>
        </w:tc>
        <w:tc>
          <w:tcPr>
            <w:tcW w:w="1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32.59% / 19.28%</w:t>
            </w:r>
          </w:p>
        </w:tc>
        <w:tc>
          <w:tcPr>
            <w:tcW w:w="41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Survey-based</w:t>
            </w:r>
          </w:p>
        </w:tc>
      </w:tr>
      <w:tr w:rsidR="004B7E09" w:rsidRPr="008A265B" w:rsidTr="00161F54">
        <w:trPr>
          <w:cantSplit/>
        </w:trPr>
        <w:tc>
          <w:tcPr>
            <w:tcW w:w="3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Urban headcount ratio, 2015–16 / 2019–21</w:t>
            </w:r>
          </w:p>
        </w:tc>
        <w:tc>
          <w:tcPr>
            <w:tcW w:w="1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8.65% / 5.27%</w:t>
            </w:r>
          </w:p>
        </w:tc>
        <w:tc>
          <w:tcPr>
            <w:tcW w:w="41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Survey-based</w:t>
            </w:r>
          </w:p>
        </w:tc>
      </w:tr>
      <w:tr w:rsidR="004B7E09" w:rsidRPr="008A265B" w:rsidTr="00161F54">
        <w:trPr>
          <w:cantSplit/>
        </w:trPr>
        <w:tc>
          <w:tcPr>
            <w:tcW w:w="3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Headcount ratio, 2022–23</w:t>
            </w:r>
          </w:p>
        </w:tc>
        <w:tc>
          <w:tcPr>
            <w:tcW w:w="1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11.28%</w:t>
            </w:r>
          </w:p>
        </w:tc>
        <w:tc>
          <w:tcPr>
            <w:tcW w:w="41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Projected estimate; not an NFHS observation</w:t>
            </w:r>
          </w:p>
        </w:tc>
      </w:tr>
      <w:tr w:rsidR="004B7E09" w:rsidRPr="008A265B" w:rsidTr="00161F54">
        <w:trPr>
          <w:cantSplit/>
        </w:trPr>
        <w:tc>
          <w:tcPr>
            <w:tcW w:w="3409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People exiting multidimensional poverty, 2013–14 to 2022–23</w:t>
            </w:r>
          </w:p>
        </w:tc>
        <w:tc>
          <w:tcPr>
            <w:tcW w:w="1504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24.82 crore</w:t>
            </w:r>
          </w:p>
        </w:tc>
        <w:tc>
          <w:tcPr>
            <w:tcW w:w="41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Derived from projected estimates</w:t>
            </w:r>
          </w:p>
        </w:tc>
      </w:tr>
    </w:tbl>
    <w:p w:rsidR="00B10D3E" w:rsidRDefault="00B10D3E"/>
    <w:p w:rsidR="004B7E09" w:rsidRDefault="004B7E09"/>
    <w:p w:rsidR="004B7E09" w:rsidRPr="008A265B" w:rsidRDefault="004B7E09" w:rsidP="004B7E09">
      <w:pPr>
        <w:keepNext/>
        <w:spacing w:before="240" w:after="80"/>
        <w:rPr>
          <w:b/>
        </w:rPr>
      </w:pPr>
      <w:r w:rsidRPr="008A265B">
        <w:rPr>
          <w:b/>
          <w:bCs/>
        </w:rPr>
        <w:t xml:space="preserve">Table 2 </w:t>
      </w:r>
      <w:r w:rsidRPr="008A265B">
        <w:rPr>
          <w:b/>
        </w:rPr>
        <w:t>Incidence–intensity decomposition of the change in India's National MPI, NFHS-4 to NFHS-5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7"/>
        <w:gridCol w:w="1303"/>
        <w:gridCol w:w="1303"/>
        <w:gridCol w:w="1504"/>
        <w:gridCol w:w="1303"/>
        <w:gridCol w:w="1006"/>
      </w:tblGrid>
      <w:tr w:rsidR="004B7E09" w:rsidRPr="008A265B" w:rsidTr="00161F54">
        <w:trPr>
          <w:tblHeader/>
        </w:trPr>
        <w:tc>
          <w:tcPr>
            <w:tcW w:w="2607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Component</w:t>
            </w:r>
          </w:p>
        </w:tc>
        <w:tc>
          <w:tcPr>
            <w:tcW w:w="1303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NFHS-4 (2015–16)</w:t>
            </w:r>
          </w:p>
        </w:tc>
        <w:tc>
          <w:tcPr>
            <w:tcW w:w="1303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NFHS-5 (2019–21)</w:t>
            </w:r>
          </w:p>
        </w:tc>
        <w:tc>
          <w:tcPr>
            <w:tcW w:w="1504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Proportional change (%)</w:t>
            </w:r>
          </w:p>
        </w:tc>
        <w:tc>
          <w:tcPr>
            <w:tcW w:w="1303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Log change</w:t>
            </w:r>
          </w:p>
        </w:tc>
        <w:tc>
          <w:tcPr>
            <w:tcW w:w="1006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Share of log change (%)</w:t>
            </w:r>
          </w:p>
        </w:tc>
      </w:tr>
      <w:tr w:rsidR="004B7E09" w:rsidRPr="008A265B" w:rsidTr="00161F54">
        <w:trPr>
          <w:cantSplit/>
        </w:trPr>
        <w:tc>
          <w:tcPr>
            <w:tcW w:w="2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Headcount ratio, H (%)</w:t>
            </w:r>
          </w:p>
        </w:tc>
        <w:tc>
          <w:tcPr>
            <w:tcW w:w="1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24.85</w:t>
            </w:r>
          </w:p>
        </w:tc>
        <w:tc>
          <w:tcPr>
            <w:tcW w:w="1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14.96</w:t>
            </w:r>
          </w:p>
        </w:tc>
        <w:tc>
          <w:tcPr>
            <w:tcW w:w="1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−39.8</w:t>
            </w:r>
          </w:p>
        </w:tc>
        <w:tc>
          <w:tcPr>
            <w:tcW w:w="1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−0.507</w:t>
            </w:r>
          </w:p>
        </w:tc>
        <w:tc>
          <w:tcPr>
            <w:tcW w:w="10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89.4</w:t>
            </w:r>
          </w:p>
        </w:tc>
      </w:tr>
      <w:tr w:rsidR="004B7E09" w:rsidRPr="008A265B" w:rsidTr="00161F54">
        <w:trPr>
          <w:cantSplit/>
        </w:trPr>
        <w:tc>
          <w:tcPr>
            <w:tcW w:w="2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Intensity, A (%)</w:t>
            </w:r>
          </w:p>
        </w:tc>
        <w:tc>
          <w:tcPr>
            <w:tcW w:w="1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47.14</w:t>
            </w:r>
          </w:p>
        </w:tc>
        <w:tc>
          <w:tcPr>
            <w:tcW w:w="1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44.39</w:t>
            </w:r>
          </w:p>
        </w:tc>
        <w:tc>
          <w:tcPr>
            <w:tcW w:w="15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−5.8</w:t>
            </w:r>
          </w:p>
        </w:tc>
        <w:tc>
          <w:tcPr>
            <w:tcW w:w="1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−0.060</w:t>
            </w:r>
          </w:p>
        </w:tc>
        <w:tc>
          <w:tcPr>
            <w:tcW w:w="10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10.6</w:t>
            </w:r>
          </w:p>
        </w:tc>
      </w:tr>
      <w:tr w:rsidR="004B7E09" w:rsidRPr="008A265B" w:rsidTr="00161F54">
        <w:trPr>
          <w:cantSplit/>
        </w:trPr>
        <w:tc>
          <w:tcPr>
            <w:tcW w:w="2607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MPI, M</w:t>
            </w:r>
            <w:r w:rsidRPr="008A265B">
              <w:rPr>
                <w:rFonts w:ascii="Cambria Math" w:hAnsi="Cambria Math" w:cs="Cambria Math"/>
                <w:sz w:val="20"/>
                <w:szCs w:val="20"/>
              </w:rPr>
              <w:t>₀</w:t>
            </w:r>
            <w:r w:rsidRPr="008A265B">
              <w:rPr>
                <w:sz w:val="20"/>
                <w:szCs w:val="20"/>
              </w:rPr>
              <w:t xml:space="preserve"> = H × A</w:t>
            </w:r>
          </w:p>
        </w:tc>
        <w:tc>
          <w:tcPr>
            <w:tcW w:w="130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0.117</w:t>
            </w:r>
          </w:p>
        </w:tc>
        <w:tc>
          <w:tcPr>
            <w:tcW w:w="130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0.066</w:t>
            </w:r>
          </w:p>
        </w:tc>
        <w:tc>
          <w:tcPr>
            <w:tcW w:w="1504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−43.3</w:t>
            </w:r>
          </w:p>
        </w:tc>
        <w:tc>
          <w:tcPr>
            <w:tcW w:w="130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−0.568</w:t>
            </w:r>
          </w:p>
        </w:tc>
        <w:tc>
          <w:tcPr>
            <w:tcW w:w="100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100.0</w:t>
            </w:r>
          </w:p>
        </w:tc>
      </w:tr>
    </w:tbl>
    <w:p w:rsidR="004B7E09" w:rsidRDefault="004B7E09"/>
    <w:p w:rsidR="004B7E09" w:rsidRDefault="004B7E09"/>
    <w:p w:rsidR="004B7E09" w:rsidRPr="008A265B" w:rsidRDefault="004B7E09" w:rsidP="004B7E09">
      <w:pPr>
        <w:keepNext/>
        <w:spacing w:before="240" w:after="80"/>
        <w:jc w:val="both"/>
      </w:pPr>
      <w:r w:rsidRPr="008A265B">
        <w:rPr>
          <w:b/>
          <w:bCs/>
        </w:rPr>
        <w:t xml:space="preserve">Table 3 </w:t>
      </w:r>
      <w:r w:rsidRPr="008A265B">
        <w:rPr>
          <w:b/>
        </w:rPr>
        <w:t>Dimensions, indicators, weights and deprivation criteria in India's National MPI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3"/>
        <w:gridCol w:w="1755"/>
        <w:gridCol w:w="802"/>
        <w:gridCol w:w="2908"/>
        <w:gridCol w:w="2208"/>
      </w:tblGrid>
      <w:tr w:rsidR="004B7E09" w:rsidRPr="008A265B" w:rsidTr="00161F54">
        <w:trPr>
          <w:tblHeader/>
        </w:trPr>
        <w:tc>
          <w:tcPr>
            <w:tcW w:w="1353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Dimension</w:t>
            </w:r>
          </w:p>
        </w:tc>
        <w:tc>
          <w:tcPr>
            <w:tcW w:w="1755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802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Weight</w:t>
            </w:r>
          </w:p>
        </w:tc>
        <w:tc>
          <w:tcPr>
            <w:tcW w:w="2908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Deprived if (summary)</w:t>
            </w:r>
          </w:p>
        </w:tc>
        <w:tc>
          <w:tcPr>
            <w:tcW w:w="2208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Interpretation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Health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Nutrition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1/6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Any eligible child or adult household member is undernourished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Human-capital and health deprivation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Health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Child and adolescent mortality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1/12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A child or adolescent under 18 died in the household within the reference period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Severe health and survival loss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Health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Maternal health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1/12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Insufficient antenatal care and/or no skilled assistance at the most recent birth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Maternal service-access deprivation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Education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Years of schooling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1/6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No household member aged 10 or older has completed six years of schooling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Accumulated educational capability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Education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School attendance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1/6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Any school-age child is not attending school up to the specified grade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Current educational exclusion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lastRenderedPageBreak/>
              <w:t>Standard of living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Cooking fuel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Household cooks mainly with dung, agricultural crops, shrubs, wood, charcoal or coal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Energy, health and environmental deprivation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Standard of living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Sanitation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Unimproved or no sanitation facility, or an improved facility shared with other households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Sanitation and disease risk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Standard of living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Drinking water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No improved drinking-water source within the specified round-trip distance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Basic service and health vulnerability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Standard of living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Electricity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Household has no electricity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Infrastructure constraint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Standard of living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Housing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Floor, roof or walls made of natural or rudimentary materials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Physical living environment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Standard of living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Assets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Insufficient ownership of specified information, mobility and livelihood assets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Material and economic capacity</w:t>
            </w:r>
          </w:p>
        </w:tc>
      </w:tr>
      <w:tr w:rsidR="004B7E09" w:rsidRPr="008A265B" w:rsidTr="00161F54">
        <w:trPr>
          <w:cantSplit/>
        </w:trPr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Standard of living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Bank account</w:t>
            </w:r>
          </w:p>
        </w:tc>
        <w:tc>
          <w:tcPr>
            <w:tcW w:w="802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290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No household member has a bank or post-office account</w:t>
            </w:r>
          </w:p>
        </w:tc>
        <w:tc>
          <w:tcPr>
            <w:tcW w:w="220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Formal financial inclusion</w:t>
            </w:r>
          </w:p>
        </w:tc>
      </w:tr>
    </w:tbl>
    <w:p w:rsidR="004B7E09" w:rsidRDefault="004B7E09"/>
    <w:p w:rsidR="004B7E09" w:rsidRDefault="004B7E09"/>
    <w:p w:rsidR="004B7E09" w:rsidRPr="008A265B" w:rsidRDefault="004B7E09" w:rsidP="004B7E09">
      <w:pPr>
        <w:keepNext/>
        <w:spacing w:before="240" w:after="80"/>
        <w:rPr>
          <w:b/>
        </w:rPr>
      </w:pPr>
      <w:r w:rsidRPr="008A265B">
        <w:rPr>
          <w:b/>
          <w:bCs/>
        </w:rPr>
        <w:t xml:space="preserve">Table 4 </w:t>
      </w:r>
      <w:r w:rsidRPr="008A265B">
        <w:rPr>
          <w:b/>
        </w:rPr>
        <w:t>Indicator-level deprivation, contribution and overlap in India's National MPI, NFHS-5 (2019–21)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7"/>
        <w:gridCol w:w="1353"/>
        <w:gridCol w:w="1353"/>
        <w:gridCol w:w="902"/>
        <w:gridCol w:w="1454"/>
        <w:gridCol w:w="1457"/>
      </w:tblGrid>
      <w:tr w:rsidR="004B7E09" w:rsidRPr="008A265B" w:rsidTr="00161F54">
        <w:trPr>
          <w:tblHeader/>
        </w:trPr>
        <w:tc>
          <w:tcPr>
            <w:tcW w:w="2507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1353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Uncensored headcount (%)</w:t>
            </w:r>
          </w:p>
        </w:tc>
        <w:tc>
          <w:tcPr>
            <w:tcW w:w="1353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Censored headcount (%)</w:t>
            </w:r>
          </w:p>
        </w:tc>
        <w:tc>
          <w:tcPr>
            <w:tcW w:w="902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Weight</w:t>
            </w:r>
          </w:p>
        </w:tc>
        <w:tc>
          <w:tcPr>
            <w:tcW w:w="1454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Contribution to MPI (%)</w:t>
            </w:r>
          </w:p>
        </w:tc>
        <w:tc>
          <w:tcPr>
            <w:tcW w:w="1457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Overlap ratio (%)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Nutrition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31.52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11.90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1/6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29.86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37.8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Child and adolescent mortality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2.06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1.18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1/12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1.48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57.3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Maternal health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19.17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9.35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1/12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11.73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48.8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Years of schooling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5.27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3.63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1/6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9.10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68.9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School attendance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11.40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6.63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1/6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16.65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58.2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Cooking fuel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43.90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12.30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8.82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28.0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Sanitation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30.13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9.25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6.63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30.7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Drinking water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7.32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2.23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1.60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30.5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Electricity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3.27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1.84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1.32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56.3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Housing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41.37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12.07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8.65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29.2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Assets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10.16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4.72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3.39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46.5</w:t>
            </w:r>
          </w:p>
        </w:tc>
      </w:tr>
      <w:tr w:rsidR="004B7E09" w:rsidRPr="008A265B" w:rsidTr="00161F54">
        <w:trPr>
          <w:cantSplit/>
        </w:trPr>
        <w:tc>
          <w:tcPr>
            <w:tcW w:w="2507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Bank account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3.69</w:t>
            </w:r>
          </w:p>
        </w:tc>
        <w:tc>
          <w:tcPr>
            <w:tcW w:w="135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1.09</w:t>
            </w:r>
          </w:p>
        </w:tc>
        <w:tc>
          <w:tcPr>
            <w:tcW w:w="902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1/21</w:t>
            </w: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0.78</w:t>
            </w:r>
          </w:p>
        </w:tc>
        <w:tc>
          <w:tcPr>
            <w:tcW w:w="1457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29.5</w:t>
            </w:r>
          </w:p>
        </w:tc>
      </w:tr>
    </w:tbl>
    <w:p w:rsidR="004B7E09" w:rsidRDefault="004B7E09"/>
    <w:p w:rsidR="004B7E09" w:rsidRDefault="004B7E09"/>
    <w:p w:rsidR="004B7E09" w:rsidRPr="008A265B" w:rsidRDefault="004B7E09" w:rsidP="004B7E09">
      <w:pPr>
        <w:keepNext/>
        <w:spacing w:before="240" w:after="80"/>
        <w:rPr>
          <w:b/>
        </w:rPr>
      </w:pPr>
      <w:r w:rsidRPr="008A265B">
        <w:rPr>
          <w:b/>
          <w:bCs/>
        </w:rPr>
        <w:lastRenderedPageBreak/>
        <w:t xml:space="preserve">Table 5 </w:t>
      </w:r>
      <w:r w:rsidRPr="008A265B">
        <w:rPr>
          <w:b/>
        </w:rPr>
        <w:t>Change in uncensored deprivation across the twelve National MPI indicators, NFHS-4 to NFHS-5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1554"/>
        <w:gridCol w:w="1554"/>
        <w:gridCol w:w="1604"/>
        <w:gridCol w:w="1607"/>
      </w:tblGrid>
      <w:tr w:rsidR="004B7E09" w:rsidRPr="008A265B" w:rsidTr="00161F54">
        <w:trPr>
          <w:tblHeader/>
        </w:trPr>
        <w:tc>
          <w:tcPr>
            <w:tcW w:w="2707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1554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NFHS-4, 2015–16 (%)</w:t>
            </w:r>
          </w:p>
        </w:tc>
        <w:tc>
          <w:tcPr>
            <w:tcW w:w="1554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NFHS-5, 2019–21 (%)</w:t>
            </w:r>
          </w:p>
        </w:tc>
        <w:tc>
          <w:tcPr>
            <w:tcW w:w="1604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Absolute change (pp)</w:t>
            </w:r>
          </w:p>
        </w:tc>
        <w:tc>
          <w:tcPr>
            <w:tcW w:w="1607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b/>
                <w:bCs/>
                <w:sz w:val="20"/>
                <w:szCs w:val="20"/>
              </w:rPr>
              <w:t>Proportional change (%)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Nutrition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37.60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31.52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−6.08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−16.2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Child and adolescent mortality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2.69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2.06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−0.63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−23.4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Maternal health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22.58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19.17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−3.41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−15.1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Years of schooling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6.40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5.27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−1.13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−17.7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School attendance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13.86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11.40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−2.46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−17.7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Cooking fuel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58.47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43.90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−14.57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−24.9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Sanitation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51.88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30.13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−21.75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−41.9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Drinking water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10.92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7.32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−3.60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−33.0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Electricity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12.16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3.27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−8.89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−73.1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Housing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45.65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41.37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−4.28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−9.4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Assets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13.97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10.16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−3.81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−27.3</w:t>
            </w:r>
          </w:p>
        </w:tc>
      </w:tr>
      <w:tr w:rsidR="004B7E09" w:rsidRPr="008A265B" w:rsidTr="00161F54">
        <w:trPr>
          <w:cantSplit/>
        </w:trPr>
        <w:tc>
          <w:tcPr>
            <w:tcW w:w="2707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Bank account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9.66</w:t>
            </w:r>
          </w:p>
        </w:tc>
        <w:tc>
          <w:tcPr>
            <w:tcW w:w="1554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3.69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−5.97</w:t>
            </w:r>
          </w:p>
        </w:tc>
        <w:tc>
          <w:tcPr>
            <w:tcW w:w="1607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Pr>
              <w:jc w:val="center"/>
            </w:pPr>
            <w:r w:rsidRPr="008A265B">
              <w:rPr>
                <w:sz w:val="20"/>
                <w:szCs w:val="20"/>
              </w:rPr>
              <w:t>−61.8</w:t>
            </w:r>
          </w:p>
        </w:tc>
      </w:tr>
    </w:tbl>
    <w:p w:rsidR="004B7E09" w:rsidRDefault="004B7E09"/>
    <w:p w:rsidR="004B7E09" w:rsidRDefault="004B7E09"/>
    <w:p w:rsidR="004B7E09" w:rsidRPr="008A265B" w:rsidRDefault="004B7E09" w:rsidP="004B7E09">
      <w:pPr>
        <w:keepNext/>
        <w:spacing w:before="240" w:after="80"/>
        <w:jc w:val="both"/>
      </w:pPr>
      <w:r w:rsidRPr="008A265B">
        <w:rPr>
          <w:b/>
          <w:bCs/>
        </w:rPr>
        <w:t xml:space="preserve">Table 6 </w:t>
      </w:r>
      <w:r w:rsidRPr="008A265B">
        <w:rPr>
          <w:b/>
        </w:rPr>
        <w:t>Synthesis of evidence on the composition and drivers of residual multidimensional poverty in India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4"/>
        <w:gridCol w:w="3510"/>
        <w:gridCol w:w="2406"/>
        <w:gridCol w:w="1406"/>
      </w:tblGrid>
      <w:tr w:rsidR="004B7E09" w:rsidRPr="008A265B" w:rsidTr="00161F54">
        <w:trPr>
          <w:tblHeader/>
        </w:trPr>
        <w:tc>
          <w:tcPr>
            <w:tcW w:w="1704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Analytical dimension</w:t>
            </w:r>
          </w:p>
        </w:tc>
        <w:tc>
          <w:tcPr>
            <w:tcW w:w="351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Evidence synthesized</w:t>
            </w:r>
          </w:p>
        </w:tc>
        <w:tc>
          <w:tcPr>
            <w:tcW w:w="2406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Interpretive implication</w:t>
            </w:r>
          </w:p>
        </w:tc>
        <w:tc>
          <w:tcPr>
            <w:tcW w:w="1406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Key sources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Children</w:t>
            </w:r>
          </w:p>
        </w:tc>
        <w:tc>
          <w:tcPr>
            <w:tcW w:w="35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Child multidimensional poverty declined from about 38% (NFHS-4) to 27% (NFHS-5); nutrition and living standards remain major contributors</w:t>
            </w:r>
          </w:p>
        </w:tc>
        <w:tc>
          <w:tcPr>
            <w:tcW w:w="2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Nutrition and living-standard deficits remain central to residual child poverty</w:t>
            </w:r>
          </w:p>
        </w:tc>
        <w:tc>
          <w:tcPr>
            <w:tcW w:w="1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Pradhan &amp; Pradhan (2023); J. Pradhan et al. (2022)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Caste and social group</w:t>
            </w:r>
          </w:p>
        </w:tc>
        <w:tc>
          <w:tcPr>
            <w:tcW w:w="35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Scheduled Caste and Scheduled Tribe populations bear a disproportionate burden; SC, ST and OBC children have higher adjusted odds of multidimensional poverty than the reference group</w:t>
            </w:r>
          </w:p>
        </w:tc>
        <w:tc>
          <w:tcPr>
            <w:tcW w:w="2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Aggregate progress can coexist with persistent group-level disadvantage</w:t>
            </w:r>
          </w:p>
        </w:tc>
        <w:tc>
          <w:tcPr>
            <w:tcW w:w="1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 xml:space="preserve">I. Pradhan et al. (2022); J. Pradhan et al. (2022); Singh &amp; </w:t>
            </w:r>
            <w:proofErr w:type="spellStart"/>
            <w:r w:rsidRPr="008A265B">
              <w:rPr>
                <w:sz w:val="20"/>
                <w:szCs w:val="20"/>
              </w:rPr>
              <w:t>Nayak</w:t>
            </w:r>
            <w:proofErr w:type="spellEnd"/>
            <w:r w:rsidRPr="008A265B">
              <w:rPr>
                <w:sz w:val="20"/>
                <w:szCs w:val="20"/>
              </w:rPr>
              <w:t xml:space="preserve"> (2026)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Disability</w:t>
            </w:r>
          </w:p>
        </w:tc>
        <w:tc>
          <w:tcPr>
            <w:tcW w:w="35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Multidimensional poverty is more prevalent among people with disabilities</w:t>
            </w:r>
          </w:p>
        </w:tc>
        <w:tc>
          <w:tcPr>
            <w:tcW w:w="2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Household-level measures may conceal individual deprivation</w:t>
            </w:r>
          </w:p>
        </w:tc>
        <w:tc>
          <w:tcPr>
            <w:tcW w:w="1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Pinilla-</w:t>
            </w:r>
            <w:proofErr w:type="spellStart"/>
            <w:r w:rsidRPr="008A265B">
              <w:rPr>
                <w:sz w:val="20"/>
                <w:szCs w:val="20"/>
              </w:rPr>
              <w:t>Roncancio</w:t>
            </w:r>
            <w:proofErr w:type="spellEnd"/>
            <w:r w:rsidRPr="008A265B">
              <w:rPr>
                <w:sz w:val="20"/>
                <w:szCs w:val="20"/>
              </w:rPr>
              <w:t xml:space="preserve"> et al. (2020)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Rural livelihoods</w:t>
            </w:r>
          </w:p>
        </w:tc>
        <w:tc>
          <w:tcPr>
            <w:tcW w:w="35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Multidimensional poverty varies with the composition of household livelihoods in rural Bihar</w:t>
            </w:r>
          </w:p>
        </w:tc>
        <w:tc>
          <w:tcPr>
            <w:tcW w:w="2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Diversification should be assessed with skills, assets and service access</w:t>
            </w:r>
          </w:p>
        </w:tc>
        <w:tc>
          <w:tcPr>
            <w:tcW w:w="1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roofErr w:type="spellStart"/>
            <w:r w:rsidRPr="008A265B">
              <w:rPr>
                <w:sz w:val="20"/>
                <w:szCs w:val="20"/>
              </w:rPr>
              <w:t>Onyeyirichi</w:t>
            </w:r>
            <w:proofErr w:type="spellEnd"/>
            <w:r w:rsidRPr="008A265B">
              <w:rPr>
                <w:sz w:val="20"/>
                <w:szCs w:val="20"/>
              </w:rPr>
              <w:t xml:space="preserve"> &amp; </w:t>
            </w:r>
            <w:proofErr w:type="spellStart"/>
            <w:r w:rsidRPr="008A265B">
              <w:rPr>
                <w:sz w:val="20"/>
                <w:szCs w:val="20"/>
              </w:rPr>
              <w:t>Deepika</w:t>
            </w:r>
            <w:proofErr w:type="spellEnd"/>
            <w:r w:rsidRPr="008A265B">
              <w:rPr>
                <w:sz w:val="20"/>
                <w:szCs w:val="20"/>
              </w:rPr>
              <w:t xml:space="preserve"> (2025)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Governance</w:t>
            </w:r>
          </w:p>
        </w:tc>
        <w:tc>
          <w:tcPr>
            <w:tcW w:w="35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Stronger State and local governance is associated with lower multidimensional poverty</w:t>
            </w:r>
          </w:p>
        </w:tc>
        <w:tc>
          <w:tcPr>
            <w:tcW w:w="2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Implementation capacity conditions conversion of coverage into outcomes</w:t>
            </w:r>
          </w:p>
        </w:tc>
        <w:tc>
          <w:tcPr>
            <w:tcW w:w="1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 xml:space="preserve">Roy (2025); </w:t>
            </w:r>
            <w:proofErr w:type="spellStart"/>
            <w:r w:rsidRPr="008A265B">
              <w:rPr>
                <w:sz w:val="20"/>
                <w:szCs w:val="20"/>
              </w:rPr>
              <w:t>Ogbonna</w:t>
            </w:r>
            <w:proofErr w:type="spellEnd"/>
            <w:r w:rsidRPr="008A265B">
              <w:rPr>
                <w:sz w:val="20"/>
                <w:szCs w:val="20"/>
              </w:rPr>
              <w:t xml:space="preserve"> et al. (2025)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Climate exposure</w:t>
            </w:r>
          </w:p>
        </w:tc>
        <w:tc>
          <w:tcPr>
            <w:tcW w:w="35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District-level spatial overlap between climatic exposure and multidimensional poverty</w:t>
            </w:r>
          </w:p>
        </w:tc>
        <w:tc>
          <w:tcPr>
            <w:tcW w:w="2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Resilience should complement conventional poverty reduction</w:t>
            </w:r>
          </w:p>
        </w:tc>
        <w:tc>
          <w:tcPr>
            <w:tcW w:w="1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Singh et al. (2025)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lastRenderedPageBreak/>
              <w:t>Spatial inequality</w:t>
            </w:r>
          </w:p>
        </w:tc>
        <w:tc>
          <w:tcPr>
            <w:tcW w:w="351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District concentrations in parts of Uttar Pradesh, Bihar, Jharkhand, Chhattisgarh, Odisha and Assam</w:t>
            </w:r>
          </w:p>
        </w:tc>
        <w:tc>
          <w:tcPr>
            <w:tcW w:w="240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District-level diagnosis can improve targeting precision</w:t>
            </w:r>
          </w:p>
        </w:tc>
        <w:tc>
          <w:tcPr>
            <w:tcW w:w="140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proofErr w:type="spellStart"/>
            <w:r w:rsidRPr="008A265B">
              <w:rPr>
                <w:sz w:val="20"/>
                <w:szCs w:val="20"/>
              </w:rPr>
              <w:t>Midya</w:t>
            </w:r>
            <w:proofErr w:type="spellEnd"/>
            <w:r w:rsidRPr="008A265B">
              <w:rPr>
                <w:sz w:val="20"/>
                <w:szCs w:val="20"/>
              </w:rPr>
              <w:t xml:space="preserve"> &amp; Roy (2026)</w:t>
            </w:r>
          </w:p>
        </w:tc>
      </w:tr>
    </w:tbl>
    <w:p w:rsidR="004B7E09" w:rsidRDefault="004B7E09"/>
    <w:p w:rsidR="004B7E09" w:rsidRDefault="004B7E09"/>
    <w:p w:rsidR="004B7E09" w:rsidRPr="008A265B" w:rsidRDefault="004B7E09" w:rsidP="004B7E09">
      <w:pPr>
        <w:keepNext/>
        <w:spacing w:before="240" w:after="80"/>
        <w:jc w:val="both"/>
      </w:pPr>
      <w:r w:rsidRPr="008A265B">
        <w:rPr>
          <w:b/>
          <w:bCs/>
        </w:rPr>
        <w:t xml:space="preserve">Table 7 </w:t>
      </w:r>
      <w:r w:rsidRPr="008A265B">
        <w:rPr>
          <w:b/>
        </w:rPr>
        <w:t>Policy-linked benchmarks and analytical priorities for reducing residual multidimensional poverty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4"/>
        <w:gridCol w:w="3710"/>
        <w:gridCol w:w="3612"/>
      </w:tblGrid>
      <w:tr w:rsidR="004B7E09" w:rsidRPr="008A265B" w:rsidTr="00161F54">
        <w:trPr>
          <w:tblHeader/>
        </w:trPr>
        <w:tc>
          <w:tcPr>
            <w:tcW w:w="1704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Policy area</w:t>
            </w:r>
          </w:p>
        </w:tc>
        <w:tc>
          <w:tcPr>
            <w:tcW w:w="371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Evidence or benchmark</w:t>
            </w:r>
          </w:p>
        </w:tc>
        <w:tc>
          <w:tcPr>
            <w:tcW w:w="3612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b/>
                <w:bCs/>
                <w:sz w:val="20"/>
                <w:szCs w:val="20"/>
              </w:rPr>
              <w:t>Analytical and policy priority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Basic services</w:t>
            </w:r>
          </w:p>
        </w:tc>
        <w:tc>
          <w:tcPr>
            <w:tcW w:w="37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 xml:space="preserve">95.4% of households lived in </w:t>
            </w:r>
            <w:proofErr w:type="spellStart"/>
            <w:r w:rsidRPr="008A265B">
              <w:rPr>
                <w:sz w:val="20"/>
                <w:szCs w:val="20"/>
              </w:rPr>
              <w:t>pucca</w:t>
            </w:r>
            <w:proofErr w:type="spellEnd"/>
            <w:r w:rsidRPr="008A265B">
              <w:rPr>
                <w:sz w:val="20"/>
                <w:szCs w:val="20"/>
              </w:rPr>
              <w:t xml:space="preserve"> or semi-</w:t>
            </w:r>
            <w:proofErr w:type="spellStart"/>
            <w:r w:rsidRPr="008A265B">
              <w:rPr>
                <w:sz w:val="20"/>
                <w:szCs w:val="20"/>
              </w:rPr>
              <w:t>pucca</w:t>
            </w:r>
            <w:proofErr w:type="spellEnd"/>
            <w:r w:rsidRPr="008A265B">
              <w:rPr>
                <w:sz w:val="20"/>
                <w:szCs w:val="20"/>
              </w:rPr>
              <w:t xml:space="preserve"> houses in NFHS-5 housing deprivation nonetheless remained the slowest-moving indicator (−9.4%)</w:t>
            </w:r>
          </w:p>
        </w:tc>
        <w:tc>
          <w:tcPr>
            <w:tcW w:w="36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Shift from nominal access to quality, durability and effective use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Health protection</w:t>
            </w:r>
          </w:p>
        </w:tc>
        <w:tc>
          <w:tcPr>
            <w:tcW w:w="37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41% of households had at least one member covered by a health insurance or financing scheme in NFHS-5 (IIPS &amp; ICF, 2021)</w:t>
            </w:r>
          </w:p>
        </w:tc>
        <w:tc>
          <w:tcPr>
            <w:tcW w:w="36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Assess effective coverage, affordability and financial protection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Rural employment (MGNREGA)</w:t>
            </w:r>
          </w:p>
        </w:tc>
        <w:tc>
          <w:tcPr>
            <w:tcW w:w="37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 xml:space="preserve">99.7% of persons demanding employment were offered work in 2023–24 </w:t>
            </w:r>
          </w:p>
        </w:tc>
        <w:tc>
          <w:tcPr>
            <w:tcW w:w="36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Examine adequacy of days worked, earnings and resilience rather than coverage alone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Education and nutrition</w:t>
            </w:r>
          </w:p>
        </w:tc>
        <w:tc>
          <w:tcPr>
            <w:tcW w:w="37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Nutrition, school attendance and maternal health account for 58.2% of the NFHS-5 MPI (Table 4)</w:t>
            </w:r>
          </w:p>
        </w:tc>
        <w:tc>
          <w:tcPr>
            <w:tcW w:w="36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 xml:space="preserve">Integrate nutrition, schooling and maternal care in convergent </w:t>
            </w:r>
            <w:proofErr w:type="spellStart"/>
            <w:r w:rsidRPr="008A265B">
              <w:rPr>
                <w:sz w:val="20"/>
                <w:szCs w:val="20"/>
              </w:rPr>
              <w:t>programmes</w:t>
            </w:r>
            <w:proofErr w:type="spellEnd"/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Targeting</w:t>
            </w:r>
          </w:p>
        </w:tc>
        <w:tc>
          <w:tcPr>
            <w:tcW w:w="37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Overlap ratios exceed 55% for years of schooling, school attendance, child mortality and electricity, but are below 31% for cooking fuel, housing, sanitation, water and bank accounts (Table 4)</w:t>
            </w:r>
          </w:p>
        </w:tc>
        <w:tc>
          <w:tcPr>
            <w:tcW w:w="36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Use high-overlap indicators for targeting; treat low-overlap deficits through universal service improvement</w:t>
            </w:r>
          </w:p>
        </w:tc>
      </w:tr>
      <w:tr w:rsidR="004B7E09" w:rsidRPr="008A265B" w:rsidTr="00161F54">
        <w:trPr>
          <w:cantSplit/>
        </w:trPr>
        <w:tc>
          <w:tcPr>
            <w:tcW w:w="1704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bookmarkStart w:id="0" w:name="_GoBack" w:colFirst="0" w:colLast="0"/>
            <w:r w:rsidRPr="008A265B">
              <w:rPr>
                <w:sz w:val="20"/>
                <w:szCs w:val="20"/>
              </w:rPr>
              <w:t>Governance</w:t>
            </w:r>
          </w:p>
        </w:tc>
        <w:tc>
          <w:tcPr>
            <w:tcW w:w="371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 xml:space="preserve">Governance quality and local institutional effectiveness are associated with lower multidimensional poverty (Roy, 2025; </w:t>
            </w:r>
            <w:proofErr w:type="spellStart"/>
            <w:r w:rsidRPr="008A265B">
              <w:rPr>
                <w:sz w:val="20"/>
                <w:szCs w:val="20"/>
              </w:rPr>
              <w:t>Ogbonna</w:t>
            </w:r>
            <w:proofErr w:type="spellEnd"/>
            <w:r w:rsidRPr="008A265B">
              <w:rPr>
                <w:sz w:val="20"/>
                <w:szCs w:val="20"/>
              </w:rPr>
              <w:t xml:space="preserve"> et al., 2025)</w:t>
            </w:r>
          </w:p>
        </w:tc>
        <w:tc>
          <w:tcPr>
            <w:tcW w:w="3612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B7E09" w:rsidRPr="008A265B" w:rsidRDefault="004B7E09" w:rsidP="00161F54">
            <w:r w:rsidRPr="008A265B">
              <w:rPr>
                <w:sz w:val="20"/>
                <w:szCs w:val="20"/>
              </w:rPr>
              <w:t>Strengthen implementation capacity and accountability in high-burden States</w:t>
            </w:r>
          </w:p>
        </w:tc>
      </w:tr>
      <w:bookmarkEnd w:id="0"/>
    </w:tbl>
    <w:p w:rsidR="004B7E09" w:rsidRDefault="004B7E09"/>
    <w:sectPr w:rsidR="004B7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728"/>
    <w:rsid w:val="00244728"/>
    <w:rsid w:val="004B7E09"/>
    <w:rsid w:val="00B1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7677B"/>
  <w15:chartTrackingRefBased/>
  <w15:docId w15:val="{96FCEBDF-AD58-44D9-9F65-E2E3F9E47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1111</Words>
  <Characters>6336</Characters>
  <Application>Microsoft Office Word</Application>
  <DocSecurity>0</DocSecurity>
  <Lines>52</Lines>
  <Paragraphs>14</Paragraphs>
  <ScaleCrop>false</ScaleCrop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2026-10-09T09:39:00Z</dcterms:created>
  <dcterms:modified xsi:type="dcterms:W3CDTF">2026-10-09T09:43:00Z</dcterms:modified>
</cp:coreProperties>
</file>