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6AE" w:rsidRPr="008A265B" w:rsidRDefault="00BA46AE" w:rsidP="00BA46AE">
      <w:pPr>
        <w:rPr>
          <w:b/>
        </w:rPr>
      </w:pPr>
      <w:r w:rsidRPr="008A265B">
        <w:rPr>
          <w:b/>
        </w:rPr>
        <w:t>Appendix</w:t>
      </w:r>
    </w:p>
    <w:p w:rsidR="00BA46AE" w:rsidRPr="008A265B" w:rsidRDefault="00BA46AE" w:rsidP="00BA46AE">
      <w:pPr>
        <w:pStyle w:val="Heading3"/>
      </w:pPr>
    </w:p>
    <w:p w:rsidR="00BA46AE" w:rsidRPr="008A265B" w:rsidRDefault="00BA46AE" w:rsidP="00BA46AE">
      <w:pPr>
        <w:pStyle w:val="Heading3"/>
        <w:rPr>
          <w:b/>
          <w:i w:val="0"/>
        </w:rPr>
      </w:pPr>
      <w:r w:rsidRPr="008A265B">
        <w:rPr>
          <w:b/>
          <w:i w:val="0"/>
        </w:rPr>
        <w:t>Table A. Comparison of Unweighted and Population-Weighted Convergence Models (</w:t>
      </w:r>
      <w:r w:rsidRPr="008A265B">
        <w:rPr>
          <w:rStyle w:val="math-inline"/>
          <w:b/>
          <w:i w:val="0"/>
        </w:rPr>
        <w:t>$\beta$</w:t>
      </w:r>
      <w:r w:rsidRPr="008A265B">
        <w:rPr>
          <w:b/>
          <w:i w:val="0"/>
        </w:rPr>
        <w:t>-Convergence)</w:t>
      </w:r>
    </w:p>
    <w:p w:rsidR="00BA46AE" w:rsidRPr="008A265B" w:rsidRDefault="00BA46AE" w:rsidP="00BA46AE">
      <w:pPr>
        <w:pStyle w:val="Heading3"/>
        <w:rPr>
          <w:b/>
          <w:i w:val="0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171"/>
        <w:gridCol w:w="2185"/>
        <w:gridCol w:w="2535"/>
        <w:gridCol w:w="2135"/>
      </w:tblGrid>
      <w:tr w:rsidR="00BA46AE" w:rsidRPr="008A265B" w:rsidTr="00A325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pPr>
              <w:pStyle w:val="Heading3"/>
              <w:outlineLvl w:val="2"/>
              <w:rPr>
                <w:i w:val="0"/>
              </w:rPr>
            </w:pPr>
          </w:p>
          <w:p w:rsidR="00BA46AE" w:rsidRPr="008A265B" w:rsidRDefault="00BA46AE" w:rsidP="00A32568">
            <w:r w:rsidRPr="008A265B">
              <w:rPr>
                <w:rStyle w:val="Strong"/>
              </w:rPr>
              <w:t>Specification / Variable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rPr>
                <w:rStyle w:val="Strong"/>
              </w:rPr>
              <w:t>Unweighted OLS (ln(MPI2015​))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rPr>
                <w:rStyle w:val="Strong"/>
              </w:rPr>
              <w:t>Population-Weighted WLS (ln(MPI2015​))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rPr>
                <w:rStyle w:val="Strong"/>
              </w:rPr>
              <w:t>Difference / Impact</w:t>
            </w:r>
          </w:p>
        </w:tc>
      </w:tr>
      <w:tr w:rsidR="00BA46AE" w:rsidRPr="008A265B" w:rsidTr="00A32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Speed of Convergence (</w:t>
            </w:r>
            <w:r w:rsidRPr="008A265B">
              <w:rPr>
                <w:rStyle w:val="math-inline"/>
                <w:b w:val="0"/>
                <w:bCs w:val="0"/>
              </w:rPr>
              <w:t>$\beta$</w:t>
            </w:r>
            <w:r w:rsidRPr="008A265B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t>**-0.063*** ** (0.008)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t>**-0.059*** ** (0.009)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t>Marginal attenuation (-0.004)</w:t>
            </w:r>
          </w:p>
        </w:tc>
      </w:tr>
      <w:tr w:rsidR="00BA46AE" w:rsidRPr="008A265B" w:rsidTr="00A325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Half-Life (</w:t>
            </w:r>
            <w:r w:rsidRPr="008A265B">
              <w:rPr>
                <w:rStyle w:val="math-inline"/>
                <w:b w:val="0"/>
                <w:bCs w:val="0"/>
              </w:rPr>
              <w:t>$T_{1/2}$</w:t>
            </w:r>
            <w:r w:rsidRPr="008A265B">
              <w:rPr>
                <w:b w:val="0"/>
                <w:bCs w:val="0"/>
              </w:rPr>
              <w:t xml:space="preserve"> in years)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rPr>
                <w:bCs/>
              </w:rPr>
              <w:t>11.00 years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rPr>
                <w:bCs/>
              </w:rPr>
              <w:t>11.75 years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+0.75 years difference</w:t>
            </w:r>
          </w:p>
        </w:tc>
      </w:tr>
      <w:tr w:rsidR="00BA46AE" w:rsidRPr="008A265B" w:rsidTr="00A32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Implied Annual Catch-up Rate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rPr>
                <w:bCs/>
              </w:rPr>
              <w:t>6.30%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rPr>
                <w:bCs/>
              </w:rPr>
              <w:t>5.90%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t>Robust within &lt; 0.5% margin</w:t>
            </w:r>
          </w:p>
        </w:tc>
      </w:tr>
      <w:tr w:rsidR="00BA46AE" w:rsidRPr="008A265B" w:rsidTr="00A325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Constant (</w:t>
            </w:r>
            <w:r w:rsidRPr="008A265B">
              <w:rPr>
                <w:rStyle w:val="math-inline"/>
                <w:b w:val="0"/>
                <w:bCs w:val="0"/>
              </w:rPr>
              <w:t>$\alpha$</w:t>
            </w:r>
            <w:r w:rsidRPr="008A265B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-0.182*** (0.021)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-0.175*** (0.024)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Stable baseline intercept</w:t>
            </w:r>
          </w:p>
        </w:tc>
      </w:tr>
      <w:tr w:rsidR="00BA46AE" w:rsidRPr="008A265B" w:rsidTr="00A325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Model Fit (</w:t>
            </w:r>
            <w:r w:rsidRPr="008A265B">
              <w:rPr>
                <w:rStyle w:val="math-inline"/>
                <w:b w:val="0"/>
                <w:bCs w:val="0"/>
              </w:rPr>
              <w:t>$R^2$</w:t>
            </w:r>
            <w:r w:rsidRPr="008A265B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rPr>
                <w:bCs/>
              </w:rPr>
              <w:t>0.842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rPr>
                <w:bCs/>
              </w:rPr>
              <w:t>0.816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265B">
              <w:t>Strong explanatory power in both</w:t>
            </w:r>
          </w:p>
        </w:tc>
      </w:tr>
      <w:tr w:rsidR="00BA46AE" w:rsidRPr="008A265B" w:rsidTr="00A325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A46AE" w:rsidRPr="008A265B" w:rsidRDefault="00BA46AE" w:rsidP="00A32568">
            <w:r w:rsidRPr="008A265B">
              <w:rPr>
                <w:b w:val="0"/>
                <w:bCs w:val="0"/>
              </w:rPr>
              <w:t>Observations (</w:t>
            </w:r>
            <w:r w:rsidRPr="008A265B">
              <w:rPr>
                <w:rStyle w:val="math-inline"/>
                <w:b w:val="0"/>
                <w:bCs w:val="0"/>
              </w:rPr>
              <w:t>$N$</w:t>
            </w:r>
            <w:r w:rsidRPr="008A265B">
              <w:rPr>
                <w:b w:val="0"/>
                <w:bCs w:val="0"/>
              </w:rPr>
              <w:t>)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36 States/UTs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36 States/UTs</w:t>
            </w:r>
          </w:p>
        </w:tc>
        <w:tc>
          <w:tcPr>
            <w:tcW w:w="0" w:type="auto"/>
            <w:hideMark/>
          </w:tcPr>
          <w:p w:rsidR="00BA46AE" w:rsidRPr="008A265B" w:rsidRDefault="00BA46AE" w:rsidP="00A325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A265B">
              <w:t>Full spatial sample</w:t>
            </w:r>
          </w:p>
        </w:tc>
      </w:tr>
    </w:tbl>
    <w:p w:rsidR="00BA46AE" w:rsidRPr="008A265B" w:rsidRDefault="00BA46AE" w:rsidP="00BA46AE">
      <w:pPr>
        <w:pStyle w:val="NormalWeb"/>
      </w:pPr>
      <w:r w:rsidRPr="008A265B">
        <w:rPr>
          <w:b/>
          <w:bCs/>
          <w:i/>
          <w:iCs/>
        </w:rPr>
        <w:t>Note:</w:t>
      </w:r>
      <w:r w:rsidRPr="008A265B">
        <w:rPr>
          <w:i/>
          <w:iCs/>
        </w:rPr>
        <w:t xml:space="preserve"> Standard errors are in parentheses. *** p &lt; 0.001. Population weights are derived from Census 2011 state/UT populations.</w:t>
      </w:r>
    </w:p>
    <w:p w:rsidR="00BA46AE" w:rsidRPr="008A265B" w:rsidRDefault="00BA46AE" w:rsidP="00BA46AE"/>
    <w:p w:rsidR="00BA46AE" w:rsidRPr="008A265B" w:rsidRDefault="00BA46AE" w:rsidP="00BA46AE"/>
    <w:p w:rsidR="00BA46AE" w:rsidRPr="000F36F7" w:rsidRDefault="00BA46AE" w:rsidP="00BA46AE"/>
    <w:p w:rsidR="0088259C" w:rsidRDefault="0088259C">
      <w:bookmarkStart w:id="0" w:name="_GoBack"/>
      <w:bookmarkEnd w:id="0"/>
    </w:p>
    <w:sectPr w:rsidR="0088259C" w:rsidSect="008365B6">
      <w:footerReference w:type="default" r:id="rId4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BDA" w:rsidRDefault="00BA46AE">
    <w:pPr>
      <w:suppressLineNumbers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C2"/>
    <w:rsid w:val="00833FC2"/>
    <w:rsid w:val="0088259C"/>
    <w:rsid w:val="00BA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C9B71-AAB5-4540-AB4B-08CB0BAE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link w:val="Heading3Char"/>
    <w:qFormat/>
    <w:rsid w:val="00BA46AE"/>
    <w:pPr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A46AE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BA46AE"/>
    <w:pPr>
      <w:spacing w:before="100" w:beforeAutospacing="1" w:after="100" w:afterAutospacing="1"/>
    </w:pPr>
  </w:style>
  <w:style w:type="character" w:customStyle="1" w:styleId="math-inline">
    <w:name w:val="math-inline"/>
    <w:basedOn w:val="DefaultParagraphFont"/>
    <w:rsid w:val="00BA46AE"/>
  </w:style>
  <w:style w:type="character" w:styleId="Strong">
    <w:name w:val="Strong"/>
    <w:basedOn w:val="DefaultParagraphFont"/>
    <w:uiPriority w:val="22"/>
    <w:qFormat/>
    <w:rsid w:val="00BA46AE"/>
    <w:rPr>
      <w:b/>
      <w:bCs/>
    </w:rPr>
  </w:style>
  <w:style w:type="table" w:styleId="PlainTable2">
    <w:name w:val="Plain Table 2"/>
    <w:basedOn w:val="TableNormal"/>
    <w:uiPriority w:val="42"/>
    <w:rsid w:val="00BA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2026-10-11T03:40:00Z</dcterms:created>
  <dcterms:modified xsi:type="dcterms:W3CDTF">2026-10-11T03:41:00Z</dcterms:modified>
</cp:coreProperties>
</file>